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663C1" w14:textId="77777777" w:rsidR="00501898" w:rsidRPr="00A2574C" w:rsidRDefault="00501898" w:rsidP="00501898">
      <w:pPr>
        <w:rPr>
          <w:rFonts w:ascii="Garamond" w:hAnsi="Garamond"/>
          <w:b/>
          <w:bCs/>
          <w:lang w:val="en-GB"/>
        </w:rPr>
      </w:pPr>
      <w:r w:rsidRPr="00A2574C">
        <w:rPr>
          <w:rFonts w:ascii="Garamond" w:hAnsi="Garamond"/>
          <w:b/>
          <w:bCs/>
          <w:lang w:val="en-GB"/>
        </w:rPr>
        <w:t>FIXED EFFECTS MODELS (PANEL REGRESSION)</w:t>
      </w:r>
    </w:p>
    <w:p w14:paraId="4245A54E" w14:textId="058EFD0F" w:rsidR="00501898" w:rsidRPr="00A2574C" w:rsidRDefault="00501898" w:rsidP="00501898">
      <w:pPr>
        <w:rPr>
          <w:rFonts w:ascii="Garamond" w:hAnsi="Garamond"/>
        </w:rPr>
      </w:pPr>
    </w:p>
    <w:p w14:paraId="598EE4EA" w14:textId="458BEBB7" w:rsidR="00501898" w:rsidRPr="001B10C3" w:rsidRDefault="00501898" w:rsidP="0061009E">
      <w:pPr>
        <w:jc w:val="both"/>
        <w:rPr>
          <w:rFonts w:ascii="Garamond" w:hAnsi="Garamond"/>
          <w:lang w:val="en-GB"/>
        </w:rPr>
      </w:pPr>
      <w:r w:rsidRPr="00A2574C">
        <w:rPr>
          <w:rFonts w:ascii="Garamond" w:hAnsi="Garamond"/>
          <w:lang w:val="en-GB"/>
        </w:rPr>
        <w:t>A l</w:t>
      </w:r>
      <w:r w:rsidRPr="00A2574C">
        <w:rPr>
          <w:rFonts w:ascii="Garamond" w:hAnsi="Garamond"/>
        </w:rPr>
        <w:t xml:space="preserve">ongitudinal panel analysis using annual country-level data for </w:t>
      </w:r>
      <w:r w:rsidRPr="00A2574C">
        <w:rPr>
          <w:rStyle w:val="Strong"/>
          <w:rFonts w:ascii="Garamond" w:hAnsi="Garamond"/>
          <w:b w:val="0"/>
          <w:bCs w:val="0"/>
        </w:rPr>
        <w:t>4</w:t>
      </w:r>
      <w:r w:rsidRPr="00A2574C">
        <w:rPr>
          <w:rStyle w:val="Strong"/>
          <w:rFonts w:ascii="Garamond" w:hAnsi="Garamond"/>
          <w:b w:val="0"/>
          <w:bCs w:val="0"/>
          <w:lang w:val="en-GB"/>
        </w:rPr>
        <w:t>7</w:t>
      </w:r>
      <w:r w:rsidRPr="00A2574C">
        <w:rPr>
          <w:rStyle w:val="Strong"/>
          <w:rFonts w:ascii="Garamond" w:hAnsi="Garamond"/>
          <w:b w:val="0"/>
          <w:bCs w:val="0"/>
        </w:rPr>
        <w:t xml:space="preserve"> countries</w:t>
      </w:r>
      <w:r w:rsidRPr="00A2574C">
        <w:rPr>
          <w:rFonts w:ascii="Garamond" w:hAnsi="Garamond"/>
          <w:b/>
          <w:bCs/>
        </w:rPr>
        <w:t xml:space="preserve"> </w:t>
      </w:r>
      <w:r w:rsidRPr="00A2574C">
        <w:rPr>
          <w:rFonts w:ascii="Garamond" w:hAnsi="Garamond"/>
        </w:rPr>
        <w:t xml:space="preserve">observed over an unbalanced period spanning up to </w:t>
      </w:r>
      <w:r w:rsidRPr="00A2574C">
        <w:rPr>
          <w:rStyle w:val="Strong"/>
          <w:rFonts w:ascii="Garamond" w:hAnsi="Garamond"/>
          <w:b w:val="0"/>
          <w:bCs w:val="0"/>
        </w:rPr>
        <w:t>18 years</w:t>
      </w:r>
      <w:r w:rsidR="001B10C3">
        <w:rPr>
          <w:rStyle w:val="Strong"/>
          <w:rFonts w:ascii="Garamond" w:hAnsi="Garamond"/>
          <w:b w:val="0"/>
          <w:bCs w:val="0"/>
          <w:lang w:val="en-GB"/>
        </w:rPr>
        <w:t xml:space="preserve">. </w:t>
      </w:r>
      <w:r w:rsidRPr="00A2574C">
        <w:rPr>
          <w:rFonts w:ascii="Garamond" w:hAnsi="Garamond"/>
        </w:rPr>
        <w:t xml:space="preserve">The analysis combined demographic, macroeconomic, health financing, health workforce, and health outcome indicators to examine the relationship between </w:t>
      </w:r>
      <w:r w:rsidRPr="00A2574C">
        <w:rPr>
          <w:rStyle w:val="Strong"/>
          <w:rFonts w:ascii="Garamond" w:hAnsi="Garamond"/>
          <w:b w:val="0"/>
          <w:bCs w:val="0"/>
        </w:rPr>
        <w:t>human resources for health (HRH)</w:t>
      </w:r>
      <w:r w:rsidRPr="00A2574C">
        <w:rPr>
          <w:rFonts w:ascii="Garamond" w:hAnsi="Garamond"/>
        </w:rPr>
        <w:t xml:space="preserve"> and key health system outcomes.</w:t>
      </w:r>
      <w:r w:rsidR="001B10C3">
        <w:rPr>
          <w:rFonts w:ascii="Garamond" w:hAnsi="Garamond"/>
          <w:lang w:val="en-GB"/>
        </w:rPr>
        <w:t>The data was sourced from credible international sources including WHO and world bank.</w:t>
      </w:r>
    </w:p>
    <w:p w14:paraId="56FEE074" w14:textId="3E9CC168" w:rsidR="00501898" w:rsidRPr="00A2574C" w:rsidRDefault="00501898" w:rsidP="0061009E">
      <w:pPr>
        <w:pStyle w:val="NormalWeb"/>
        <w:jc w:val="both"/>
        <w:rPr>
          <w:rFonts w:ascii="Garamond" w:hAnsi="Garamond"/>
        </w:rPr>
      </w:pPr>
      <w:r w:rsidRPr="00A2574C">
        <w:rPr>
          <w:rFonts w:ascii="Garamond" w:hAnsi="Garamond"/>
        </w:rPr>
        <w:t>Two primary outcomes were examined</w:t>
      </w:r>
      <w:r w:rsidRPr="00A2574C">
        <w:rPr>
          <w:rFonts w:ascii="Garamond" w:hAnsi="Garamond"/>
          <w:lang w:val="en-GB"/>
        </w:rPr>
        <w:t xml:space="preserve"> the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l</w:t>
      </w:r>
      <w:r w:rsidRPr="00A2574C">
        <w:rPr>
          <w:rStyle w:val="Strong"/>
          <w:rFonts w:ascii="Garamond" w:hAnsi="Garamond"/>
          <w:b w:val="0"/>
          <w:bCs w:val="0"/>
        </w:rPr>
        <w:t xml:space="preserve">ife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e</w:t>
      </w:r>
      <w:r w:rsidRPr="00A2574C">
        <w:rPr>
          <w:rStyle w:val="Strong"/>
          <w:rFonts w:ascii="Garamond" w:hAnsi="Garamond"/>
          <w:b w:val="0"/>
          <w:bCs w:val="0"/>
        </w:rPr>
        <w:t xml:space="preserve">xpectancy at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bi</w:t>
      </w:r>
      <w:r w:rsidRPr="00A2574C">
        <w:rPr>
          <w:rStyle w:val="Strong"/>
          <w:rFonts w:ascii="Garamond" w:hAnsi="Garamond"/>
          <w:b w:val="0"/>
          <w:bCs w:val="0"/>
        </w:rPr>
        <w:t>rth (LE)</w:t>
      </w:r>
      <w:r w:rsidRPr="00A2574C">
        <w:rPr>
          <w:rFonts w:ascii="Garamond" w:hAnsi="Garamond"/>
        </w:rPr>
        <w:t xml:space="preserve"> measured in years and used as a summary indicator of population health</w:t>
      </w:r>
      <w:r w:rsidRPr="00A2574C">
        <w:rPr>
          <w:rFonts w:ascii="Garamond" w:hAnsi="Garamond"/>
          <w:lang w:val="en-GB"/>
        </w:rPr>
        <w:t xml:space="preserve"> and </w:t>
      </w:r>
      <w:r w:rsidRPr="00A2574C">
        <w:rPr>
          <w:rStyle w:val="Strong"/>
          <w:rFonts w:ascii="Garamond" w:hAnsi="Garamond"/>
          <w:b w:val="0"/>
          <w:bCs w:val="0"/>
        </w:rPr>
        <w:t>Universal Health Coverage Service Coverage Index (UHC_SCI)</w:t>
      </w:r>
      <w:r w:rsidRPr="001E4D8F">
        <w:rPr>
          <w:rFonts w:ascii="Garamond" w:hAnsi="Garamond"/>
        </w:rPr>
        <w:t xml:space="preserve"> </w:t>
      </w:r>
      <w:r w:rsidRPr="001E4D8F">
        <w:rPr>
          <w:rFonts w:ascii="Garamond" w:hAnsi="Garamond"/>
          <w:lang w:val="en-GB"/>
        </w:rPr>
        <w:t>.</w:t>
      </w:r>
      <w:r w:rsidRPr="00A2574C">
        <w:rPr>
          <w:rStyle w:val="Strong"/>
          <w:rFonts w:ascii="Garamond" w:hAnsi="Garamond"/>
          <w:b w:val="0"/>
          <w:bCs w:val="0"/>
          <w:lang w:val="en-GB"/>
        </w:rPr>
        <w:t xml:space="preserve"> </w:t>
      </w:r>
      <w:r w:rsidRPr="00A2574C">
        <w:rPr>
          <w:rFonts w:ascii="Garamond" w:hAnsi="Garamond"/>
          <w:lang w:val="en-GB"/>
        </w:rPr>
        <w:t>Th</w:t>
      </w:r>
      <w:r w:rsidRPr="00A2574C">
        <w:rPr>
          <w:rFonts w:ascii="Garamond" w:hAnsi="Garamond"/>
        </w:rPr>
        <w:t xml:space="preserve">e main explanatory variable of interest </w:t>
      </w:r>
      <w:r w:rsidR="001B10C3" w:rsidRPr="00A2574C">
        <w:rPr>
          <w:rFonts w:ascii="Garamond" w:hAnsi="Garamond"/>
        </w:rPr>
        <w:t>was</w:t>
      </w:r>
      <w:r w:rsidRPr="00A2574C">
        <w:rPr>
          <w:rFonts w:ascii="Garamond" w:hAnsi="Garamond"/>
        </w:rPr>
        <w:t xml:space="preserve"> measures of </w:t>
      </w:r>
      <w:r w:rsidRPr="00A2574C">
        <w:rPr>
          <w:rStyle w:val="Strong"/>
          <w:rFonts w:ascii="Garamond" w:hAnsi="Garamond"/>
          <w:b w:val="0"/>
          <w:bCs w:val="0"/>
        </w:rPr>
        <w:t>health workforce availability</w:t>
      </w:r>
      <w:r w:rsidRPr="001E4D8F">
        <w:rPr>
          <w:rFonts w:ascii="Garamond" w:hAnsi="Garamond"/>
        </w:rPr>
        <w:t>,</w:t>
      </w:r>
      <w:r w:rsidRPr="00A2574C">
        <w:rPr>
          <w:rFonts w:ascii="Garamond" w:hAnsi="Garamond"/>
        </w:rPr>
        <w:t xml:space="preserve"> expressed as densities per population:</w:t>
      </w:r>
    </w:p>
    <w:p w14:paraId="2DD50F75" w14:textId="068A0860" w:rsidR="00F60EE6" w:rsidRPr="00A2574C" w:rsidRDefault="00501898" w:rsidP="00A2574C">
      <w:pPr>
        <w:jc w:val="both"/>
        <w:rPr>
          <w:rStyle w:val="Strong"/>
          <w:rFonts w:ascii="Garamond" w:hAnsi="Garamond"/>
          <w:b w:val="0"/>
          <w:bCs w:val="0"/>
        </w:rPr>
      </w:pPr>
      <w:r w:rsidRPr="00A2574C">
        <w:rPr>
          <w:rFonts w:ascii="Garamond" w:hAnsi="Garamond"/>
          <w:lang w:val="en-GB"/>
        </w:rPr>
        <w:t>W</w:t>
      </w:r>
      <w:r w:rsidRPr="00A2574C">
        <w:rPr>
          <w:rFonts w:ascii="Garamond" w:hAnsi="Garamond"/>
        </w:rPr>
        <w:t>orkforce density was constructed as the number of physicians, pharmacists</w:t>
      </w:r>
      <w:r w:rsidRPr="00A2574C">
        <w:rPr>
          <w:rFonts w:ascii="Garamond" w:hAnsi="Garamond"/>
          <w:lang w:val="en-GB"/>
        </w:rPr>
        <w:t xml:space="preserve">, dentists, </w:t>
      </w:r>
      <w:r w:rsidRPr="00A2574C">
        <w:rPr>
          <w:rFonts w:ascii="Garamond" w:hAnsi="Garamond"/>
        </w:rPr>
        <w:t xml:space="preserve">and nursing/midwifery personnel per </w:t>
      </w:r>
      <w:r w:rsidRPr="00A2574C">
        <w:rPr>
          <w:rFonts w:ascii="Garamond" w:hAnsi="Garamond"/>
          <w:lang w:val="en-GB"/>
        </w:rPr>
        <w:t>10</w:t>
      </w:r>
      <w:r w:rsidRPr="00A2574C">
        <w:rPr>
          <w:rFonts w:ascii="Garamond" w:hAnsi="Garamond"/>
        </w:rPr>
        <w:t>,000 population. To account for broader</w:t>
      </w:r>
      <w:r w:rsidR="00DE581A" w:rsidRPr="00A2574C">
        <w:rPr>
          <w:rFonts w:ascii="Garamond" w:hAnsi="Garamond"/>
          <w:lang w:val="en-GB"/>
        </w:rPr>
        <w:t xml:space="preserve"> demographic,</w:t>
      </w:r>
      <w:r w:rsidRPr="00A2574C">
        <w:rPr>
          <w:rFonts w:ascii="Garamond" w:hAnsi="Garamond"/>
        </w:rPr>
        <w:t xml:space="preserve"> health system and economic context, the models also included</w:t>
      </w:r>
      <w:r w:rsidR="00DE581A" w:rsidRPr="00A2574C">
        <w:rPr>
          <w:rFonts w:ascii="Garamond" w:hAnsi="Garamond"/>
          <w:lang w:val="en-GB"/>
        </w:rPr>
        <w:t xml:space="preserve"> </w:t>
      </w:r>
      <w:r w:rsidR="00A46E23" w:rsidRPr="00A2574C">
        <w:rPr>
          <w:rFonts w:ascii="Garamond" w:hAnsi="Garamond"/>
          <w:lang w:val="en-GB"/>
        </w:rPr>
        <w:t>.</w:t>
      </w:r>
      <w:r w:rsidRPr="00A2574C">
        <w:rPr>
          <w:rStyle w:val="Strong"/>
          <w:rFonts w:ascii="Garamond" w:hAnsi="Garamond"/>
          <w:b w:val="0"/>
          <w:bCs w:val="0"/>
          <w:lang w:val="en-GB"/>
        </w:rPr>
        <w:t xml:space="preserve">The ratio of </w:t>
      </w:r>
      <w:r w:rsidRPr="00A2574C">
        <w:rPr>
          <w:rStyle w:val="Strong"/>
          <w:rFonts w:ascii="Garamond" w:hAnsi="Garamond"/>
          <w:b w:val="0"/>
          <w:bCs w:val="0"/>
        </w:rPr>
        <w:t>Government health expenditure per capita (GGHED per capita)</w:t>
      </w:r>
      <w:r w:rsidRPr="00A2574C">
        <w:rPr>
          <w:rStyle w:val="Strong"/>
          <w:rFonts w:ascii="Garamond" w:hAnsi="Garamond"/>
          <w:b w:val="0"/>
          <w:bCs w:val="0"/>
          <w:lang w:val="en-GB"/>
        </w:rPr>
        <w:t xml:space="preserve"> to </w:t>
      </w:r>
      <w:r w:rsidRPr="00A2574C">
        <w:rPr>
          <w:rStyle w:val="Strong"/>
          <w:rFonts w:ascii="Garamond" w:hAnsi="Garamond"/>
          <w:b w:val="0"/>
          <w:bCs w:val="0"/>
        </w:rPr>
        <w:t>Gross domestic product per capita (GDP per capita</w:t>
      </w:r>
      <w:r w:rsidRPr="00A2574C">
        <w:rPr>
          <w:rStyle w:val="Strong"/>
          <w:rFonts w:ascii="Garamond" w:hAnsi="Garamond"/>
          <w:b w:val="0"/>
          <w:bCs w:val="0"/>
          <w:lang w:val="en-GB"/>
        </w:rPr>
        <w:t>)</w:t>
      </w:r>
      <w:r w:rsidR="001B10C3">
        <w:rPr>
          <w:rStyle w:val="Strong"/>
          <w:rFonts w:ascii="Garamond" w:hAnsi="Garamond"/>
          <w:b w:val="0"/>
          <w:bCs w:val="0"/>
          <w:lang w:val="en-GB"/>
        </w:rPr>
        <w:t xml:space="preserve"> and </w:t>
      </w:r>
      <w:r w:rsidR="00DE581A" w:rsidRPr="00A2574C">
        <w:rPr>
          <w:rStyle w:val="Strong"/>
          <w:rFonts w:ascii="Garamond" w:hAnsi="Garamond"/>
          <w:b w:val="0"/>
          <w:bCs w:val="0"/>
          <w:lang w:val="en-GB"/>
        </w:rPr>
        <w:t>population density</w:t>
      </w:r>
      <w:r w:rsidR="00F60EE6" w:rsidRPr="00A2574C">
        <w:rPr>
          <w:rStyle w:val="Strong"/>
          <w:rFonts w:ascii="Garamond" w:hAnsi="Garamond"/>
          <w:b w:val="0"/>
          <w:bCs w:val="0"/>
          <w:lang w:val="en-GB"/>
        </w:rPr>
        <w:t>.</w:t>
      </w:r>
    </w:p>
    <w:p w14:paraId="301EC9DC" w14:textId="12066344" w:rsidR="00CA440B" w:rsidRPr="00A2574C" w:rsidRDefault="00CA440B" w:rsidP="00CA440B">
      <w:pPr>
        <w:pStyle w:val="NormalWeb"/>
        <w:jc w:val="both"/>
        <w:rPr>
          <w:rFonts w:ascii="Garamond" w:hAnsi="Garamond"/>
          <w:lang w:val="en-GB"/>
        </w:rPr>
      </w:pPr>
      <w:r w:rsidRPr="00A2574C">
        <w:rPr>
          <w:rStyle w:val="Strong"/>
          <w:rFonts w:ascii="Garamond" w:hAnsi="Garamond"/>
          <w:b w:val="0"/>
          <w:bCs w:val="0"/>
          <w:lang w:val="en-GB"/>
        </w:rPr>
        <w:t xml:space="preserve">The main objective was to </w:t>
      </w:r>
      <w:r w:rsidRPr="00A2574C">
        <w:rPr>
          <w:rFonts w:ascii="Garamond" w:hAnsi="Garamond"/>
        </w:rPr>
        <w:t>estimate the association between health workforce density and UHC service coverage and life expectancy; assess nonlinear and threshold effects in the workforce–outcome relationship; and identify workforce density levels associated with diminishing marginal returns</w:t>
      </w:r>
      <w:r w:rsidR="00A2574C" w:rsidRPr="00A2574C">
        <w:rPr>
          <w:rFonts w:ascii="Garamond" w:hAnsi="Garamond"/>
          <w:lang w:val="en-GB"/>
        </w:rPr>
        <w:t>.</w:t>
      </w:r>
    </w:p>
    <w:p w14:paraId="6B48B6AD" w14:textId="0D9BBAC4" w:rsidR="00A46E23" w:rsidRPr="00A2574C" w:rsidRDefault="00A46E23" w:rsidP="00CA440B">
      <w:pPr>
        <w:pStyle w:val="NormalWeb"/>
        <w:jc w:val="both"/>
        <w:rPr>
          <w:rStyle w:val="Strong"/>
          <w:rFonts w:ascii="Garamond" w:hAnsi="Garamond"/>
        </w:rPr>
      </w:pPr>
      <w:r w:rsidRPr="00A2574C">
        <w:rPr>
          <w:rStyle w:val="Strong"/>
          <w:rFonts w:ascii="Garamond" w:hAnsi="Garamond"/>
          <w:b w:val="0"/>
          <w:bCs w:val="0"/>
          <w:lang w:val="en-GB"/>
        </w:rPr>
        <w:t xml:space="preserve">First, we </w:t>
      </w:r>
      <w:r w:rsidRPr="00A2574C">
        <w:rPr>
          <w:rStyle w:val="Strong"/>
          <w:rFonts w:ascii="Garamond" w:hAnsi="Garamond"/>
          <w:b w:val="0"/>
          <w:bCs w:val="0"/>
        </w:rPr>
        <w:t>estimate the longitudinal association between health workforce density and health system performance</w:t>
      </w:r>
      <w:r w:rsidRPr="00A2574C">
        <w:rPr>
          <w:rFonts w:ascii="Garamond" w:hAnsi="Garamond"/>
        </w:rPr>
        <w:t xml:space="preserve">, measured by </w:t>
      </w:r>
      <w:r w:rsidR="00A2574C" w:rsidRPr="00A2574C">
        <w:rPr>
          <w:rFonts w:ascii="Garamond" w:hAnsi="Garamond"/>
          <w:lang w:val="en-GB"/>
        </w:rPr>
        <w:t>l</w:t>
      </w:r>
      <w:r w:rsidRPr="00A2574C">
        <w:rPr>
          <w:rFonts w:ascii="Garamond" w:hAnsi="Garamond"/>
        </w:rPr>
        <w:t xml:space="preserve">ife </w:t>
      </w:r>
      <w:r w:rsidR="00A2574C" w:rsidRPr="00A2574C">
        <w:rPr>
          <w:rFonts w:ascii="Garamond" w:hAnsi="Garamond"/>
          <w:lang w:val="en-GB"/>
        </w:rPr>
        <w:t>e</w:t>
      </w:r>
      <w:r w:rsidRPr="00A2574C">
        <w:rPr>
          <w:rFonts w:ascii="Garamond" w:hAnsi="Garamond"/>
        </w:rPr>
        <w:t xml:space="preserve">xpectancy at </w:t>
      </w:r>
      <w:r w:rsidR="00A2574C" w:rsidRPr="00A2574C">
        <w:rPr>
          <w:rFonts w:ascii="Garamond" w:hAnsi="Garamond"/>
          <w:lang w:val="en-GB"/>
        </w:rPr>
        <w:t>b</w:t>
      </w:r>
      <w:r w:rsidRPr="00A2574C">
        <w:rPr>
          <w:rFonts w:ascii="Garamond" w:hAnsi="Garamond"/>
        </w:rPr>
        <w:t>irth (LE) and the Universal Health Coverage Service Coverage Index (UHC_SCI), using country-level panel data.</w:t>
      </w:r>
      <w:r w:rsidRPr="00A2574C">
        <w:rPr>
          <w:rStyle w:val="Strong"/>
          <w:rFonts w:ascii="Garamond" w:hAnsi="Garamond"/>
        </w:rPr>
        <w:t xml:space="preserve"> </w:t>
      </w:r>
    </w:p>
    <w:p w14:paraId="308F8047" w14:textId="48612ECC" w:rsidR="00A46E23" w:rsidRPr="00A2574C" w:rsidRDefault="001B10C3" w:rsidP="001B10C3">
      <w:pPr>
        <w:pStyle w:val="NormalWeb"/>
        <w:jc w:val="both"/>
        <w:rPr>
          <w:rFonts w:ascii="Garamond" w:hAnsi="Garamond"/>
        </w:rPr>
      </w:pPr>
      <w:r>
        <w:rPr>
          <w:rStyle w:val="Strong"/>
          <w:rFonts w:ascii="Garamond" w:hAnsi="Garamond"/>
          <w:b w:val="0"/>
          <w:bCs w:val="0"/>
          <w:lang w:val="en-GB"/>
        </w:rPr>
        <w:t xml:space="preserve">We then </w:t>
      </w:r>
      <w:r w:rsidR="00A46E23" w:rsidRPr="00A2574C">
        <w:rPr>
          <w:rStyle w:val="Strong"/>
          <w:rFonts w:ascii="Garamond" w:hAnsi="Garamond"/>
          <w:b w:val="0"/>
          <w:bCs w:val="0"/>
        </w:rPr>
        <w:t>test for the presence of a structural breakpoint (kink) in the workforce–outcome relationship</w:t>
      </w:r>
      <w:r w:rsidR="00A46E23" w:rsidRPr="00A2574C">
        <w:rPr>
          <w:rFonts w:ascii="Garamond" w:hAnsi="Garamond"/>
          <w:b/>
          <w:bCs/>
        </w:rPr>
        <w:t>,</w:t>
      </w:r>
      <w:r w:rsidR="00A46E23" w:rsidRPr="00A2574C">
        <w:rPr>
          <w:rFonts w:ascii="Garamond" w:hAnsi="Garamond"/>
        </w:rPr>
        <w:t xml:space="preserve"> allowing for differential marginal effects below and above an empirically determined workforce density threshold.</w:t>
      </w:r>
    </w:p>
    <w:p w14:paraId="06A030E0" w14:textId="7E5A032D" w:rsidR="00A46E23" w:rsidRPr="00A2574C" w:rsidRDefault="001B10C3" w:rsidP="001B10C3">
      <w:pPr>
        <w:pStyle w:val="NormalWeb"/>
        <w:jc w:val="both"/>
        <w:rPr>
          <w:rStyle w:val="Strong"/>
          <w:rFonts w:ascii="Garamond" w:hAnsi="Garamond"/>
          <w:b w:val="0"/>
          <w:bCs w:val="0"/>
        </w:rPr>
      </w:pPr>
      <w:r>
        <w:rPr>
          <w:rStyle w:val="Strong"/>
          <w:rFonts w:ascii="Garamond" w:hAnsi="Garamond"/>
          <w:b w:val="0"/>
          <w:bCs w:val="0"/>
          <w:lang w:val="en-GB"/>
        </w:rPr>
        <w:t>Finally, we identify</w:t>
      </w:r>
      <w:r w:rsidR="00CA440B" w:rsidRPr="00A2574C">
        <w:rPr>
          <w:rStyle w:val="Strong"/>
          <w:rFonts w:ascii="Garamond" w:hAnsi="Garamond"/>
          <w:b w:val="0"/>
          <w:bCs w:val="0"/>
        </w:rPr>
        <w:t xml:space="preserve"> the workforce density level at which marginal returns to workforce expansion decline</w:t>
      </w:r>
      <w:r w:rsidR="00CA440B" w:rsidRPr="00A2574C">
        <w:rPr>
          <w:rFonts w:ascii="Garamond" w:hAnsi="Garamond"/>
          <w:b/>
          <w:bCs/>
        </w:rPr>
        <w:t>,</w:t>
      </w:r>
      <w:r w:rsidR="00CA440B" w:rsidRPr="00A2574C">
        <w:rPr>
          <w:rFonts w:ascii="Garamond" w:hAnsi="Garamond"/>
        </w:rPr>
        <w:t xml:space="preserve"> indicating a transition from a workforce-constrained regime to a moderate-return regime.</w:t>
      </w:r>
    </w:p>
    <w:p w14:paraId="31322DE2" w14:textId="77777777" w:rsidR="001B438D" w:rsidRPr="001B438D" w:rsidRDefault="001B438D" w:rsidP="001B438D">
      <w:pPr>
        <w:spacing w:before="100" w:beforeAutospacing="1" w:after="100" w:afterAutospacing="1"/>
        <w:outlineLvl w:val="3"/>
        <w:rPr>
          <w:rFonts w:ascii="Garamond" w:hAnsi="Garamond"/>
          <w:b/>
          <w:bCs/>
        </w:rPr>
      </w:pPr>
      <w:r w:rsidRPr="001B438D">
        <w:rPr>
          <w:rFonts w:ascii="Garamond" w:hAnsi="Garamond"/>
          <w:b/>
          <w:bCs/>
        </w:rPr>
        <w:t>Statistical Approach</w:t>
      </w:r>
    </w:p>
    <w:p w14:paraId="17E6F69A" w14:textId="27D2490C" w:rsidR="00044157" w:rsidRPr="00A2574C" w:rsidRDefault="001B438D" w:rsidP="00CA440B">
      <w:pPr>
        <w:spacing w:before="100" w:beforeAutospacing="1" w:after="100" w:afterAutospacing="1"/>
        <w:jc w:val="both"/>
        <w:rPr>
          <w:rFonts w:ascii="Garamond" w:hAnsi="Garamond"/>
        </w:rPr>
      </w:pPr>
      <w:r w:rsidRPr="001B438D">
        <w:rPr>
          <w:rFonts w:ascii="Garamond" w:hAnsi="Garamond"/>
        </w:rPr>
        <w:t>Panel regression models were estimated using both fixed-effects and random-effects specifications. Hausman tests were used to guide model selection.</w:t>
      </w:r>
      <w:r w:rsidR="00675339" w:rsidRPr="00A2574C">
        <w:rPr>
          <w:rFonts w:ascii="Garamond" w:hAnsi="Garamond"/>
          <w:lang w:val="en-GB"/>
        </w:rPr>
        <w:t>We then added a</w:t>
      </w:r>
      <w:r w:rsidR="00044157" w:rsidRPr="00A2574C">
        <w:rPr>
          <w:rFonts w:ascii="Garamond" w:hAnsi="Garamond"/>
        </w:rPr>
        <w:t xml:space="preserve"> kink (piecewise linear) model </w:t>
      </w:r>
      <w:r w:rsidR="00675339" w:rsidRPr="00A2574C">
        <w:rPr>
          <w:rFonts w:ascii="Garamond" w:hAnsi="Garamond"/>
          <w:lang w:val="en-GB"/>
        </w:rPr>
        <w:t xml:space="preserve"> that </w:t>
      </w:r>
      <w:r w:rsidR="00044157" w:rsidRPr="00A2574C">
        <w:rPr>
          <w:rFonts w:ascii="Garamond" w:hAnsi="Garamond"/>
        </w:rPr>
        <w:t>allows the marginal effect of an explanatory variable to change at an unknown threshold</w:t>
      </w:r>
      <w:r w:rsidR="00675339" w:rsidRPr="00A2574C">
        <w:rPr>
          <w:rFonts w:ascii="Garamond" w:hAnsi="Garamond"/>
          <w:lang w:val="en-GB"/>
        </w:rPr>
        <w:t>. The b</w:t>
      </w:r>
      <w:r w:rsidR="00044157" w:rsidRPr="00A2574C">
        <w:rPr>
          <w:rFonts w:ascii="Garamond" w:hAnsi="Garamond"/>
        </w:rPr>
        <w:t xml:space="preserve">aseline </w:t>
      </w:r>
      <w:r w:rsidR="00A2574C" w:rsidRPr="00A2574C">
        <w:rPr>
          <w:rFonts w:ascii="Garamond" w:hAnsi="Garamond"/>
          <w:lang w:val="en-GB"/>
        </w:rPr>
        <w:t>P</w:t>
      </w:r>
      <w:r w:rsidR="00044157" w:rsidRPr="00A2574C">
        <w:rPr>
          <w:rFonts w:ascii="Garamond" w:hAnsi="Garamond"/>
        </w:rPr>
        <w:t xml:space="preserve">anel </w:t>
      </w:r>
      <w:r w:rsidR="00A2574C" w:rsidRPr="00A2574C">
        <w:rPr>
          <w:rFonts w:ascii="Garamond" w:hAnsi="Garamond"/>
          <w:lang w:val="en-GB"/>
        </w:rPr>
        <w:t>m</w:t>
      </w:r>
      <w:r w:rsidR="00044157" w:rsidRPr="00A2574C">
        <w:rPr>
          <w:rFonts w:ascii="Garamond" w:hAnsi="Garamond"/>
        </w:rPr>
        <w:t>odel</w:t>
      </w:r>
      <w:r w:rsidR="00675339" w:rsidRPr="00A2574C">
        <w:rPr>
          <w:rFonts w:ascii="Garamond" w:hAnsi="Garamond"/>
          <w:lang w:val="en-GB"/>
        </w:rPr>
        <w:t xml:space="preserve"> is given by:</w:t>
      </w:r>
    </w:p>
    <w:p w14:paraId="1B2DB44B" w14:textId="09CC8E3E" w:rsidR="00044157" w:rsidRPr="00A2574C" w:rsidRDefault="00000000" w:rsidP="00CA440B">
      <w:pPr>
        <w:spacing w:before="100" w:beforeAutospacing="1" w:after="100" w:afterAutospacing="1"/>
        <w:jc w:val="both"/>
        <w:rPr>
          <w:rFonts w:ascii="Garamond" w:hAnsi="Garamon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∝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07798FBB" w14:textId="3DB1ADF3" w:rsidR="00675339" w:rsidRPr="00A2574C" w:rsidRDefault="00675339" w:rsidP="00CA440B">
      <w:pPr>
        <w:spacing w:before="100" w:beforeAutospacing="1" w:after="100" w:afterAutospacing="1"/>
        <w:jc w:val="both"/>
        <w:rPr>
          <w:rFonts w:ascii="Garamond" w:hAnsi="Garamond"/>
          <w:lang w:val="en-GB"/>
        </w:rPr>
      </w:pPr>
      <w:proofErr w:type="gramStart"/>
      <w:r w:rsidRPr="00A2574C">
        <w:rPr>
          <w:rFonts w:ascii="Garamond" w:hAnsi="Garamond"/>
          <w:lang w:val="en-GB"/>
        </w:rPr>
        <w:t>Where</w:t>
      </w:r>
      <w:proofErr w:type="gramEnd"/>
      <w:r w:rsidRPr="00A2574C">
        <w:rPr>
          <w:rFonts w:ascii="Garamond" w:hAnsi="Garamond"/>
          <w:lang w:val="en-GB"/>
        </w:rPr>
        <w:t xml:space="preserve"> </w:t>
      </w:r>
    </w:p>
    <w:p w14:paraId="67AA7D7D" w14:textId="79F7AD00" w:rsidR="00044157" w:rsidRPr="00A2574C" w:rsidRDefault="00044157" w:rsidP="00044157">
      <w:pPr>
        <w:pStyle w:val="NormalWeb"/>
        <w:rPr>
          <w:rFonts w:ascii="Garamond" w:hAnsi="Garamond"/>
        </w:rPr>
      </w:pPr>
      <w:r w:rsidRPr="00A2574C">
        <w:rPr>
          <w:rFonts w:ascii="Garamond" w:hAnsi="Garamond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A2574C">
        <w:rPr>
          <w:rFonts w:ascii="Garamond" w:hAnsi="Garamond"/>
        </w:rPr>
        <w:t>= outcome variable (e.g., LE or UHC_SCI)</w:t>
      </w:r>
    </w:p>
    <w:p w14:paraId="5FD49DF4" w14:textId="77777777" w:rsidR="00A86531" w:rsidRPr="00A2574C" w:rsidRDefault="00000000" w:rsidP="00044157">
      <w:pPr>
        <w:pStyle w:val="NormalWeb"/>
        <w:rPr>
          <w:rFonts w:ascii="Garamond" w:hAnsi="Garamond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044157" w:rsidRPr="00A2574C">
        <w:rPr>
          <w:rFonts w:ascii="Garamond" w:hAnsi="Garamond"/>
        </w:rPr>
        <w:t xml:space="preserve"> = workforce density</w:t>
      </w:r>
    </w:p>
    <w:p w14:paraId="301CC8FC" w14:textId="792A1E2D" w:rsidR="00044157" w:rsidRPr="00A2574C" w:rsidRDefault="00044157" w:rsidP="00044157">
      <w:pPr>
        <w:pStyle w:val="NormalWeb"/>
        <w:rPr>
          <w:rFonts w:ascii="Garamond" w:hAnsi="Garamond"/>
        </w:rPr>
      </w:pPr>
      <w:r w:rsidRPr="00A2574C">
        <w:rPr>
          <w:rFonts w:ascii="Garamond" w:hAnsi="Garamond"/>
        </w:rPr>
        <w:lastRenderedPageBreak/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A2574C">
        <w:rPr>
          <w:rFonts w:ascii="Garamond" w:hAnsi="Garamond"/>
        </w:rPr>
        <w:t>= vector of control variables</w:t>
      </w:r>
    </w:p>
    <w:p w14:paraId="5B573B92" w14:textId="2F475213" w:rsidR="00044157" w:rsidRPr="00A2574C" w:rsidRDefault="00044157" w:rsidP="00044157">
      <w:pPr>
        <w:pStyle w:val="NormalWeb"/>
        <w:rPr>
          <w:rFonts w:ascii="Garamond" w:hAnsi="Garamond"/>
        </w:rPr>
      </w:pPr>
      <w:r w:rsidRPr="00A2574C">
        <w:rPr>
          <w:rFonts w:ascii="Garamond" w:hAnsi="Garamond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∝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2574C">
        <w:rPr>
          <w:rFonts w:ascii="Garamond" w:hAnsi="Garamond"/>
        </w:rPr>
        <w:t>= country-specific fixed effect</w:t>
      </w:r>
    </w:p>
    <w:p w14:paraId="3C952994" w14:textId="374B6849" w:rsidR="00044157" w:rsidRPr="00A2574C" w:rsidRDefault="00044157" w:rsidP="00044157">
      <w:pPr>
        <w:pStyle w:val="NormalWeb"/>
        <w:rPr>
          <w:rFonts w:ascii="Garamond" w:hAnsi="Garamond"/>
        </w:rPr>
      </w:pPr>
      <w:r w:rsidRPr="00A2574C">
        <w:rPr>
          <w:rFonts w:ascii="Garamond" w:hAnsi="Garamond"/>
        </w:rPr>
        <w:t xml:space="preserve"> </w:t>
      </w:r>
      <w:r w:rsidRPr="00A2574C">
        <w:rPr>
          <w:rStyle w:val="vlist-s"/>
        </w:rPr>
        <w:t>​</w:t>
      </w:r>
      <w:r w:rsidRPr="00A2574C">
        <w:rPr>
          <w:rFonts w:ascii="Garamond" w:hAnsi="Garamond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2574C">
        <w:rPr>
          <w:rFonts w:ascii="Garamond" w:hAnsi="Garamond"/>
        </w:rPr>
        <w:t>= time (year) fixed effect</w:t>
      </w:r>
    </w:p>
    <w:p w14:paraId="4168EEED" w14:textId="62EC82EC" w:rsidR="00044157" w:rsidRPr="00A2574C" w:rsidRDefault="00044157" w:rsidP="00044157">
      <w:pPr>
        <w:pStyle w:val="NormalWeb"/>
        <w:rPr>
          <w:rFonts w:ascii="Garamond" w:hAnsi="Garamond"/>
          <w:lang w:val="en-GB"/>
        </w:rPr>
      </w:pPr>
      <w:r w:rsidRPr="00A2574C">
        <w:rPr>
          <w:rFonts w:ascii="Garamond" w:hAnsi="Garamond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A86531" w:rsidRPr="00A2574C">
        <w:rPr>
          <w:rFonts w:ascii="Garamond" w:hAnsi="Garamond"/>
          <w:lang w:val="en-GB"/>
        </w:rPr>
        <w:t>- Error term</w:t>
      </w:r>
    </w:p>
    <w:p w14:paraId="1BC2B262" w14:textId="2B156D04" w:rsidR="00920C39" w:rsidRPr="00A2574C" w:rsidRDefault="00920C39" w:rsidP="00920C39">
      <w:pPr>
        <w:pStyle w:val="NormalWeb"/>
        <w:rPr>
          <w:rFonts w:ascii="Garamond" w:hAnsi="Garamond"/>
          <w:lang w:val="en-GB"/>
        </w:rPr>
      </w:pPr>
      <w:r w:rsidRPr="00A2574C">
        <w:rPr>
          <w:rFonts w:ascii="Garamond" w:hAnsi="Garamond"/>
        </w:rPr>
        <w:t>To allow for a structural change in marginal effects at an unknown threshold</w:t>
      </w:r>
      <w:r w:rsidRPr="00A2574C">
        <w:rPr>
          <w:rFonts w:ascii="Garamond" w:hAnsi="Garamond"/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k</m:t>
        </m:r>
      </m:oMath>
      <w:r w:rsidRPr="00A2574C">
        <w:rPr>
          <w:rFonts w:ascii="Garamond" w:hAnsi="Garamond"/>
        </w:rPr>
        <w:t>,</w:t>
      </w:r>
      <w:r w:rsidR="00675339" w:rsidRPr="00A2574C">
        <w:rPr>
          <w:rFonts w:ascii="Garamond" w:hAnsi="Garamond"/>
          <w:lang w:val="en-GB"/>
        </w:rPr>
        <w:t xml:space="preserve"> we</w:t>
      </w:r>
      <w:r w:rsidRPr="00A2574C">
        <w:rPr>
          <w:rFonts w:ascii="Garamond" w:hAnsi="Garamond"/>
        </w:rPr>
        <w:t xml:space="preserve"> define</w:t>
      </w:r>
      <w:r w:rsidRPr="00A2574C">
        <w:rPr>
          <w:rFonts w:ascii="Garamond" w:hAnsi="Garamond"/>
          <w:lang w:val="en-GB"/>
        </w:rPr>
        <w:t xml:space="preserve"> </w:t>
      </w:r>
    </w:p>
    <w:p w14:paraId="637D1524" w14:textId="7003EA46" w:rsidR="00044157" w:rsidRPr="00A2574C" w:rsidRDefault="00000000" w:rsidP="00920C39">
      <w:pPr>
        <w:spacing w:before="100" w:beforeAutospacing="1" w:after="100" w:afterAutospacing="1"/>
        <w:jc w:val="both"/>
        <w:rPr>
          <w:rStyle w:val="katex-mathml"/>
          <w:rFonts w:ascii="Garamond" w:hAnsi="Garamond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Style w:val="katex-mathml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hAnsi="Cambria Math"/>
                    </w:rPr>
                    <m:t>it</m:t>
                  </m:r>
                </m:sub>
              </m:sSub>
              <m:r>
                <w:rPr>
                  <w:rStyle w:val="katex-mathml"/>
                  <w:rFonts w:ascii="Cambria Math" w:hAnsi="Cambria Math"/>
                </w:rPr>
                <m:t>-k)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>+</m:t>
              </m:r>
            </m:sub>
          </m:sSub>
          <m:r>
            <w:rPr>
              <w:rStyle w:val="katex-mathm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katex-mathml"/>
              <w:rFonts w:ascii="Cambria Math" w:hAnsi="Cambria Math"/>
            </w:rPr>
            <m:t>max⁡</m:t>
          </m:r>
          <m:r>
            <w:rPr>
              <w:rStyle w:val="katex-mathml"/>
              <w:rFonts w:ascii="Cambria Math" w:hAnsi="Cambria Math"/>
            </w:rPr>
            <m:t>(0,</m:t>
          </m:r>
          <m:sSub>
            <m:sSubPr>
              <m:ctrlPr>
                <w:rPr>
                  <w:rStyle w:val="katex-mathml"/>
                  <w:rFonts w:ascii="Cambria Math" w:hAnsi="Cambria Math"/>
                  <w:i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</w:rPr>
                <m:t>W</m:t>
              </m:r>
            </m:e>
            <m:sub>
              <m:r>
                <w:rPr>
                  <w:rStyle w:val="katex-mathml"/>
                  <w:rFonts w:ascii="Cambria Math" w:hAnsi="Cambria Math"/>
                </w:rPr>
                <m:t xml:space="preserve">it  </m:t>
              </m:r>
            </m:sub>
          </m:sSub>
          <m:r>
            <w:rPr>
              <w:rStyle w:val="katex-mathml"/>
              <w:rFonts w:ascii="Cambria Math" w:hAnsi="Cambria Math"/>
            </w:rPr>
            <m:t>-k)</m:t>
          </m:r>
        </m:oMath>
      </m:oMathPara>
    </w:p>
    <w:p w14:paraId="613F65A1" w14:textId="1EBBB348" w:rsidR="00675339" w:rsidRPr="00A2574C" w:rsidRDefault="00675339" w:rsidP="00920C39">
      <w:pPr>
        <w:spacing w:before="100" w:beforeAutospacing="1" w:after="100" w:afterAutospacing="1"/>
        <w:jc w:val="both"/>
        <w:rPr>
          <w:rStyle w:val="katex-mathml"/>
          <w:rFonts w:ascii="Garamond" w:hAnsi="Garamond"/>
          <w:lang w:val="en-GB"/>
        </w:rPr>
      </w:pPr>
      <w:r w:rsidRPr="00A2574C">
        <w:rPr>
          <w:rStyle w:val="katex-mathml"/>
          <w:rFonts w:ascii="Garamond" w:hAnsi="Garamond"/>
          <w:lang w:val="en-GB"/>
        </w:rPr>
        <w:t xml:space="preserve">The kink model will be </w:t>
      </w:r>
    </w:p>
    <w:p w14:paraId="604070E4" w14:textId="7DB52C93" w:rsidR="00920C39" w:rsidRPr="00A2574C" w:rsidRDefault="00000000" w:rsidP="00920C39">
      <w:pPr>
        <w:spacing w:before="100" w:beforeAutospacing="1" w:after="100" w:afterAutospacing="1"/>
        <w:jc w:val="both"/>
        <w:rPr>
          <w:rFonts w:ascii="Garamond" w:hAnsi="Garamon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∝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(W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-k)+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7C9FC097" w14:textId="73D771D6" w:rsidR="00920C39" w:rsidRPr="00A2574C" w:rsidRDefault="00675339" w:rsidP="00920C39">
      <w:pPr>
        <w:spacing w:before="100" w:beforeAutospacing="1" w:after="100" w:afterAutospacing="1"/>
        <w:jc w:val="both"/>
        <w:rPr>
          <w:rFonts w:ascii="Garamond" w:hAnsi="Garamond"/>
          <w:lang w:val="en-GB"/>
        </w:rPr>
      </w:pPr>
      <w:r w:rsidRPr="00A2574C">
        <w:rPr>
          <w:rFonts w:ascii="Garamond" w:hAnsi="Garamond"/>
          <w:lang w:val="en-GB"/>
        </w:rPr>
        <w:t>The t</w:t>
      </w:r>
      <w:r w:rsidR="00920C39" w:rsidRPr="00A2574C">
        <w:rPr>
          <w:rFonts w:ascii="Garamond" w:hAnsi="Garamond"/>
          <w:lang w:val="en-GB"/>
        </w:rPr>
        <w:t>hreshold is estimated as</w:t>
      </w:r>
    </w:p>
    <w:p w14:paraId="510E91F4" w14:textId="3842D365" w:rsidR="00920C39" w:rsidRPr="00A2574C" w:rsidRDefault="00000000" w:rsidP="00920C39">
      <w:pPr>
        <w:spacing w:before="100" w:beforeAutospacing="1" w:after="100" w:afterAutospacing="1"/>
        <w:jc w:val="both"/>
        <w:rPr>
          <w:rFonts w:ascii="Garamond" w:hAnsi="Garamond"/>
          <w:lang w:val="en-GB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k</m:t>
              </m:r>
            </m:e>
          </m:acc>
          <m:r>
            <w:rPr>
              <w:rFonts w:ascii="Cambria Math" w:hAnsi="Cambria Math"/>
              <w:lang w:val="en-GB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w:rPr>
                  <w:rFonts w:ascii="Cambria Math" w:hAnsi="Cambria Math"/>
                  <w:lang w:val="en-GB"/>
                </w:rPr>
                <m:t xml:space="preserve">arg </m:t>
              </m:r>
              <m:limLow>
                <m:limLow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GB"/>
                    </w:rPr>
                    <m:t xml:space="preserve">i,t 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ϵ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2</m:t>
                          </m:r>
                        </m:sup>
                      </m:sSubSup>
                    </m:e>
                    <m:sub/>
                  </m:sSub>
                </m:e>
              </m:nary>
            </m:e>
          </m:func>
        </m:oMath>
      </m:oMathPara>
    </w:p>
    <w:p w14:paraId="66D5FE08" w14:textId="1D22D724" w:rsidR="00675339" w:rsidRPr="00A2574C" w:rsidRDefault="00675339" w:rsidP="00920C39">
      <w:pPr>
        <w:spacing w:before="100" w:beforeAutospacing="1" w:after="100" w:afterAutospacing="1"/>
        <w:jc w:val="both"/>
        <w:rPr>
          <w:rFonts w:ascii="Garamond" w:hAnsi="Garamond"/>
          <w:b/>
          <w:bCs/>
          <w:lang w:val="en-GB"/>
        </w:rPr>
      </w:pPr>
      <w:r w:rsidRPr="00A2574C">
        <w:rPr>
          <w:rFonts w:ascii="Garamond" w:hAnsi="Garamond"/>
          <w:b/>
          <w:bCs/>
          <w:lang w:val="en-GB"/>
        </w:rPr>
        <w:t>Results</w:t>
      </w:r>
    </w:p>
    <w:p w14:paraId="217F6E67" w14:textId="35D12043" w:rsidR="00030A25" w:rsidRPr="00A2574C" w:rsidRDefault="00030A25" w:rsidP="00920C39">
      <w:pPr>
        <w:spacing w:before="100" w:beforeAutospacing="1" w:after="100" w:afterAutospacing="1"/>
        <w:jc w:val="both"/>
        <w:rPr>
          <w:rFonts w:ascii="Garamond" w:hAnsi="Garamond"/>
          <w:b/>
          <w:bCs/>
          <w:lang w:val="en-GB"/>
        </w:rPr>
      </w:pPr>
      <w:r w:rsidRPr="00A2574C">
        <w:rPr>
          <w:rFonts w:ascii="Garamond" w:hAnsi="Garamond"/>
          <w:b/>
          <w:bCs/>
          <w:lang w:val="en-GB"/>
        </w:rPr>
        <w:t>Universal Health Coverage</w:t>
      </w:r>
    </w:p>
    <w:p w14:paraId="32CF7B43" w14:textId="2F4C4478" w:rsidR="00865BC7" w:rsidRPr="00A2574C" w:rsidRDefault="00865BC7" w:rsidP="00A2574C">
      <w:pPr>
        <w:pStyle w:val="NormalWeb"/>
        <w:jc w:val="both"/>
        <w:rPr>
          <w:rFonts w:ascii="Garamond" w:hAnsi="Garamond"/>
          <w:lang w:val="en-GB"/>
        </w:rPr>
      </w:pPr>
      <w:r w:rsidRPr="00A2574C">
        <w:rPr>
          <w:rFonts w:ascii="Garamond" w:hAnsi="Garamond"/>
          <w:lang w:val="en-GB"/>
        </w:rPr>
        <w:t xml:space="preserve">We compared the fitted fixed effects and random effects model. From the </w:t>
      </w:r>
      <w:r w:rsidR="00446C64" w:rsidRPr="00A2574C">
        <w:rPr>
          <w:rFonts w:ascii="Garamond" w:hAnsi="Garamond"/>
          <w:lang w:val="en-GB"/>
        </w:rPr>
        <w:t>Hausman</w:t>
      </w:r>
      <w:r w:rsidRPr="00A2574C">
        <w:rPr>
          <w:rFonts w:ascii="Garamond" w:hAnsi="Garamond"/>
          <w:lang w:val="en-GB"/>
        </w:rPr>
        <w:t xml:space="preserve"> test (</w:t>
      </w: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χ</m:t>
            </m:r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  <m:r>
          <w:rPr>
            <w:rFonts w:ascii="Cambria Math" w:hAnsi="Cambria Math"/>
            <w:lang w:val="en-GB"/>
          </w:rPr>
          <m:t>=11.5,  df=25,  p-value&lt;0.001)</m:t>
        </m:r>
      </m:oMath>
      <w:r w:rsidRPr="00A2574C">
        <w:rPr>
          <w:rFonts w:ascii="Garamond" w:hAnsi="Garamond"/>
          <w:lang w:val="en-GB"/>
        </w:rPr>
        <w:t xml:space="preserve">,we rejected the null hypothesis and conclude that </w:t>
      </w:r>
      <w:r w:rsidR="001B10C3" w:rsidRPr="00A2574C">
        <w:rPr>
          <w:rFonts w:ascii="Garamond" w:hAnsi="Garamond"/>
        </w:rPr>
        <w:t>the</w:t>
      </w:r>
      <w:r w:rsidRPr="00A2574C">
        <w:rPr>
          <w:rFonts w:ascii="Garamond" w:hAnsi="Garamond"/>
        </w:rPr>
        <w:t xml:space="preserve"> </w:t>
      </w:r>
      <w:r w:rsidR="001B10C3">
        <w:rPr>
          <w:rFonts w:ascii="Garamond" w:hAnsi="Garamond"/>
          <w:lang w:val="en-GB"/>
        </w:rPr>
        <w:t>r</w:t>
      </w:r>
      <w:r w:rsidRPr="00A2574C">
        <w:rPr>
          <w:rFonts w:ascii="Garamond" w:hAnsi="Garamond"/>
        </w:rPr>
        <w:t xml:space="preserve">andom </w:t>
      </w:r>
      <w:r w:rsidR="001B10C3">
        <w:rPr>
          <w:rFonts w:ascii="Garamond" w:hAnsi="Garamond"/>
          <w:lang w:val="en-GB"/>
        </w:rPr>
        <w:t>e</w:t>
      </w:r>
      <w:r w:rsidRPr="00A2574C">
        <w:rPr>
          <w:rFonts w:ascii="Garamond" w:hAnsi="Garamond"/>
        </w:rPr>
        <w:t xml:space="preserve">ffects model </w:t>
      </w:r>
      <w:r w:rsidRPr="00A2574C">
        <w:rPr>
          <w:rFonts w:ascii="Garamond" w:hAnsi="Garamond"/>
          <w:lang w:val="en-GB"/>
        </w:rPr>
        <w:t>was</w:t>
      </w:r>
      <w:r w:rsidRPr="00A2574C">
        <w:rPr>
          <w:rFonts w:ascii="Garamond" w:hAnsi="Garamond"/>
        </w:rPr>
        <w:t xml:space="preserve"> inconsistent because the individual-specific errors are correlated with the regressors. </w:t>
      </w:r>
      <w:r w:rsidRPr="00A2574C">
        <w:rPr>
          <w:rFonts w:ascii="Garamond" w:hAnsi="Garamond"/>
          <w:lang w:val="en-GB"/>
        </w:rPr>
        <w:t>We therefore report the fixed effects model</w:t>
      </w:r>
      <w:r w:rsidR="00A2574C">
        <w:rPr>
          <w:rFonts w:ascii="Garamond" w:hAnsi="Garamond"/>
          <w:lang w:val="en-GB"/>
        </w:rPr>
        <w:t>.</w:t>
      </w:r>
    </w:p>
    <w:p w14:paraId="3B74364E" w14:textId="7EC83FBB" w:rsidR="00865BC7" w:rsidRPr="00A2574C" w:rsidRDefault="00030A25" w:rsidP="00A2574C">
      <w:pPr>
        <w:pStyle w:val="NormalWeb"/>
        <w:jc w:val="both"/>
        <w:rPr>
          <w:rFonts w:ascii="Garamond" w:hAnsi="Garamond"/>
        </w:rPr>
      </w:pPr>
      <w:r w:rsidRPr="00A2574C">
        <w:rPr>
          <w:rFonts w:ascii="Garamond" w:hAnsi="Garamond"/>
        </w:rPr>
        <w:t xml:space="preserve">In fixed-effects panel models adjusting for year effects, population density and government health expenditure </w:t>
      </w:r>
      <w:r w:rsidR="00A2574C">
        <w:rPr>
          <w:rFonts w:ascii="Garamond" w:hAnsi="Garamond"/>
          <w:lang w:val="en-GB"/>
        </w:rPr>
        <w:t>,</w:t>
      </w:r>
      <w:r w:rsidRPr="00A2574C">
        <w:rPr>
          <w:rFonts w:ascii="Garamond" w:hAnsi="Garamond"/>
        </w:rPr>
        <w:t xml:space="preserve">workforce density was positively associated with UHC service coverage. A one-unit increase in workforce density (per 10,000 population) was associated with a 0.11-point increase in UHC-SCI (β = 0.110, p = 0.004). </w:t>
      </w:r>
      <w:r w:rsidR="00865BC7" w:rsidRPr="00A2574C">
        <w:rPr>
          <w:rFonts w:ascii="Garamond" w:hAnsi="Garamond"/>
        </w:rPr>
        <w:t xml:space="preserve">The coefficients for </w:t>
      </w:r>
      <w:r w:rsidR="00865BC7" w:rsidRPr="00A2574C">
        <w:rPr>
          <w:rStyle w:val="HTMLCode"/>
          <w:rFonts w:ascii="Garamond" w:hAnsi="Garamond"/>
          <w:sz w:val="24"/>
          <w:szCs w:val="24"/>
        </w:rPr>
        <w:t>factor(Year)</w:t>
      </w:r>
      <w:r w:rsidR="00865BC7" w:rsidRPr="00A2574C">
        <w:rPr>
          <w:rFonts w:ascii="Garamond" w:hAnsi="Garamond"/>
        </w:rPr>
        <w:t xml:space="preserve"> show a clear upward trend. Starting around 2006, the time effects become highly significant and increase in magnitude (from 10.8 in 2006 to 22.9 in 2023). This indicates a strong global or systemic improvement in UHC scores over time that isn't explained by your three main independent variables.</w:t>
      </w:r>
    </w:p>
    <w:p w14:paraId="08EE7CBB" w14:textId="012ADA41" w:rsidR="00030A25" w:rsidRPr="00A2574C" w:rsidRDefault="00865BC7" w:rsidP="00920C39">
      <w:pPr>
        <w:spacing w:before="100" w:beforeAutospacing="1" w:after="100" w:afterAutospacing="1"/>
        <w:jc w:val="both"/>
        <w:rPr>
          <w:rFonts w:ascii="Garamond" w:hAnsi="Garamond"/>
          <w:lang w:val="en-GB"/>
        </w:rPr>
      </w:pPr>
      <w:r w:rsidRPr="00A2574C">
        <w:rPr>
          <w:rFonts w:ascii="Garamond" w:hAnsi="Garamond"/>
          <w:lang w:val="en-GB"/>
        </w:rPr>
        <w:t>From the piece wise regression</w:t>
      </w:r>
      <w:r w:rsidR="00030A25" w:rsidRPr="00A2574C">
        <w:rPr>
          <w:rFonts w:ascii="Garamond" w:hAnsi="Garamond"/>
        </w:rPr>
        <w:t xml:space="preserve">, the estimated kink term capturing a change in marginal returns above the candidate threshold was not statistically significant (β = 0.043, p = 0.72), indicating no evidence of a discrete breakpoint in the workforce–UHC relationship. </w:t>
      </w:r>
    </w:p>
    <w:p w14:paraId="4549B559" w14:textId="3C6F7ABA" w:rsidR="002933DC" w:rsidRPr="00A2574C" w:rsidRDefault="002933DC" w:rsidP="00C10A7A">
      <w:pPr>
        <w:pStyle w:val="NormalWeb"/>
        <w:jc w:val="both"/>
        <w:rPr>
          <w:rFonts w:ascii="Garamond" w:hAnsi="Garamond"/>
          <w:lang w:val="en-GB"/>
        </w:rPr>
      </w:pPr>
      <w:r w:rsidRPr="00A2574C">
        <w:rPr>
          <w:rFonts w:ascii="Garamond" w:hAnsi="Garamond"/>
        </w:rPr>
        <w:t>A grid-search procedure was used to identify the workforce density threshold minimizing the residual sum of squares in fixed-effects models. The</w:t>
      </w:r>
      <w:r w:rsidR="00C10A7A">
        <w:rPr>
          <w:rFonts w:ascii="Garamond" w:hAnsi="Garamond"/>
          <w:lang w:val="en-GB"/>
        </w:rPr>
        <w:t xml:space="preserve"> </w:t>
      </w:r>
      <w:r w:rsidRPr="00A2574C">
        <w:rPr>
          <w:rFonts w:ascii="Garamond" w:hAnsi="Garamond"/>
        </w:rPr>
        <w:t>optimal breakpoint was identified at approximately 9 health workers per 10,000 population</w:t>
      </w:r>
      <w:r w:rsidR="00D5714E" w:rsidRPr="00A2574C">
        <w:rPr>
          <w:rFonts w:ascii="Garamond" w:hAnsi="Garamond"/>
          <w:lang w:val="en-GB"/>
        </w:rPr>
        <w:t xml:space="preserve"> for UHC</w:t>
      </w:r>
      <w:r w:rsidR="00C10A7A">
        <w:rPr>
          <w:rFonts w:ascii="Garamond" w:hAnsi="Garamond"/>
          <w:lang w:val="en-GB"/>
        </w:rPr>
        <w:t>( figure 1)</w:t>
      </w:r>
      <w:r w:rsidRPr="00A2574C">
        <w:rPr>
          <w:rFonts w:ascii="Garamond" w:hAnsi="Garamond"/>
        </w:rPr>
        <w:t>.</w:t>
      </w:r>
      <w:r w:rsidR="00446C64" w:rsidRPr="00A2574C">
        <w:rPr>
          <w:rFonts w:ascii="Garamond" w:hAnsi="Garamond"/>
        </w:rPr>
        <w:t xml:space="preserve"> This threshold  represents the transition from </w:t>
      </w:r>
      <w:r w:rsidR="00446C64" w:rsidRPr="00A2574C">
        <w:rPr>
          <w:rFonts w:ascii="Garamond" w:hAnsi="Garamond"/>
          <w:lang w:val="en-GB"/>
        </w:rPr>
        <w:t>‘</w:t>
      </w:r>
      <w:r w:rsidR="00446C64" w:rsidRPr="00A2574C">
        <w:rPr>
          <w:rFonts w:ascii="Garamond" w:hAnsi="Garamond"/>
        </w:rPr>
        <w:t>extreme health workforce crisis</w:t>
      </w:r>
      <w:r w:rsidR="00446C64" w:rsidRPr="00A2574C">
        <w:rPr>
          <w:rFonts w:ascii="Garamond" w:hAnsi="Garamond"/>
          <w:lang w:val="en-GB"/>
        </w:rPr>
        <w:t>’</w:t>
      </w:r>
      <w:r w:rsidR="00446C64" w:rsidRPr="00A2574C">
        <w:rPr>
          <w:rFonts w:ascii="Garamond" w:hAnsi="Garamond"/>
        </w:rPr>
        <w:t xml:space="preserve"> to </w:t>
      </w:r>
      <w:r w:rsidR="00446C64" w:rsidRPr="00A2574C">
        <w:rPr>
          <w:rFonts w:ascii="Garamond" w:hAnsi="Garamond"/>
          <w:lang w:val="en-GB"/>
        </w:rPr>
        <w:t>‘</w:t>
      </w:r>
      <w:r w:rsidR="00446C64" w:rsidRPr="00A2574C">
        <w:rPr>
          <w:rFonts w:ascii="Garamond" w:hAnsi="Garamond"/>
        </w:rPr>
        <w:t>basic functional capacity</w:t>
      </w:r>
      <w:r w:rsidR="00446C64" w:rsidRPr="00A2574C">
        <w:rPr>
          <w:rFonts w:ascii="Garamond" w:hAnsi="Garamond"/>
          <w:lang w:val="en-GB"/>
        </w:rPr>
        <w:t>’</w:t>
      </w:r>
      <w:r w:rsidR="00446C64" w:rsidRPr="00A2574C">
        <w:rPr>
          <w:rFonts w:ascii="Garamond" w:hAnsi="Garamond"/>
        </w:rPr>
        <w:t>.</w:t>
      </w:r>
      <w:r w:rsidR="00D5714E" w:rsidRPr="00A2574C">
        <w:rPr>
          <w:rFonts w:ascii="Garamond" w:hAnsi="Garamond"/>
          <w:lang w:val="en-GB"/>
        </w:rPr>
        <w:t xml:space="preserve"> It is the point where basic primary care geared towards UHC begins to stabilize.</w:t>
      </w:r>
      <w:r w:rsidR="00CE6D26">
        <w:rPr>
          <w:rFonts w:ascii="Garamond" w:hAnsi="Garamond"/>
          <w:lang w:val="en-GB"/>
        </w:rPr>
        <w:t xml:space="preserve"> </w:t>
      </w:r>
      <w:r w:rsidRPr="00A2574C">
        <w:rPr>
          <w:rFonts w:ascii="Garamond" w:hAnsi="Garamond"/>
        </w:rPr>
        <w:t>However, the slope-change parameter was not statistically significant, suggesting that while marginal returns may diminish beyond this level, there is no evidence of a discrete structural break</w:t>
      </w:r>
      <w:r w:rsidR="0017462C" w:rsidRPr="00A2574C">
        <w:rPr>
          <w:rFonts w:ascii="Garamond" w:hAnsi="Garamond"/>
          <w:lang w:val="en-GB"/>
        </w:rPr>
        <w:t>.</w:t>
      </w:r>
    </w:p>
    <w:p w14:paraId="31E0E60C" w14:textId="1BEB8949" w:rsidR="002933DC" w:rsidRDefault="002933DC" w:rsidP="00920C39">
      <w:pPr>
        <w:spacing w:before="100" w:beforeAutospacing="1" w:after="100" w:afterAutospacing="1"/>
        <w:jc w:val="both"/>
        <w:rPr>
          <w:rFonts w:ascii="Garamond" w:hAnsi="Garamond"/>
          <w:b/>
          <w:bCs/>
          <w:lang w:val="en-GB"/>
        </w:rPr>
      </w:pPr>
      <w:r w:rsidRPr="00A2574C">
        <w:rPr>
          <w:rFonts w:ascii="Garamond" w:hAnsi="Garamond"/>
          <w:b/>
          <w:bCs/>
          <w:noProof/>
          <w:lang w:val="en-GB"/>
        </w:rPr>
        <w:lastRenderedPageBreak/>
        <w:drawing>
          <wp:inline distT="0" distB="0" distL="0" distR="0" wp14:anchorId="66229A3A" wp14:editId="44D7D403">
            <wp:extent cx="4656667" cy="323222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0461" cy="32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7941" w14:textId="338CF4A5" w:rsidR="001B10C3" w:rsidRPr="00C10A7A" w:rsidRDefault="001B10C3" w:rsidP="00920C39">
      <w:pPr>
        <w:spacing w:before="100" w:beforeAutospacing="1" w:after="100" w:afterAutospacing="1"/>
        <w:jc w:val="both"/>
        <w:rPr>
          <w:rFonts w:ascii="Garamond" w:hAnsi="Garamond"/>
          <w:lang w:val="en-GB"/>
        </w:rPr>
      </w:pPr>
      <w:r w:rsidRPr="00C10A7A">
        <w:rPr>
          <w:rFonts w:ascii="Garamond" w:hAnsi="Garamond"/>
          <w:lang w:val="en-GB"/>
        </w:rPr>
        <w:t xml:space="preserve">Figure 1: </w:t>
      </w:r>
      <w:r w:rsidR="00C10A7A" w:rsidRPr="00C10A7A">
        <w:rPr>
          <w:rFonts w:ascii="Garamond" w:hAnsi="Garamond"/>
          <w:lang w:val="en-GB"/>
        </w:rPr>
        <w:t>Workforce density threshold</w:t>
      </w:r>
      <w:r w:rsidR="00CE6D26">
        <w:rPr>
          <w:rFonts w:ascii="Garamond" w:hAnsi="Garamond"/>
          <w:lang w:val="en-GB"/>
        </w:rPr>
        <w:t xml:space="preserve"> for UHC</w:t>
      </w:r>
    </w:p>
    <w:p w14:paraId="333F847D" w14:textId="20D399BF" w:rsidR="002933DC" w:rsidRPr="001B10C3" w:rsidRDefault="002933DC" w:rsidP="002933DC">
      <w:pPr>
        <w:spacing w:before="100" w:beforeAutospacing="1" w:after="100" w:afterAutospacing="1"/>
        <w:jc w:val="both"/>
        <w:rPr>
          <w:rFonts w:ascii="Garamond" w:hAnsi="Garamond"/>
          <w:b/>
          <w:bCs/>
          <w:lang w:val="en-GB"/>
        </w:rPr>
      </w:pPr>
      <w:r w:rsidRPr="001B10C3">
        <w:rPr>
          <w:rFonts w:ascii="Garamond" w:hAnsi="Garamond"/>
          <w:b/>
          <w:bCs/>
          <w:lang w:val="en-GB"/>
        </w:rPr>
        <w:t>Life expectancy outcome</w:t>
      </w:r>
    </w:p>
    <w:p w14:paraId="70BE01DC" w14:textId="14E9D82D" w:rsidR="0017462C" w:rsidRPr="00A2574C" w:rsidRDefault="0017462C" w:rsidP="0017462C">
      <w:pPr>
        <w:pStyle w:val="NormalWeb"/>
        <w:rPr>
          <w:rFonts w:ascii="Garamond" w:hAnsi="Garamond"/>
          <w:lang w:val="en-GB"/>
        </w:rPr>
      </w:pPr>
      <w:r w:rsidRPr="00A2574C">
        <w:rPr>
          <w:rFonts w:ascii="Garamond" w:hAnsi="Garamond"/>
        </w:rPr>
        <w:t xml:space="preserve">There </w:t>
      </w:r>
      <w:r w:rsidR="00A2574C">
        <w:rPr>
          <w:rFonts w:ascii="Garamond" w:hAnsi="Garamond"/>
          <w:lang w:val="en-GB"/>
        </w:rPr>
        <w:t>was</w:t>
      </w:r>
      <w:r w:rsidRPr="00A2574C">
        <w:rPr>
          <w:rFonts w:ascii="Garamond" w:hAnsi="Garamond"/>
        </w:rPr>
        <w:t xml:space="preserve"> no statistically significant difference between the </w:t>
      </w:r>
      <w:r w:rsidR="000D60DA" w:rsidRPr="00A2574C">
        <w:rPr>
          <w:rFonts w:ascii="Garamond" w:hAnsi="Garamond"/>
          <w:lang w:val="en-GB"/>
        </w:rPr>
        <w:t>f</w:t>
      </w:r>
      <w:r w:rsidRPr="00A2574C">
        <w:rPr>
          <w:rFonts w:ascii="Garamond" w:hAnsi="Garamond"/>
        </w:rPr>
        <w:t xml:space="preserve">ixed </w:t>
      </w:r>
      <w:r w:rsidR="000D60DA" w:rsidRPr="00A2574C">
        <w:rPr>
          <w:rFonts w:ascii="Garamond" w:hAnsi="Garamond"/>
          <w:lang w:val="en-GB"/>
        </w:rPr>
        <w:t>e</w:t>
      </w:r>
      <w:r w:rsidRPr="00A2574C">
        <w:rPr>
          <w:rFonts w:ascii="Garamond" w:hAnsi="Garamond"/>
        </w:rPr>
        <w:t xml:space="preserve">ffects and </w:t>
      </w:r>
      <w:r w:rsidR="000D60DA" w:rsidRPr="00A2574C">
        <w:rPr>
          <w:rFonts w:ascii="Garamond" w:hAnsi="Garamond"/>
          <w:lang w:val="en-GB"/>
        </w:rPr>
        <w:t>r</w:t>
      </w:r>
      <w:r w:rsidRPr="00A2574C">
        <w:rPr>
          <w:rFonts w:ascii="Garamond" w:hAnsi="Garamond"/>
        </w:rPr>
        <w:t xml:space="preserve">andom </w:t>
      </w:r>
      <w:r w:rsidR="000D60DA" w:rsidRPr="00A2574C">
        <w:rPr>
          <w:rFonts w:ascii="Garamond" w:hAnsi="Garamond"/>
          <w:lang w:val="en-GB"/>
        </w:rPr>
        <w:t>e</w:t>
      </w:r>
      <w:r w:rsidRPr="00A2574C">
        <w:rPr>
          <w:rFonts w:ascii="Garamond" w:hAnsi="Garamond"/>
        </w:rPr>
        <w:t>ffects coefficients</w:t>
      </w:r>
      <w:r w:rsidR="000D60DA" w:rsidRPr="00A2574C">
        <w:rPr>
          <w:rFonts w:ascii="Garamond" w:hAnsi="Garamond"/>
          <w:lang w:val="en-GB"/>
        </w:rPr>
        <w:t xml:space="preserve"> </w:t>
      </w:r>
      <w:r w:rsidR="00A2574C">
        <w:rPr>
          <w:rFonts w:ascii="Garamond" w:hAnsi="Garamond"/>
          <w:lang w:val="en-GB"/>
        </w:rPr>
        <w:t>(</w:t>
      </w:r>
      <w:r w:rsidR="000D60DA" w:rsidRPr="00A2574C">
        <w:rPr>
          <w:rFonts w:ascii="Garamond" w:hAnsi="Garamond"/>
          <w:lang w:val="en-GB"/>
        </w:rPr>
        <w:t>Hausman test (</w:t>
      </w: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χ</m:t>
            </m:r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  <m:r>
          <w:rPr>
            <w:rFonts w:ascii="Cambria Math" w:hAnsi="Cambria Math"/>
            <w:lang w:val="en-GB"/>
          </w:rPr>
          <m:t>=0.0669,  df=23,  p-value=0.9999</m:t>
        </m:r>
      </m:oMath>
      <w:r w:rsidRPr="00A2574C">
        <w:rPr>
          <w:rFonts w:ascii="Garamond" w:hAnsi="Garamond"/>
        </w:rPr>
        <w:t xml:space="preserve"> </w:t>
      </w:r>
      <w:r w:rsidR="000D60DA" w:rsidRPr="00A2574C">
        <w:rPr>
          <w:rStyle w:val="Strong"/>
          <w:rFonts w:ascii="Garamond" w:hAnsi="Garamond"/>
          <w:b w:val="0"/>
          <w:bCs w:val="0"/>
          <w:lang w:val="en-GB"/>
        </w:rPr>
        <w:t>)</w:t>
      </w:r>
      <w:r w:rsidR="00A2574C">
        <w:rPr>
          <w:rStyle w:val="Strong"/>
          <w:rFonts w:ascii="Garamond" w:hAnsi="Garamond"/>
          <w:b w:val="0"/>
          <w:bCs w:val="0"/>
          <w:lang w:val="en-GB"/>
        </w:rPr>
        <w:t>).</w:t>
      </w:r>
    </w:p>
    <w:p w14:paraId="19C25356" w14:textId="4C0486F9" w:rsidR="001B10C3" w:rsidRDefault="002933DC" w:rsidP="00A2574C">
      <w:pPr>
        <w:pStyle w:val="NormalWeb"/>
        <w:jc w:val="both"/>
        <w:rPr>
          <w:rFonts w:ascii="Garamond" w:hAnsi="Garamond"/>
          <w:lang w:val="en-GB"/>
        </w:rPr>
      </w:pPr>
      <w:r w:rsidRPr="00A2574C">
        <w:rPr>
          <w:rFonts w:ascii="Garamond" w:hAnsi="Garamond"/>
        </w:rPr>
        <w:t>In random-effects panel models adjusting for population density, government health expenditure, and year effects, workforce density was not significantly associated with life expectancy (β = 0.016, p = 0.41). The estimated slope change above the optimal breakpoint (38 workers per 10,000 population) was negative but statistically insignificant (β = –0.079, p = 0.16), providing no evidence of a structural threshold in the workforce–longevity relationship.</w:t>
      </w:r>
      <w:r w:rsidR="00D5714E" w:rsidRPr="00A2574C">
        <w:rPr>
          <w:rFonts w:ascii="Garamond" w:hAnsi="Garamond"/>
          <w:lang w:val="en-GB"/>
        </w:rPr>
        <w:t xml:space="preserve"> </w:t>
      </w:r>
      <w:r w:rsidR="00D5714E" w:rsidRPr="00A2574C">
        <w:rPr>
          <w:rFonts w:ascii="Garamond" w:hAnsi="Garamond"/>
        </w:rPr>
        <w:t>The</w:t>
      </w:r>
      <w:r w:rsidR="001B10C3">
        <w:rPr>
          <w:rFonts w:ascii="Garamond" w:hAnsi="Garamond"/>
          <w:lang w:val="en-GB"/>
        </w:rPr>
        <w:t xml:space="preserve"> l</w:t>
      </w:r>
      <w:r w:rsidR="00D5714E" w:rsidRPr="00A2574C">
        <w:rPr>
          <w:rStyle w:val="Strong"/>
          <w:rFonts w:ascii="Garamond" w:hAnsi="Garamond"/>
          <w:b w:val="0"/>
          <w:bCs w:val="0"/>
        </w:rPr>
        <w:t xml:space="preserve">ife </w:t>
      </w:r>
      <w:r w:rsidR="001B10C3">
        <w:rPr>
          <w:rStyle w:val="Strong"/>
          <w:rFonts w:ascii="Garamond" w:hAnsi="Garamond"/>
          <w:b w:val="0"/>
          <w:bCs w:val="0"/>
          <w:lang w:val="en-GB"/>
        </w:rPr>
        <w:t>e</w:t>
      </w:r>
      <w:r w:rsidR="00D5714E" w:rsidRPr="00A2574C">
        <w:rPr>
          <w:rStyle w:val="Strong"/>
          <w:rFonts w:ascii="Garamond" w:hAnsi="Garamond"/>
          <w:b w:val="0"/>
          <w:bCs w:val="0"/>
        </w:rPr>
        <w:t xml:space="preserve">xpectancy at </w:t>
      </w:r>
      <w:r w:rsidR="001B10C3">
        <w:rPr>
          <w:rStyle w:val="Strong"/>
          <w:rFonts w:ascii="Garamond" w:hAnsi="Garamond"/>
          <w:b w:val="0"/>
          <w:bCs w:val="0"/>
          <w:lang w:val="en-GB"/>
        </w:rPr>
        <w:t>b</w:t>
      </w:r>
      <w:r w:rsidR="00D5714E" w:rsidRPr="00A2574C">
        <w:rPr>
          <w:rStyle w:val="Strong"/>
          <w:rFonts w:ascii="Garamond" w:hAnsi="Garamond"/>
          <w:b w:val="0"/>
          <w:bCs w:val="0"/>
        </w:rPr>
        <w:t>irth (LE)</w:t>
      </w:r>
      <w:r w:rsidR="00D5714E" w:rsidRPr="00A2574C">
        <w:rPr>
          <w:rFonts w:ascii="Garamond" w:hAnsi="Garamond"/>
          <w:b/>
          <w:bCs/>
        </w:rPr>
        <w:t xml:space="preserve"> </w:t>
      </w:r>
      <w:r w:rsidR="00D5714E" w:rsidRPr="00A2574C">
        <w:rPr>
          <w:rFonts w:ascii="Garamond" w:hAnsi="Garamond"/>
        </w:rPr>
        <w:t xml:space="preserve">threshold of </w:t>
      </w:r>
      <w:r w:rsidR="00D5714E" w:rsidRPr="00A2574C">
        <w:rPr>
          <w:rStyle w:val="Strong"/>
          <w:rFonts w:ascii="Garamond" w:hAnsi="Garamond"/>
        </w:rPr>
        <w:t>38.0</w:t>
      </w:r>
      <w:r w:rsidR="00D5714E" w:rsidRPr="00A2574C">
        <w:rPr>
          <w:rFonts w:ascii="Garamond" w:hAnsi="Garamond"/>
        </w:rPr>
        <w:t xml:space="preserve"> </w:t>
      </w:r>
      <w:r w:rsidR="00D5714E" w:rsidRPr="00A2574C">
        <w:rPr>
          <w:rFonts w:ascii="Garamond" w:hAnsi="Garamond"/>
          <w:lang w:val="en-GB"/>
        </w:rPr>
        <w:t>is closer to</w:t>
      </w:r>
      <w:r w:rsidR="00D5714E" w:rsidRPr="00A2574C">
        <w:rPr>
          <w:rFonts w:ascii="Garamond" w:hAnsi="Garamond"/>
        </w:rPr>
        <w:t xml:space="preserve"> the broader WHO global benchmarks and represents the </w:t>
      </w:r>
      <w:r w:rsidR="00D5714E" w:rsidRPr="00A2574C">
        <w:rPr>
          <w:rFonts w:ascii="Garamond" w:hAnsi="Garamond"/>
          <w:lang w:val="en-GB"/>
        </w:rPr>
        <w:t>population health impact.</w:t>
      </w:r>
    </w:p>
    <w:p w14:paraId="64BAD3F3" w14:textId="4CEFE4F8" w:rsidR="00CE6D26" w:rsidRDefault="00CE6D26" w:rsidP="00A2574C">
      <w:pPr>
        <w:pStyle w:val="NormalWeb"/>
        <w:jc w:val="both"/>
        <w:rPr>
          <w:rFonts w:ascii="Garamond" w:hAnsi="Garamond"/>
          <w:lang w:val="en-GB"/>
        </w:rPr>
      </w:pPr>
      <w:r w:rsidRPr="00CE6D26">
        <w:rPr>
          <w:rFonts w:ascii="Garamond" w:hAnsi="Garamond"/>
          <w:noProof/>
          <w:lang w:val="en-GB"/>
        </w:rPr>
        <w:lastRenderedPageBreak/>
        <w:drawing>
          <wp:inline distT="0" distB="0" distL="0" distR="0" wp14:anchorId="17D31EDB" wp14:editId="77C12F16">
            <wp:extent cx="5731510" cy="3978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9A44" w14:textId="76CD48D1" w:rsidR="00CE6D26" w:rsidRPr="00C10A7A" w:rsidRDefault="00CE6D26" w:rsidP="00CE6D26">
      <w:pPr>
        <w:spacing w:before="100" w:beforeAutospacing="1" w:after="100" w:afterAutospacing="1"/>
        <w:jc w:val="both"/>
        <w:rPr>
          <w:rFonts w:ascii="Garamond" w:hAnsi="Garamond"/>
          <w:lang w:val="en-GB"/>
        </w:rPr>
      </w:pPr>
      <w:r w:rsidRPr="00C10A7A">
        <w:rPr>
          <w:rFonts w:ascii="Garamond" w:hAnsi="Garamond"/>
          <w:lang w:val="en-GB"/>
        </w:rPr>
        <w:t xml:space="preserve">Figure </w:t>
      </w:r>
      <w:r>
        <w:rPr>
          <w:rFonts w:ascii="Garamond" w:hAnsi="Garamond"/>
          <w:lang w:val="en-GB"/>
        </w:rPr>
        <w:t>2</w:t>
      </w:r>
      <w:r w:rsidRPr="00C10A7A">
        <w:rPr>
          <w:rFonts w:ascii="Garamond" w:hAnsi="Garamond"/>
          <w:lang w:val="en-GB"/>
        </w:rPr>
        <w:t>: Workforce density threshold</w:t>
      </w:r>
      <w:r>
        <w:rPr>
          <w:rFonts w:ascii="Garamond" w:hAnsi="Garamond"/>
          <w:lang w:val="en-GB"/>
        </w:rPr>
        <w:t xml:space="preserve"> for Life Expectancy</w:t>
      </w:r>
    </w:p>
    <w:p w14:paraId="2A2FD9CF" w14:textId="77777777" w:rsidR="00CE6D26" w:rsidRDefault="00CE6D26" w:rsidP="00A2574C">
      <w:pPr>
        <w:pStyle w:val="NormalWeb"/>
        <w:jc w:val="both"/>
        <w:rPr>
          <w:rFonts w:ascii="Garamond" w:hAnsi="Garamond"/>
          <w:lang w:val="en-GB"/>
        </w:rPr>
      </w:pPr>
    </w:p>
    <w:p w14:paraId="0F7DB0EF" w14:textId="7190E59F" w:rsidR="001B10C3" w:rsidRPr="001B10C3" w:rsidRDefault="001B10C3" w:rsidP="00A2574C">
      <w:pPr>
        <w:pStyle w:val="NormalWeb"/>
        <w:jc w:val="both"/>
        <w:rPr>
          <w:rFonts w:ascii="Garamond" w:hAnsi="Garamond"/>
          <w:b/>
          <w:bCs/>
          <w:lang w:val="en-GB"/>
        </w:rPr>
      </w:pPr>
      <w:r w:rsidRPr="001B10C3">
        <w:rPr>
          <w:rFonts w:ascii="Garamond" w:hAnsi="Garamond"/>
          <w:b/>
          <w:bCs/>
          <w:lang w:val="en-GB"/>
        </w:rPr>
        <w:t>Comparison</w:t>
      </w:r>
    </w:p>
    <w:p w14:paraId="5137B6F8" w14:textId="2F8446C9" w:rsidR="00044157" w:rsidRPr="00A2574C" w:rsidRDefault="00D746F1" w:rsidP="00D746F1">
      <w:pPr>
        <w:pStyle w:val="NormalWeb"/>
        <w:jc w:val="both"/>
        <w:rPr>
          <w:rFonts w:ascii="Garamond" w:hAnsi="Garamond"/>
          <w:lang w:val="en-GB"/>
        </w:rPr>
      </w:pPr>
      <w:r w:rsidRPr="00A2574C">
        <w:rPr>
          <w:rStyle w:val="Strong"/>
          <w:rFonts w:ascii="Garamond" w:hAnsi="Garamond"/>
          <w:b w:val="0"/>
          <w:bCs w:val="0"/>
        </w:rPr>
        <w:t xml:space="preserve">Health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w</w:t>
      </w:r>
      <w:r w:rsidRPr="00A2574C">
        <w:rPr>
          <w:rStyle w:val="Strong"/>
          <w:rFonts w:ascii="Garamond" w:hAnsi="Garamond"/>
          <w:b w:val="0"/>
          <w:bCs w:val="0"/>
        </w:rPr>
        <w:t xml:space="preserve">orkforce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d</w:t>
      </w:r>
      <w:r w:rsidRPr="00A2574C">
        <w:rPr>
          <w:rStyle w:val="Strong"/>
          <w:rFonts w:ascii="Garamond" w:hAnsi="Garamond"/>
          <w:b w:val="0"/>
          <w:bCs w:val="0"/>
        </w:rPr>
        <w:t>ensity</w:t>
      </w:r>
      <w:r w:rsidRPr="00A2574C">
        <w:rPr>
          <w:rFonts w:ascii="Garamond" w:hAnsi="Garamond"/>
        </w:rPr>
        <w:t xml:space="preserve"> is a critical driver for the </w:t>
      </w:r>
      <w:r w:rsidRPr="00A2574C">
        <w:rPr>
          <w:rStyle w:val="Strong"/>
          <w:rFonts w:ascii="Garamond" w:hAnsi="Garamond"/>
          <w:b w:val="0"/>
          <w:bCs w:val="0"/>
        </w:rPr>
        <w:t xml:space="preserve">UHC Service </w:t>
      </w:r>
      <w:r w:rsidR="00A2574C">
        <w:rPr>
          <w:rStyle w:val="Strong"/>
          <w:rFonts w:ascii="Garamond" w:hAnsi="Garamond"/>
          <w:b w:val="0"/>
          <w:bCs w:val="0"/>
          <w:lang w:val="en-GB"/>
        </w:rPr>
        <w:t>C</w:t>
      </w:r>
      <w:r w:rsidRPr="00A2574C">
        <w:rPr>
          <w:rStyle w:val="Strong"/>
          <w:rFonts w:ascii="Garamond" w:hAnsi="Garamond"/>
          <w:b w:val="0"/>
          <w:bCs w:val="0"/>
        </w:rPr>
        <w:t>overage Index</w:t>
      </w:r>
      <w:r w:rsidR="00A2574C">
        <w:rPr>
          <w:rStyle w:val="Strong"/>
          <w:rFonts w:ascii="Garamond" w:hAnsi="Garamond"/>
          <w:b w:val="0"/>
          <w:bCs w:val="0"/>
          <w:lang w:val="en-GB"/>
        </w:rPr>
        <w:t>( UHC_SCI)</w:t>
      </w:r>
      <w:r w:rsidRPr="00A2574C">
        <w:rPr>
          <w:rFonts w:ascii="Garamond" w:hAnsi="Garamond"/>
        </w:rPr>
        <w:t xml:space="preserve"> but does not significantly impact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l</w:t>
      </w:r>
      <w:r w:rsidRPr="00A2574C">
        <w:rPr>
          <w:rStyle w:val="Strong"/>
          <w:rFonts w:ascii="Garamond" w:hAnsi="Garamond"/>
          <w:b w:val="0"/>
          <w:bCs w:val="0"/>
        </w:rPr>
        <w:t xml:space="preserve">ife 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e</w:t>
      </w:r>
      <w:r w:rsidRPr="00A2574C">
        <w:rPr>
          <w:rStyle w:val="Strong"/>
          <w:rFonts w:ascii="Garamond" w:hAnsi="Garamond"/>
          <w:b w:val="0"/>
          <w:bCs w:val="0"/>
        </w:rPr>
        <w:t>xpectanc</w:t>
      </w:r>
      <w:r w:rsidR="00A2574C" w:rsidRPr="00A2574C">
        <w:rPr>
          <w:rStyle w:val="Strong"/>
          <w:rFonts w:ascii="Garamond" w:hAnsi="Garamond"/>
          <w:b w:val="0"/>
          <w:bCs w:val="0"/>
          <w:lang w:val="en-GB"/>
        </w:rPr>
        <w:t>y</w:t>
      </w:r>
      <w:r w:rsidR="00D5714E" w:rsidRPr="00A2574C">
        <w:rPr>
          <w:rStyle w:val="Strong"/>
          <w:rFonts w:ascii="Garamond" w:hAnsi="Garamond"/>
          <w:b w:val="0"/>
          <w:bCs w:val="0"/>
          <w:lang w:val="en-GB"/>
        </w:rPr>
        <w:t xml:space="preserve">. </w:t>
      </w:r>
      <w:r w:rsidRPr="00A2574C">
        <w:rPr>
          <w:rFonts w:ascii="Garamond" w:hAnsi="Garamond"/>
        </w:rPr>
        <w:t xml:space="preserve">Hiring more </w:t>
      </w:r>
      <w:r w:rsidRPr="00A2574C">
        <w:rPr>
          <w:rFonts w:ascii="Garamond" w:hAnsi="Garamond"/>
          <w:lang w:val="en-GB"/>
        </w:rPr>
        <w:t>health workforce</w:t>
      </w:r>
      <w:r w:rsidRPr="00A2574C">
        <w:rPr>
          <w:rFonts w:ascii="Garamond" w:hAnsi="Garamond"/>
        </w:rPr>
        <w:t xml:space="preserve"> directly improves service delivery (vaccinations, prenatal care, hospital access), which raises the UHC score</w:t>
      </w:r>
      <w:r w:rsidRPr="00A2574C">
        <w:rPr>
          <w:rFonts w:ascii="Garamond" w:hAnsi="Garamond"/>
          <w:lang w:val="en-GB"/>
        </w:rPr>
        <w:t>.On the other hand, l</w:t>
      </w:r>
      <w:r w:rsidRPr="00A2574C">
        <w:rPr>
          <w:rFonts w:ascii="Garamond" w:hAnsi="Garamond"/>
        </w:rPr>
        <w:t xml:space="preserve">ife </w:t>
      </w:r>
      <w:r w:rsidRPr="00A2574C">
        <w:rPr>
          <w:rFonts w:ascii="Garamond" w:hAnsi="Garamond"/>
          <w:lang w:val="en-GB"/>
        </w:rPr>
        <w:t>e</w:t>
      </w:r>
      <w:r w:rsidRPr="00A2574C">
        <w:rPr>
          <w:rFonts w:ascii="Garamond" w:hAnsi="Garamond"/>
        </w:rPr>
        <w:t>xpectancy is influenced by broader factors</w:t>
      </w:r>
      <w:r w:rsidR="00A2574C" w:rsidRPr="00A2574C">
        <w:rPr>
          <w:rFonts w:ascii="Garamond" w:hAnsi="Garamond"/>
          <w:lang w:val="en-GB"/>
        </w:rPr>
        <w:t xml:space="preserve"> not necessarily the health work force</w:t>
      </w:r>
      <w:r w:rsidR="00D5714E" w:rsidRPr="00A2574C">
        <w:rPr>
          <w:rFonts w:ascii="Garamond" w:hAnsi="Garamond"/>
          <w:lang w:val="en-GB"/>
        </w:rPr>
        <w:t>.</w:t>
      </w:r>
    </w:p>
    <w:p w14:paraId="5DE6109E" w14:textId="7894C4D3" w:rsidR="00D5714E" w:rsidRPr="00A2574C" w:rsidRDefault="00A2574C" w:rsidP="00A2574C">
      <w:pPr>
        <w:pStyle w:val="NormalWeb"/>
        <w:jc w:val="both"/>
        <w:rPr>
          <w:rFonts w:ascii="Garamond" w:hAnsi="Garamond"/>
        </w:rPr>
      </w:pPr>
      <w:r w:rsidRPr="00A2574C">
        <w:rPr>
          <w:rFonts w:ascii="Garamond" w:hAnsi="Garamond"/>
          <w:lang w:val="en-GB"/>
        </w:rPr>
        <w:t>W</w:t>
      </w:r>
      <w:r w:rsidR="00D5714E" w:rsidRPr="00A2574C">
        <w:rPr>
          <w:rFonts w:ascii="Garamond" w:hAnsi="Garamond"/>
        </w:rPr>
        <w:t xml:space="preserve">hile a density </w:t>
      </w:r>
      <w:r w:rsidR="00D5714E" w:rsidRPr="00CE6D26">
        <w:rPr>
          <w:rFonts w:ascii="Garamond" w:hAnsi="Garamond"/>
        </w:rPr>
        <w:t xml:space="preserve">of </w:t>
      </w:r>
      <w:r w:rsidR="00D5714E" w:rsidRPr="00A2574C">
        <w:rPr>
          <w:rStyle w:val="Strong"/>
          <w:rFonts w:ascii="Garamond" w:hAnsi="Garamond"/>
          <w:b w:val="0"/>
          <w:bCs w:val="0"/>
        </w:rPr>
        <w:t>9 health workers per 10,000</w:t>
      </w:r>
      <w:r w:rsidR="00D5714E" w:rsidRPr="00A2574C">
        <w:rPr>
          <w:rFonts w:ascii="Garamond" w:hAnsi="Garamond"/>
          <w:b/>
          <w:bCs/>
        </w:rPr>
        <w:t xml:space="preserve"> </w:t>
      </w:r>
      <w:r w:rsidR="00D5714E" w:rsidRPr="00A2574C">
        <w:rPr>
          <w:rFonts w:ascii="Garamond" w:hAnsi="Garamond"/>
        </w:rPr>
        <w:t xml:space="preserve">serves as the critical breakpoint for expanding service coverage (UHC), a significantly higher density of </w:t>
      </w:r>
      <w:r w:rsidR="00D237B2">
        <w:rPr>
          <w:rStyle w:val="Strong"/>
          <w:rFonts w:ascii="Garamond" w:hAnsi="Garamond"/>
          <w:b w:val="0"/>
          <w:bCs w:val="0"/>
          <w:lang w:val="en-GB"/>
        </w:rPr>
        <w:t>38</w:t>
      </w:r>
      <w:r w:rsidR="00D5714E" w:rsidRPr="00A2574C">
        <w:rPr>
          <w:rStyle w:val="Strong"/>
          <w:rFonts w:ascii="Garamond" w:hAnsi="Garamond"/>
          <w:b w:val="0"/>
          <w:bCs w:val="0"/>
        </w:rPr>
        <w:t xml:space="preserve"> per 10,000</w:t>
      </w:r>
      <w:r w:rsidR="00D5714E" w:rsidRPr="00A2574C">
        <w:rPr>
          <w:rFonts w:ascii="Garamond" w:hAnsi="Garamond"/>
        </w:rPr>
        <w:t xml:space="preserve"> is required to achieve structural improvements in </w:t>
      </w:r>
      <w:r w:rsidRPr="00A2574C">
        <w:rPr>
          <w:rFonts w:ascii="Garamond" w:hAnsi="Garamond"/>
          <w:lang w:val="en-GB"/>
        </w:rPr>
        <w:t>l</w:t>
      </w:r>
      <w:r w:rsidR="00D5714E" w:rsidRPr="00A2574C">
        <w:rPr>
          <w:rFonts w:ascii="Garamond" w:hAnsi="Garamond"/>
        </w:rPr>
        <w:t xml:space="preserve">ife </w:t>
      </w:r>
      <w:r w:rsidRPr="00A2574C">
        <w:rPr>
          <w:rFonts w:ascii="Garamond" w:hAnsi="Garamond"/>
          <w:lang w:val="en-GB"/>
        </w:rPr>
        <w:t>e</w:t>
      </w:r>
      <w:r w:rsidR="00D5714E" w:rsidRPr="00A2574C">
        <w:rPr>
          <w:rFonts w:ascii="Garamond" w:hAnsi="Garamond"/>
        </w:rPr>
        <w:t>xpectancy. This suggests that service coverage is a necessary but insufficient precursor to longevity, requiring nearly a four</w:t>
      </w:r>
      <w:r w:rsidR="001B10C3">
        <w:rPr>
          <w:rFonts w:ascii="Garamond" w:hAnsi="Garamond"/>
          <w:lang w:val="en-GB"/>
        </w:rPr>
        <w:t xml:space="preserve"> times</w:t>
      </w:r>
      <w:r w:rsidR="00D5714E" w:rsidRPr="00A2574C">
        <w:rPr>
          <w:rFonts w:ascii="Garamond" w:hAnsi="Garamond"/>
        </w:rPr>
        <w:t xml:space="preserve"> increase in workforce density to translate into extended life expectancy.</w:t>
      </w:r>
    </w:p>
    <w:p w14:paraId="4E3B9845" w14:textId="77777777" w:rsidR="00D5714E" w:rsidRPr="00A2574C" w:rsidRDefault="00D5714E" w:rsidP="00D746F1">
      <w:pPr>
        <w:pStyle w:val="NormalWeb"/>
        <w:jc w:val="both"/>
        <w:rPr>
          <w:rFonts w:ascii="Garamond" w:hAnsi="Garamond"/>
          <w:lang w:val="en-GB"/>
        </w:rPr>
      </w:pPr>
    </w:p>
    <w:p w14:paraId="388E031C" w14:textId="77777777" w:rsidR="00501898" w:rsidRPr="00A2574C" w:rsidRDefault="00501898" w:rsidP="00501898">
      <w:pPr>
        <w:rPr>
          <w:rFonts w:ascii="Garamond" w:hAnsi="Garamond"/>
        </w:rPr>
      </w:pPr>
    </w:p>
    <w:sectPr w:rsidR="00501898" w:rsidRPr="00A2574C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61AD6" w14:textId="77777777" w:rsidR="00C82155" w:rsidRDefault="00C82155" w:rsidP="001B10C3">
      <w:r>
        <w:separator/>
      </w:r>
    </w:p>
  </w:endnote>
  <w:endnote w:type="continuationSeparator" w:id="0">
    <w:p w14:paraId="0B734A27" w14:textId="77777777" w:rsidR="00C82155" w:rsidRDefault="00C82155" w:rsidP="001B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64704230"/>
      <w:docPartObj>
        <w:docPartGallery w:val="Page Numbers (Bottom of Page)"/>
        <w:docPartUnique/>
      </w:docPartObj>
    </w:sdtPr>
    <w:sdtContent>
      <w:p w14:paraId="65CC057F" w14:textId="7C246EED" w:rsidR="001B10C3" w:rsidRDefault="001B10C3" w:rsidP="00474C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363640" w14:textId="77777777" w:rsidR="001B10C3" w:rsidRDefault="001B10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60997058"/>
      <w:docPartObj>
        <w:docPartGallery w:val="Page Numbers (Bottom of Page)"/>
        <w:docPartUnique/>
      </w:docPartObj>
    </w:sdtPr>
    <w:sdtContent>
      <w:p w14:paraId="5EFF0D22" w14:textId="3539C716" w:rsidR="001B10C3" w:rsidRDefault="001B10C3" w:rsidP="00474C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961DBA" w14:textId="77777777" w:rsidR="001B10C3" w:rsidRDefault="001B1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50A46" w14:textId="77777777" w:rsidR="00C82155" w:rsidRDefault="00C82155" w:rsidP="001B10C3">
      <w:r>
        <w:separator/>
      </w:r>
    </w:p>
  </w:footnote>
  <w:footnote w:type="continuationSeparator" w:id="0">
    <w:p w14:paraId="6D3707B3" w14:textId="77777777" w:rsidR="00C82155" w:rsidRDefault="00C82155" w:rsidP="001B1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282E"/>
    <w:multiLevelType w:val="multilevel"/>
    <w:tmpl w:val="586A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C48CB"/>
    <w:multiLevelType w:val="multilevel"/>
    <w:tmpl w:val="B3B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47AC5"/>
    <w:multiLevelType w:val="multilevel"/>
    <w:tmpl w:val="3C8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A6B3C"/>
    <w:multiLevelType w:val="hybridMultilevel"/>
    <w:tmpl w:val="7A4AE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67DA8"/>
    <w:multiLevelType w:val="multilevel"/>
    <w:tmpl w:val="B412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564A4"/>
    <w:multiLevelType w:val="multilevel"/>
    <w:tmpl w:val="86D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258698">
    <w:abstractNumId w:val="0"/>
  </w:num>
  <w:num w:numId="2" w16cid:durableId="1328291519">
    <w:abstractNumId w:val="1"/>
  </w:num>
  <w:num w:numId="3" w16cid:durableId="1943561390">
    <w:abstractNumId w:val="2"/>
  </w:num>
  <w:num w:numId="4" w16cid:durableId="375661094">
    <w:abstractNumId w:val="4"/>
  </w:num>
  <w:num w:numId="5" w16cid:durableId="1629971971">
    <w:abstractNumId w:val="3"/>
  </w:num>
  <w:num w:numId="6" w16cid:durableId="67963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98"/>
    <w:rsid w:val="00030A25"/>
    <w:rsid w:val="00044157"/>
    <w:rsid w:val="000D60DA"/>
    <w:rsid w:val="0017462C"/>
    <w:rsid w:val="001B10C3"/>
    <w:rsid w:val="001B438D"/>
    <w:rsid w:val="001E4D8F"/>
    <w:rsid w:val="002933DC"/>
    <w:rsid w:val="003246D0"/>
    <w:rsid w:val="003714F6"/>
    <w:rsid w:val="00446C64"/>
    <w:rsid w:val="00501898"/>
    <w:rsid w:val="0061009E"/>
    <w:rsid w:val="00675339"/>
    <w:rsid w:val="006C4508"/>
    <w:rsid w:val="00865BC7"/>
    <w:rsid w:val="00920C39"/>
    <w:rsid w:val="0094143D"/>
    <w:rsid w:val="00A03021"/>
    <w:rsid w:val="00A2574C"/>
    <w:rsid w:val="00A46E23"/>
    <w:rsid w:val="00A53579"/>
    <w:rsid w:val="00A86531"/>
    <w:rsid w:val="00C10A7A"/>
    <w:rsid w:val="00C177E7"/>
    <w:rsid w:val="00C3697E"/>
    <w:rsid w:val="00C82155"/>
    <w:rsid w:val="00CA440B"/>
    <w:rsid w:val="00CE6D26"/>
    <w:rsid w:val="00D237B2"/>
    <w:rsid w:val="00D5714E"/>
    <w:rsid w:val="00D746F1"/>
    <w:rsid w:val="00DE581A"/>
    <w:rsid w:val="00F6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9502"/>
  <w15:chartTrackingRefBased/>
  <w15:docId w15:val="{23B9836E-9CED-5742-8DD6-70624FCB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C3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1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B438D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1898"/>
    <w:rPr>
      <w:b/>
      <w:bCs/>
    </w:rPr>
  </w:style>
  <w:style w:type="paragraph" w:styleId="NormalWeb">
    <w:name w:val="Normal (Web)"/>
    <w:basedOn w:val="Normal"/>
    <w:uiPriority w:val="99"/>
    <w:unhideWhenUsed/>
    <w:rsid w:val="00501898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rsid w:val="001B438D"/>
    <w:rPr>
      <w:rFonts w:ascii="Times New Roman" w:eastAsia="Times New Roman" w:hAnsi="Times New Roman" w:cs="Times New Roman"/>
      <w:b/>
      <w:bCs/>
      <w:lang w:eastAsia="en-GB"/>
    </w:rPr>
  </w:style>
  <w:style w:type="character" w:customStyle="1" w:styleId="katex-mathml">
    <w:name w:val="katex-mathml"/>
    <w:basedOn w:val="DefaultParagraphFont"/>
    <w:rsid w:val="00044157"/>
  </w:style>
  <w:style w:type="character" w:customStyle="1" w:styleId="mord">
    <w:name w:val="mord"/>
    <w:basedOn w:val="DefaultParagraphFont"/>
    <w:rsid w:val="00044157"/>
  </w:style>
  <w:style w:type="character" w:customStyle="1" w:styleId="Heading1Char">
    <w:name w:val="Heading 1 Char"/>
    <w:basedOn w:val="DefaultParagraphFont"/>
    <w:link w:val="Heading1"/>
    <w:uiPriority w:val="9"/>
    <w:rsid w:val="000441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vlist-s">
    <w:name w:val="vlist-s"/>
    <w:basedOn w:val="DefaultParagraphFont"/>
    <w:rsid w:val="00044157"/>
  </w:style>
  <w:style w:type="character" w:styleId="PlaceholderText">
    <w:name w:val="Placeholder Text"/>
    <w:basedOn w:val="DefaultParagraphFont"/>
    <w:uiPriority w:val="99"/>
    <w:semiHidden/>
    <w:rsid w:val="00044157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865BC7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B10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0C3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1B1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Mugo</dc:creator>
  <cp:keywords/>
  <dc:description/>
  <cp:lastModifiedBy>Caroline Mugo</cp:lastModifiedBy>
  <cp:revision>6</cp:revision>
  <dcterms:created xsi:type="dcterms:W3CDTF">2026-02-24T08:21:00Z</dcterms:created>
  <dcterms:modified xsi:type="dcterms:W3CDTF">2026-07-22T19:47:00Z</dcterms:modified>
</cp:coreProperties>
</file>