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44D3879" w14:textId="77777777" w:rsidR="007F402E" w:rsidRDefault="007F402E">
      <w:pPr>
        <w:rPr>
          <w:rFonts w:ascii="Arial Narrow" w:hAnsi="Arial Narrow"/>
          <w:color w:val="0070C0"/>
        </w:rPr>
      </w:pPr>
    </w:p>
    <w:p w14:paraId="428BFCA5" w14:textId="77777777" w:rsidR="007F402E" w:rsidRDefault="007F402E">
      <w:pPr>
        <w:rPr>
          <w:rFonts w:ascii="Arial Narrow" w:hAnsi="Arial Narrow"/>
          <w:color w:val="0070C0"/>
        </w:rPr>
      </w:pPr>
    </w:p>
    <w:p w14:paraId="2886CE1B" w14:textId="77777777" w:rsidR="007F402E" w:rsidRDefault="007F402E">
      <w:pPr>
        <w:rPr>
          <w:rFonts w:ascii="Arial Narrow" w:hAnsi="Arial Narrow"/>
          <w:color w:val="0070C0"/>
        </w:rPr>
      </w:pPr>
    </w:p>
    <w:p w14:paraId="473F01B8" w14:textId="77777777" w:rsidR="007F402E" w:rsidRPr="00D61678" w:rsidRDefault="007F402E" w:rsidP="007F402E">
      <w:pPr>
        <w:pStyle w:val="Subtitle"/>
        <w:pBdr>
          <w:bottom w:val="single" w:sz="4" w:space="0" w:color="auto"/>
        </w:pBdr>
        <w:jc w:val="center"/>
        <w:rPr>
          <w:rFonts w:ascii="Arial Narrow" w:hAnsi="Arial Narrow"/>
          <w:b w:val="0"/>
          <w:bCs w:val="0"/>
          <w:color w:val="0070C0"/>
          <w:sz w:val="34"/>
          <w:szCs w:val="34"/>
        </w:rPr>
      </w:pPr>
      <w:r w:rsidRPr="00D61678">
        <w:rPr>
          <w:rFonts w:ascii="Arial Narrow" w:hAnsi="Arial Narrow"/>
          <w:color w:val="0070C0"/>
          <w:sz w:val="34"/>
          <w:szCs w:val="34"/>
        </w:rPr>
        <w:t>State of the Health Workforce in the WHO African Region: A Decade Review of Progress and Emerging Priorities for Investments</w:t>
      </w:r>
    </w:p>
    <w:p w14:paraId="5731DD2A" w14:textId="77777777" w:rsidR="007F402E" w:rsidRPr="008657D6" w:rsidRDefault="007F402E" w:rsidP="007F402E">
      <w:pPr>
        <w:pStyle w:val="Subtitle"/>
        <w:numPr>
          <w:ilvl w:val="0"/>
          <w:numId w:val="0"/>
        </w:numPr>
        <w:jc w:val="center"/>
        <w:rPr>
          <w:rFonts w:ascii="Arial Narrow" w:eastAsia="Arial Narrow" w:hAnsi="Arial Narrow" w:cs="Arial Narrow"/>
          <w:i/>
          <w:color w:val="0070C0"/>
        </w:rPr>
      </w:pPr>
      <w:r w:rsidRPr="008657D6">
        <w:rPr>
          <w:rFonts w:ascii="Arial Narrow" w:eastAsia="Arial Narrow" w:hAnsi="Arial Narrow" w:cs="Arial Narrow"/>
          <w:i/>
          <w:color w:val="0070C0"/>
        </w:rPr>
        <w:t>Alignment. Investment. Sustainability</w:t>
      </w:r>
    </w:p>
    <w:p w14:paraId="7A183949" w14:textId="77777777" w:rsidR="007F402E" w:rsidRDefault="007F402E">
      <w:pPr>
        <w:rPr>
          <w:rFonts w:ascii="Arial Narrow" w:hAnsi="Arial Narrow"/>
          <w:color w:val="0070C0"/>
        </w:rPr>
      </w:pPr>
    </w:p>
    <w:p w14:paraId="47A2AFCC" w14:textId="77777777" w:rsidR="007F402E" w:rsidRDefault="007F402E">
      <w:pPr>
        <w:rPr>
          <w:rFonts w:ascii="Arial Narrow" w:hAnsi="Arial Narrow"/>
          <w:color w:val="0070C0"/>
        </w:rPr>
      </w:pPr>
    </w:p>
    <w:p w14:paraId="08DA1B83" w14:textId="77777777" w:rsidR="007F402E" w:rsidRDefault="007F402E">
      <w:pPr>
        <w:rPr>
          <w:rFonts w:ascii="Arial Narrow" w:hAnsi="Arial Narrow"/>
          <w:color w:val="0070C0"/>
        </w:rPr>
      </w:pPr>
    </w:p>
    <w:p w14:paraId="608C127E" w14:textId="77777777" w:rsidR="007F402E" w:rsidRDefault="007F402E">
      <w:pPr>
        <w:rPr>
          <w:rFonts w:ascii="Arial Narrow" w:hAnsi="Arial Narrow"/>
          <w:color w:val="0070C0"/>
        </w:rPr>
      </w:pPr>
    </w:p>
    <w:p w14:paraId="53B6A6EB" w14:textId="3DB05CEE" w:rsidR="007F402E" w:rsidRDefault="007F402E">
      <w:pPr>
        <w:rPr>
          <w:rFonts w:ascii="Arial Narrow" w:hAnsi="Arial Narrow"/>
          <w:color w:val="0070C0"/>
        </w:rPr>
      </w:pPr>
      <w:r>
        <w:rPr>
          <w:rFonts w:ascii="Arial Narrow" w:hAnsi="Arial Narrow"/>
          <w:color w:val="0070C0"/>
        </w:rPr>
        <w:t>Popular version</w:t>
      </w:r>
    </w:p>
    <w:sdt>
      <w:sdtPr>
        <w:rPr>
          <w:rFonts w:asciiTheme="minorHAnsi" w:eastAsiaTheme="minorHAnsi" w:hAnsiTheme="minorHAnsi" w:cstheme="minorBidi"/>
          <w:color w:val="auto"/>
          <w:kern w:val="2"/>
          <w:sz w:val="22"/>
          <w:szCs w:val="22"/>
          <w:lang w:val="en-GB"/>
          <w14:ligatures w14:val="standardContextual"/>
        </w:rPr>
        <w:id w:val="1344437734"/>
        <w:docPartObj>
          <w:docPartGallery w:val="Table of Contents"/>
          <w:docPartUnique/>
        </w:docPartObj>
      </w:sdtPr>
      <w:sdtEndPr>
        <w:rPr>
          <w:b/>
          <w:bCs/>
          <w:noProof/>
        </w:rPr>
      </w:sdtEndPr>
      <w:sdtContent>
        <w:p w14:paraId="060E4EA7" w14:textId="400154D4" w:rsidR="004213DD" w:rsidRDefault="004213DD">
          <w:pPr>
            <w:pStyle w:val="TOCHeading"/>
          </w:pPr>
          <w:r>
            <w:t>Contents</w:t>
          </w:r>
        </w:p>
        <w:p w14:paraId="6693B20F" w14:textId="1DDD3D62" w:rsidR="004213DD" w:rsidRDefault="004213DD">
          <w:pPr>
            <w:pStyle w:val="TOC1"/>
            <w:tabs>
              <w:tab w:val="left" w:pos="440"/>
              <w:tab w:val="right" w:leader="dot" w:pos="9016"/>
            </w:tabs>
            <w:rPr>
              <w:noProof/>
            </w:rPr>
          </w:pPr>
          <w:r>
            <w:fldChar w:fldCharType="begin"/>
          </w:r>
          <w:r>
            <w:instrText xml:space="preserve"> TOC \o "1-3" \h \z \u </w:instrText>
          </w:r>
          <w:r>
            <w:fldChar w:fldCharType="separate"/>
          </w:r>
          <w:hyperlink w:anchor="_Toc162542675" w:history="1">
            <w:r w:rsidRPr="003D49A4">
              <w:rPr>
                <w:rStyle w:val="Hyperlink"/>
                <w:rFonts w:ascii="Arial Narrow" w:hAnsi="Arial Narrow"/>
                <w:noProof/>
              </w:rPr>
              <w:t>1.</w:t>
            </w:r>
            <w:r>
              <w:rPr>
                <w:noProof/>
              </w:rPr>
              <w:tab/>
            </w:r>
            <w:r w:rsidRPr="003D49A4">
              <w:rPr>
                <w:rStyle w:val="Hyperlink"/>
                <w:rFonts w:ascii="Arial Narrow" w:hAnsi="Arial Narrow"/>
                <w:noProof/>
              </w:rPr>
              <w:t>Introduction</w:t>
            </w:r>
            <w:r>
              <w:rPr>
                <w:noProof/>
                <w:webHidden/>
              </w:rPr>
              <w:tab/>
            </w:r>
            <w:r>
              <w:rPr>
                <w:noProof/>
                <w:webHidden/>
              </w:rPr>
              <w:fldChar w:fldCharType="begin"/>
            </w:r>
            <w:r>
              <w:rPr>
                <w:noProof/>
                <w:webHidden/>
              </w:rPr>
              <w:instrText xml:space="preserve"> PAGEREF _Toc162542675 \h </w:instrText>
            </w:r>
            <w:r>
              <w:rPr>
                <w:noProof/>
                <w:webHidden/>
              </w:rPr>
            </w:r>
            <w:r>
              <w:rPr>
                <w:noProof/>
                <w:webHidden/>
              </w:rPr>
              <w:fldChar w:fldCharType="separate"/>
            </w:r>
            <w:r>
              <w:rPr>
                <w:noProof/>
                <w:webHidden/>
              </w:rPr>
              <w:t>2</w:t>
            </w:r>
            <w:r>
              <w:rPr>
                <w:noProof/>
                <w:webHidden/>
              </w:rPr>
              <w:fldChar w:fldCharType="end"/>
            </w:r>
          </w:hyperlink>
        </w:p>
        <w:p w14:paraId="4B22CC81" w14:textId="36EE205C" w:rsidR="004213DD" w:rsidRDefault="004806CD">
          <w:pPr>
            <w:pStyle w:val="TOC1"/>
            <w:tabs>
              <w:tab w:val="left" w:pos="440"/>
              <w:tab w:val="right" w:leader="dot" w:pos="9016"/>
            </w:tabs>
            <w:rPr>
              <w:noProof/>
            </w:rPr>
          </w:pPr>
          <w:hyperlink w:anchor="_Toc162542676" w:history="1">
            <w:r w:rsidR="004213DD" w:rsidRPr="003D49A4">
              <w:rPr>
                <w:rStyle w:val="Hyperlink"/>
                <w:rFonts w:ascii="Arial Narrow" w:hAnsi="Arial Narrow"/>
                <w:noProof/>
              </w:rPr>
              <w:t>2.</w:t>
            </w:r>
            <w:r w:rsidR="004213DD">
              <w:rPr>
                <w:noProof/>
              </w:rPr>
              <w:tab/>
            </w:r>
            <w:r w:rsidR="004213DD" w:rsidRPr="003D49A4">
              <w:rPr>
                <w:rStyle w:val="Hyperlink"/>
                <w:rFonts w:ascii="Arial Narrow" w:hAnsi="Arial Narrow"/>
                <w:noProof/>
              </w:rPr>
              <w:t>The Report Development Process</w:t>
            </w:r>
            <w:r w:rsidR="004213DD">
              <w:rPr>
                <w:noProof/>
                <w:webHidden/>
              </w:rPr>
              <w:tab/>
            </w:r>
            <w:r w:rsidR="004213DD">
              <w:rPr>
                <w:noProof/>
                <w:webHidden/>
              </w:rPr>
              <w:fldChar w:fldCharType="begin"/>
            </w:r>
            <w:r w:rsidR="004213DD">
              <w:rPr>
                <w:noProof/>
                <w:webHidden/>
              </w:rPr>
              <w:instrText xml:space="preserve"> PAGEREF _Toc162542676 \h </w:instrText>
            </w:r>
            <w:r w:rsidR="004213DD">
              <w:rPr>
                <w:noProof/>
                <w:webHidden/>
              </w:rPr>
            </w:r>
            <w:r w:rsidR="004213DD">
              <w:rPr>
                <w:noProof/>
                <w:webHidden/>
              </w:rPr>
              <w:fldChar w:fldCharType="separate"/>
            </w:r>
            <w:r w:rsidR="004213DD">
              <w:rPr>
                <w:noProof/>
                <w:webHidden/>
              </w:rPr>
              <w:t>2</w:t>
            </w:r>
            <w:r w:rsidR="004213DD">
              <w:rPr>
                <w:noProof/>
                <w:webHidden/>
              </w:rPr>
              <w:fldChar w:fldCharType="end"/>
            </w:r>
          </w:hyperlink>
        </w:p>
        <w:p w14:paraId="110C4FA7" w14:textId="6C08D955" w:rsidR="004213DD" w:rsidRDefault="004806CD">
          <w:pPr>
            <w:pStyle w:val="TOC1"/>
            <w:tabs>
              <w:tab w:val="left" w:pos="440"/>
              <w:tab w:val="right" w:leader="dot" w:pos="9016"/>
            </w:tabs>
            <w:rPr>
              <w:noProof/>
            </w:rPr>
          </w:pPr>
          <w:hyperlink w:anchor="_Toc162542677" w:history="1">
            <w:r w:rsidR="004213DD" w:rsidRPr="003D49A4">
              <w:rPr>
                <w:rStyle w:val="Hyperlink"/>
                <w:rFonts w:ascii="Arial Narrow" w:hAnsi="Arial Narrow"/>
                <w:b/>
                <w:bCs/>
                <w:noProof/>
              </w:rPr>
              <w:t>3.</w:t>
            </w:r>
            <w:r w:rsidR="004213DD">
              <w:rPr>
                <w:noProof/>
              </w:rPr>
              <w:tab/>
            </w:r>
            <w:r w:rsidR="004213DD" w:rsidRPr="003D49A4">
              <w:rPr>
                <w:rStyle w:val="Hyperlink"/>
                <w:rFonts w:ascii="Arial Narrow" w:hAnsi="Arial Narrow"/>
                <w:b/>
                <w:bCs/>
                <w:noProof/>
              </w:rPr>
              <w:t>Health workforce profile – A ten year trend</w:t>
            </w:r>
            <w:r w:rsidR="004213DD">
              <w:rPr>
                <w:noProof/>
                <w:webHidden/>
              </w:rPr>
              <w:tab/>
            </w:r>
            <w:r w:rsidR="004213DD">
              <w:rPr>
                <w:noProof/>
                <w:webHidden/>
              </w:rPr>
              <w:fldChar w:fldCharType="begin"/>
            </w:r>
            <w:r w:rsidR="004213DD">
              <w:rPr>
                <w:noProof/>
                <w:webHidden/>
              </w:rPr>
              <w:instrText xml:space="preserve"> PAGEREF _Toc162542677 \h </w:instrText>
            </w:r>
            <w:r w:rsidR="004213DD">
              <w:rPr>
                <w:noProof/>
                <w:webHidden/>
              </w:rPr>
            </w:r>
            <w:r w:rsidR="004213DD">
              <w:rPr>
                <w:noProof/>
                <w:webHidden/>
              </w:rPr>
              <w:fldChar w:fldCharType="separate"/>
            </w:r>
            <w:r w:rsidR="004213DD">
              <w:rPr>
                <w:noProof/>
                <w:webHidden/>
              </w:rPr>
              <w:t>2</w:t>
            </w:r>
            <w:r w:rsidR="004213DD">
              <w:rPr>
                <w:noProof/>
                <w:webHidden/>
              </w:rPr>
              <w:fldChar w:fldCharType="end"/>
            </w:r>
          </w:hyperlink>
        </w:p>
        <w:p w14:paraId="20586487" w14:textId="74CC6877" w:rsidR="004213DD" w:rsidRDefault="004806CD">
          <w:pPr>
            <w:pStyle w:val="TOC1"/>
            <w:tabs>
              <w:tab w:val="left" w:pos="440"/>
              <w:tab w:val="right" w:leader="dot" w:pos="9016"/>
            </w:tabs>
            <w:rPr>
              <w:noProof/>
            </w:rPr>
          </w:pPr>
          <w:hyperlink w:anchor="_Toc162542678" w:history="1">
            <w:r w:rsidR="004213DD" w:rsidRPr="003D49A4">
              <w:rPr>
                <w:rStyle w:val="Hyperlink"/>
                <w:rFonts w:ascii="Arial Narrow" w:hAnsi="Arial Narrow"/>
                <w:noProof/>
              </w:rPr>
              <w:t>4.</w:t>
            </w:r>
            <w:r w:rsidR="004213DD">
              <w:rPr>
                <w:noProof/>
              </w:rPr>
              <w:tab/>
            </w:r>
            <w:r w:rsidR="004213DD" w:rsidRPr="003D49A4">
              <w:rPr>
                <w:rStyle w:val="Hyperlink"/>
                <w:rFonts w:ascii="Arial Narrow" w:hAnsi="Arial Narrow"/>
                <w:noProof/>
              </w:rPr>
              <w:t>Health Workforce Growth Enablers</w:t>
            </w:r>
            <w:r w:rsidR="004213DD">
              <w:rPr>
                <w:noProof/>
                <w:webHidden/>
              </w:rPr>
              <w:tab/>
            </w:r>
            <w:r w:rsidR="004213DD">
              <w:rPr>
                <w:noProof/>
                <w:webHidden/>
              </w:rPr>
              <w:fldChar w:fldCharType="begin"/>
            </w:r>
            <w:r w:rsidR="004213DD">
              <w:rPr>
                <w:noProof/>
                <w:webHidden/>
              </w:rPr>
              <w:instrText xml:space="preserve"> PAGEREF _Toc162542678 \h </w:instrText>
            </w:r>
            <w:r w:rsidR="004213DD">
              <w:rPr>
                <w:noProof/>
                <w:webHidden/>
              </w:rPr>
            </w:r>
            <w:r w:rsidR="004213DD">
              <w:rPr>
                <w:noProof/>
                <w:webHidden/>
              </w:rPr>
              <w:fldChar w:fldCharType="separate"/>
            </w:r>
            <w:r w:rsidR="004213DD">
              <w:rPr>
                <w:noProof/>
                <w:webHidden/>
              </w:rPr>
              <w:t>3</w:t>
            </w:r>
            <w:r w:rsidR="004213DD">
              <w:rPr>
                <w:noProof/>
                <w:webHidden/>
              </w:rPr>
              <w:fldChar w:fldCharType="end"/>
            </w:r>
          </w:hyperlink>
        </w:p>
        <w:p w14:paraId="7A1564FC" w14:textId="2222281E" w:rsidR="004213DD" w:rsidRDefault="004806CD">
          <w:pPr>
            <w:pStyle w:val="TOC1"/>
            <w:tabs>
              <w:tab w:val="left" w:pos="440"/>
              <w:tab w:val="right" w:leader="dot" w:pos="9016"/>
            </w:tabs>
            <w:rPr>
              <w:noProof/>
            </w:rPr>
          </w:pPr>
          <w:hyperlink w:anchor="_Toc162542679" w:history="1">
            <w:r w:rsidR="004213DD" w:rsidRPr="003D49A4">
              <w:rPr>
                <w:rStyle w:val="Hyperlink"/>
                <w:noProof/>
                <w:lang w:val="en-US"/>
              </w:rPr>
              <w:t>5.</w:t>
            </w:r>
            <w:r w:rsidR="004213DD">
              <w:rPr>
                <w:noProof/>
              </w:rPr>
              <w:tab/>
            </w:r>
            <w:r w:rsidR="004213DD" w:rsidRPr="003D49A4">
              <w:rPr>
                <w:rStyle w:val="Hyperlink"/>
                <w:noProof/>
                <w:lang w:val="en-US"/>
              </w:rPr>
              <w:t>Health Workforce need gaps</w:t>
            </w:r>
            <w:r w:rsidR="004213DD">
              <w:rPr>
                <w:noProof/>
                <w:webHidden/>
              </w:rPr>
              <w:tab/>
            </w:r>
            <w:r w:rsidR="004213DD">
              <w:rPr>
                <w:noProof/>
                <w:webHidden/>
              </w:rPr>
              <w:fldChar w:fldCharType="begin"/>
            </w:r>
            <w:r w:rsidR="004213DD">
              <w:rPr>
                <w:noProof/>
                <w:webHidden/>
              </w:rPr>
              <w:instrText xml:space="preserve"> PAGEREF _Toc162542679 \h </w:instrText>
            </w:r>
            <w:r w:rsidR="004213DD">
              <w:rPr>
                <w:noProof/>
                <w:webHidden/>
              </w:rPr>
            </w:r>
            <w:r w:rsidR="004213DD">
              <w:rPr>
                <w:noProof/>
                <w:webHidden/>
              </w:rPr>
              <w:fldChar w:fldCharType="separate"/>
            </w:r>
            <w:r w:rsidR="004213DD">
              <w:rPr>
                <w:noProof/>
                <w:webHidden/>
              </w:rPr>
              <w:t>3</w:t>
            </w:r>
            <w:r w:rsidR="004213DD">
              <w:rPr>
                <w:noProof/>
                <w:webHidden/>
              </w:rPr>
              <w:fldChar w:fldCharType="end"/>
            </w:r>
          </w:hyperlink>
        </w:p>
        <w:p w14:paraId="21CFFE80" w14:textId="58618A52" w:rsidR="004213DD" w:rsidRDefault="004806CD">
          <w:pPr>
            <w:pStyle w:val="TOC1"/>
            <w:tabs>
              <w:tab w:val="left" w:pos="440"/>
              <w:tab w:val="right" w:leader="dot" w:pos="9016"/>
            </w:tabs>
            <w:rPr>
              <w:noProof/>
            </w:rPr>
          </w:pPr>
          <w:hyperlink w:anchor="_Toc162542680" w:history="1">
            <w:r w:rsidR="004213DD" w:rsidRPr="003D49A4">
              <w:rPr>
                <w:rStyle w:val="Hyperlink"/>
                <w:noProof/>
                <w:lang w:val="en-US"/>
              </w:rPr>
              <w:t>6.</w:t>
            </w:r>
            <w:r w:rsidR="004213DD">
              <w:rPr>
                <w:noProof/>
              </w:rPr>
              <w:tab/>
            </w:r>
            <w:r w:rsidR="004213DD" w:rsidRPr="003D49A4">
              <w:rPr>
                <w:rStyle w:val="Hyperlink"/>
                <w:noProof/>
                <w:lang w:val="en-US"/>
              </w:rPr>
              <w:t>Impacts of health workforce density</w:t>
            </w:r>
            <w:r w:rsidR="004213DD">
              <w:rPr>
                <w:noProof/>
                <w:webHidden/>
              </w:rPr>
              <w:tab/>
            </w:r>
            <w:r w:rsidR="004213DD">
              <w:rPr>
                <w:noProof/>
                <w:webHidden/>
              </w:rPr>
              <w:fldChar w:fldCharType="begin"/>
            </w:r>
            <w:r w:rsidR="004213DD">
              <w:rPr>
                <w:noProof/>
                <w:webHidden/>
              </w:rPr>
              <w:instrText xml:space="preserve"> PAGEREF _Toc162542680 \h </w:instrText>
            </w:r>
            <w:r w:rsidR="004213DD">
              <w:rPr>
                <w:noProof/>
                <w:webHidden/>
              </w:rPr>
            </w:r>
            <w:r w:rsidR="004213DD">
              <w:rPr>
                <w:noProof/>
                <w:webHidden/>
              </w:rPr>
              <w:fldChar w:fldCharType="separate"/>
            </w:r>
            <w:r w:rsidR="004213DD">
              <w:rPr>
                <w:noProof/>
                <w:webHidden/>
              </w:rPr>
              <w:t>3</w:t>
            </w:r>
            <w:r w:rsidR="004213DD">
              <w:rPr>
                <w:noProof/>
                <w:webHidden/>
              </w:rPr>
              <w:fldChar w:fldCharType="end"/>
            </w:r>
          </w:hyperlink>
        </w:p>
        <w:p w14:paraId="43633E28" w14:textId="1D005090" w:rsidR="004213DD" w:rsidRDefault="004806CD">
          <w:pPr>
            <w:pStyle w:val="TOC1"/>
            <w:tabs>
              <w:tab w:val="left" w:pos="440"/>
              <w:tab w:val="right" w:leader="dot" w:pos="9016"/>
            </w:tabs>
            <w:rPr>
              <w:noProof/>
            </w:rPr>
          </w:pPr>
          <w:hyperlink w:anchor="_Toc162542681" w:history="1">
            <w:r w:rsidR="004213DD" w:rsidRPr="003D49A4">
              <w:rPr>
                <w:rStyle w:val="Hyperlink"/>
                <w:noProof/>
                <w:lang w:val="en-US"/>
              </w:rPr>
              <w:t>7.</w:t>
            </w:r>
            <w:r w:rsidR="004213DD">
              <w:rPr>
                <w:noProof/>
              </w:rPr>
              <w:tab/>
            </w:r>
            <w:r w:rsidR="004213DD" w:rsidRPr="003D49A4">
              <w:rPr>
                <w:rStyle w:val="Hyperlink"/>
                <w:noProof/>
                <w:lang w:val="en-US"/>
              </w:rPr>
              <w:t>Conclusions and recommendations</w:t>
            </w:r>
            <w:r w:rsidR="004213DD">
              <w:rPr>
                <w:noProof/>
                <w:webHidden/>
              </w:rPr>
              <w:tab/>
            </w:r>
            <w:r w:rsidR="004213DD">
              <w:rPr>
                <w:noProof/>
                <w:webHidden/>
              </w:rPr>
              <w:fldChar w:fldCharType="begin"/>
            </w:r>
            <w:r w:rsidR="004213DD">
              <w:rPr>
                <w:noProof/>
                <w:webHidden/>
              </w:rPr>
              <w:instrText xml:space="preserve"> PAGEREF _Toc162542681 \h </w:instrText>
            </w:r>
            <w:r w:rsidR="004213DD">
              <w:rPr>
                <w:noProof/>
                <w:webHidden/>
              </w:rPr>
            </w:r>
            <w:r w:rsidR="004213DD">
              <w:rPr>
                <w:noProof/>
                <w:webHidden/>
              </w:rPr>
              <w:fldChar w:fldCharType="separate"/>
            </w:r>
            <w:r w:rsidR="004213DD">
              <w:rPr>
                <w:noProof/>
                <w:webHidden/>
              </w:rPr>
              <w:t>3</w:t>
            </w:r>
            <w:r w:rsidR="004213DD">
              <w:rPr>
                <w:noProof/>
                <w:webHidden/>
              </w:rPr>
              <w:fldChar w:fldCharType="end"/>
            </w:r>
          </w:hyperlink>
        </w:p>
        <w:p w14:paraId="6DEC1FE0" w14:textId="301F68B9" w:rsidR="004213DD" w:rsidRDefault="004213DD">
          <w:r>
            <w:rPr>
              <w:b/>
              <w:bCs/>
              <w:noProof/>
            </w:rPr>
            <w:fldChar w:fldCharType="end"/>
          </w:r>
        </w:p>
      </w:sdtContent>
    </w:sdt>
    <w:p w14:paraId="0BE1AC9A" w14:textId="77777777" w:rsidR="004213DD" w:rsidRDefault="004213DD">
      <w:pPr>
        <w:rPr>
          <w:rFonts w:ascii="Arial Narrow" w:hAnsi="Arial Narrow"/>
          <w:color w:val="0070C0"/>
        </w:rPr>
      </w:pPr>
    </w:p>
    <w:p w14:paraId="0FD8BCA2" w14:textId="0E5AACC5" w:rsidR="007F402E" w:rsidRDefault="007F402E">
      <w:pPr>
        <w:rPr>
          <w:rFonts w:ascii="Arial Narrow" w:hAnsi="Arial Narrow"/>
          <w:color w:val="0070C0"/>
        </w:rPr>
      </w:pPr>
      <w:r>
        <w:rPr>
          <w:rFonts w:ascii="Arial Narrow" w:hAnsi="Arial Narrow"/>
          <w:color w:val="0070C0"/>
        </w:rPr>
        <w:br w:type="page"/>
      </w:r>
    </w:p>
    <w:p w14:paraId="17E2048D" w14:textId="053DB9A8" w:rsidR="00BC4376" w:rsidRDefault="00031D9B" w:rsidP="004213DD">
      <w:pPr>
        <w:pStyle w:val="Heading1"/>
        <w:numPr>
          <w:ilvl w:val="0"/>
          <w:numId w:val="1"/>
        </w:numPr>
        <w:rPr>
          <w:rFonts w:ascii="Arial Narrow" w:hAnsi="Arial Narrow"/>
          <w:color w:val="0070C0"/>
        </w:rPr>
      </w:pPr>
      <w:bookmarkStart w:id="0" w:name="_Toc162542675"/>
      <w:r>
        <w:rPr>
          <w:rFonts w:ascii="Arial Narrow" w:hAnsi="Arial Narrow"/>
          <w:color w:val="0070C0"/>
        </w:rPr>
        <w:lastRenderedPageBreak/>
        <w:t>Introduction</w:t>
      </w:r>
      <w:bookmarkEnd w:id="0"/>
    </w:p>
    <w:p w14:paraId="178AF4D3" w14:textId="77777777" w:rsidR="00031D9B" w:rsidRDefault="00031D9B">
      <w:pPr>
        <w:rPr>
          <w:rFonts w:ascii="Arial Narrow" w:hAnsi="Arial Narrow"/>
          <w:color w:val="0070C0"/>
        </w:rPr>
      </w:pPr>
    </w:p>
    <w:p w14:paraId="6D4DA37E" w14:textId="77777777" w:rsidR="00530196" w:rsidRDefault="00530196" w:rsidP="00530196">
      <w:r>
        <w:t>The status of the health workforce is given in terms of stock and density, training and Education capacities, migration, employment status, supply, demand, and need for health workers, budgeting and spending, governance and leadership, impacts of the health workforce levels, and</w:t>
      </w:r>
      <w:r w:rsidRPr="008657D6">
        <w:t xml:space="preserve"> an analysis of key performance indicators compared to targets.</w:t>
      </w:r>
    </w:p>
    <w:p w14:paraId="10DC11BA" w14:textId="77777777" w:rsidR="004213DD" w:rsidRDefault="004213DD">
      <w:pPr>
        <w:rPr>
          <w:rFonts w:ascii="Arial Narrow" w:hAnsi="Arial Narrow"/>
          <w:color w:val="0070C0"/>
        </w:rPr>
      </w:pPr>
    </w:p>
    <w:p w14:paraId="2BE2E9AE" w14:textId="7787D22C" w:rsidR="00031D9B" w:rsidRDefault="00031D9B" w:rsidP="004213DD">
      <w:pPr>
        <w:pStyle w:val="Heading1"/>
        <w:numPr>
          <w:ilvl w:val="0"/>
          <w:numId w:val="1"/>
        </w:numPr>
        <w:rPr>
          <w:rFonts w:ascii="Arial Narrow" w:hAnsi="Arial Narrow"/>
          <w:color w:val="0070C0"/>
        </w:rPr>
      </w:pPr>
      <w:bookmarkStart w:id="1" w:name="_Toc162542676"/>
      <w:r>
        <w:rPr>
          <w:rFonts w:ascii="Arial Narrow" w:hAnsi="Arial Narrow"/>
          <w:color w:val="0070C0"/>
        </w:rPr>
        <w:t>The Report Development Process</w:t>
      </w:r>
      <w:bookmarkEnd w:id="1"/>
    </w:p>
    <w:p w14:paraId="6D505F3B" w14:textId="29A914EB" w:rsidR="007F402E" w:rsidRDefault="00086B7E">
      <w:r>
        <w:rPr>
          <w:rFonts w:ascii="Arial Narrow" w:hAnsi="Arial Narrow"/>
          <w:color w:val="0070C0"/>
        </w:rPr>
        <w:t xml:space="preserve">Data: </w:t>
      </w:r>
      <w:r w:rsidRPr="008657D6">
        <w:t>Data w</w:t>
      </w:r>
      <w:r>
        <w:t>ere</w:t>
      </w:r>
      <w:r w:rsidRPr="008657D6">
        <w:t xml:space="preserve"> systematically combined from multiple sources</w:t>
      </w:r>
      <w:r>
        <w:t>, spanning the period between 2012 and 2022</w:t>
      </w:r>
      <w:r w:rsidRPr="008657D6">
        <w:t>, including the National Health Workforce Account (NHWA</w:t>
      </w:r>
      <w:r>
        <w:t xml:space="preserve"> – the 2023 release</w:t>
      </w:r>
      <w:r w:rsidRPr="008657D6">
        <w:t>), Health Labour Market Analysis (HLMA), Country HRH profiles, HRH Strategic Plans and Annual Reports of Professional Regulatory Councils</w:t>
      </w:r>
      <w:r>
        <w:t>.</w:t>
      </w:r>
    </w:p>
    <w:p w14:paraId="17443C54" w14:textId="3B72EFF6" w:rsidR="00E71726" w:rsidRDefault="00E71726">
      <w:pPr>
        <w:rPr>
          <w:rFonts w:ascii="Arial Narrow" w:hAnsi="Arial Narrow"/>
          <w:color w:val="0070C0"/>
        </w:rPr>
      </w:pPr>
      <w:r w:rsidRPr="00E71726">
        <w:rPr>
          <w:b/>
          <w:bCs/>
        </w:rPr>
        <w:t>Selection of data points:</w:t>
      </w:r>
      <w:r>
        <w:t xml:space="preserve"> Data were collected at the beginning of the decade (2013 or the nearest), mid-point (2018 or the latest) and at the end (2022 or the latest data available).</w:t>
      </w:r>
    </w:p>
    <w:p w14:paraId="331BC8A1" w14:textId="4FC69037" w:rsidR="00086B7E" w:rsidRDefault="00E71726">
      <w:pPr>
        <w:rPr>
          <w:rFonts w:ascii="Arial Narrow" w:hAnsi="Arial Narrow"/>
          <w:color w:val="0070C0"/>
        </w:rPr>
      </w:pPr>
      <w:r>
        <w:rPr>
          <w:rFonts w:ascii="Arial Narrow" w:hAnsi="Arial Narrow"/>
          <w:color w:val="0070C0"/>
        </w:rPr>
        <w:t>Adjustment: The data for 2022 were adjusted for private sector contribution with reference to</w:t>
      </w:r>
      <w:r w:rsidRPr="008657D6">
        <w:t xml:space="preserve"> the 2018 survey data point.</w:t>
      </w:r>
    </w:p>
    <w:p w14:paraId="0A641372" w14:textId="77777777" w:rsidR="007F402E" w:rsidRDefault="007F402E">
      <w:pPr>
        <w:rPr>
          <w:rFonts w:ascii="Arial Narrow" w:hAnsi="Arial Narrow"/>
          <w:color w:val="0070C0"/>
        </w:rPr>
      </w:pPr>
    </w:p>
    <w:p w14:paraId="170B7DDC" w14:textId="77777777" w:rsidR="007F402E" w:rsidRDefault="007F402E">
      <w:pPr>
        <w:rPr>
          <w:rFonts w:ascii="Arial Narrow" w:hAnsi="Arial Narrow"/>
          <w:color w:val="0070C0"/>
        </w:rPr>
      </w:pPr>
    </w:p>
    <w:p w14:paraId="2D9BAAAE" w14:textId="34693292" w:rsidR="00BC4376" w:rsidRPr="007A1155" w:rsidRDefault="00031D9B" w:rsidP="004213DD">
      <w:pPr>
        <w:pStyle w:val="Heading1"/>
        <w:numPr>
          <w:ilvl w:val="0"/>
          <w:numId w:val="1"/>
        </w:numPr>
        <w:rPr>
          <w:rFonts w:ascii="Arial Narrow" w:hAnsi="Arial Narrow"/>
          <w:b/>
          <w:bCs/>
          <w:color w:val="0070C0"/>
        </w:rPr>
      </w:pPr>
      <w:bookmarkStart w:id="2" w:name="_Toc162542677"/>
      <w:r>
        <w:rPr>
          <w:rFonts w:ascii="Arial Narrow" w:hAnsi="Arial Narrow"/>
          <w:b/>
          <w:bCs/>
          <w:color w:val="0070C0"/>
        </w:rPr>
        <w:t xml:space="preserve">Health workforce profile – A </w:t>
      </w:r>
      <w:r w:rsidR="00402C94">
        <w:rPr>
          <w:rFonts w:ascii="Arial Narrow" w:hAnsi="Arial Narrow"/>
          <w:b/>
          <w:bCs/>
          <w:color w:val="0070C0"/>
        </w:rPr>
        <w:t>ten-year</w:t>
      </w:r>
      <w:r>
        <w:rPr>
          <w:rFonts w:ascii="Arial Narrow" w:hAnsi="Arial Narrow"/>
          <w:b/>
          <w:bCs/>
          <w:color w:val="0070C0"/>
        </w:rPr>
        <w:t xml:space="preserve"> trend</w:t>
      </w:r>
      <w:bookmarkEnd w:id="2"/>
    </w:p>
    <w:p w14:paraId="24A45C58" w14:textId="77777777" w:rsidR="00402C94" w:rsidRDefault="00402C94" w:rsidP="00530196"/>
    <w:p w14:paraId="4FB94DF7" w14:textId="77777777" w:rsidR="00530196" w:rsidRDefault="00530196" w:rsidP="00530196">
      <w:r>
        <w:t xml:space="preserve">Data availability: </w:t>
      </w:r>
      <w:r w:rsidRPr="008657D6">
        <w:rPr>
          <w:b/>
          <w:bCs/>
          <w:color w:val="000000" w:themeColor="text1"/>
        </w:rPr>
        <w:t>Health workforce data</w:t>
      </w:r>
      <w:r>
        <w:rPr>
          <w:b/>
          <w:bCs/>
          <w:color w:val="000000" w:themeColor="text1"/>
        </w:rPr>
        <w:t xml:space="preserve"> availability and use have improved dramatically</w:t>
      </w:r>
      <w:r w:rsidRPr="008657D6">
        <w:rPr>
          <w:b/>
          <w:bCs/>
          <w:color w:val="000000" w:themeColor="text1"/>
        </w:rPr>
        <w:t>:</w:t>
      </w:r>
      <w:r w:rsidRPr="008657D6">
        <w:rPr>
          <w:color w:val="000000" w:themeColor="text1"/>
        </w:rPr>
        <w:t xml:space="preserve"> </w:t>
      </w:r>
      <w:r>
        <w:rPr>
          <w:color w:val="000000" w:themeColor="text1"/>
        </w:rPr>
        <w:t>Data availability and r</w:t>
      </w:r>
      <w:r w:rsidRPr="008657D6">
        <w:rPr>
          <w:color w:val="000000" w:themeColor="text1"/>
        </w:rPr>
        <w:t xml:space="preserve">eporting </w:t>
      </w:r>
      <w:r>
        <w:rPr>
          <w:color w:val="000000" w:themeColor="text1"/>
        </w:rPr>
        <w:t xml:space="preserve">improved tremendously between 2013 and 2022. With only data for 26% of the occupations reported across all </w:t>
      </w:r>
      <w:r w:rsidRPr="008657D6">
        <w:t>countries in 2013</w:t>
      </w:r>
      <w:r>
        <w:t>, t</w:t>
      </w:r>
      <w:r w:rsidRPr="008657D6">
        <w:t>his improved to 75% in 2018 and 81% in 2022.</w:t>
      </w:r>
    </w:p>
    <w:p w14:paraId="150402C4" w14:textId="77777777" w:rsidR="00530196" w:rsidRDefault="00530196" w:rsidP="00530196">
      <w:pPr>
        <w:rPr>
          <w:rFonts w:ascii="Arial Narrow" w:hAnsi="Arial Narrow"/>
          <w:color w:val="0070C0"/>
        </w:rPr>
      </w:pPr>
      <w:r w:rsidRPr="008657D6">
        <w:t>Data availability in the region for the years 2013, 2018 and 2022</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32"/>
        <w:gridCol w:w="2982"/>
        <w:gridCol w:w="3012"/>
      </w:tblGrid>
      <w:tr w:rsidR="00530196" w:rsidRPr="008657D6" w14:paraId="01F98686" w14:textId="77777777" w:rsidTr="00A47DD7">
        <w:tc>
          <w:tcPr>
            <w:tcW w:w="4724" w:type="dxa"/>
          </w:tcPr>
          <w:p w14:paraId="55EAC51C" w14:textId="77777777" w:rsidR="00530196" w:rsidRPr="008657D6" w:rsidRDefault="00530196" w:rsidP="00A47DD7">
            <w:r w:rsidRPr="008657D6">
              <w:rPr>
                <w:noProof/>
              </w:rPr>
              <w:drawing>
                <wp:inline distT="0" distB="0" distL="0" distR="0" wp14:anchorId="5CAA727C" wp14:editId="11F6D48C">
                  <wp:extent cx="1771650" cy="1771650"/>
                  <wp:effectExtent l="0" t="0" r="0" b="0"/>
                  <wp:docPr id="14327785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778502" name=""/>
                          <pic:cNvPicPr/>
                        </pic:nvPicPr>
                        <pic:blipFill>
                          <a:blip r:embed="rId6"/>
                          <a:stretch>
                            <a:fillRect/>
                          </a:stretch>
                        </pic:blipFill>
                        <pic:spPr>
                          <a:xfrm>
                            <a:off x="0" y="0"/>
                            <a:ext cx="1784040" cy="1784040"/>
                          </a:xfrm>
                          <a:prstGeom prst="rect">
                            <a:avLst/>
                          </a:prstGeom>
                        </pic:spPr>
                      </pic:pic>
                    </a:graphicData>
                  </a:graphic>
                </wp:inline>
              </w:drawing>
            </w:r>
          </w:p>
        </w:tc>
        <w:tc>
          <w:tcPr>
            <w:tcW w:w="4725" w:type="dxa"/>
          </w:tcPr>
          <w:p w14:paraId="2A98ADF2" w14:textId="77777777" w:rsidR="00530196" w:rsidRPr="008657D6" w:rsidRDefault="00530196" w:rsidP="00A47DD7">
            <w:r w:rsidRPr="008657D6">
              <w:rPr>
                <w:noProof/>
              </w:rPr>
              <w:drawing>
                <wp:inline distT="0" distB="0" distL="0" distR="0" wp14:anchorId="4544ACA4" wp14:editId="769FE8BD">
                  <wp:extent cx="1739900" cy="1739900"/>
                  <wp:effectExtent l="0" t="0" r="0" b="0"/>
                  <wp:docPr id="1045627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627675" name=""/>
                          <pic:cNvPicPr/>
                        </pic:nvPicPr>
                        <pic:blipFill>
                          <a:blip r:embed="rId7"/>
                          <a:stretch>
                            <a:fillRect/>
                          </a:stretch>
                        </pic:blipFill>
                        <pic:spPr>
                          <a:xfrm>
                            <a:off x="0" y="0"/>
                            <a:ext cx="1751294" cy="1751294"/>
                          </a:xfrm>
                          <a:prstGeom prst="rect">
                            <a:avLst/>
                          </a:prstGeom>
                        </pic:spPr>
                      </pic:pic>
                    </a:graphicData>
                  </a:graphic>
                </wp:inline>
              </w:drawing>
            </w:r>
          </w:p>
        </w:tc>
        <w:tc>
          <w:tcPr>
            <w:tcW w:w="4725" w:type="dxa"/>
          </w:tcPr>
          <w:p w14:paraId="3E55F089" w14:textId="77777777" w:rsidR="00530196" w:rsidRPr="008657D6" w:rsidRDefault="00530196" w:rsidP="00A47DD7">
            <w:r w:rsidRPr="008657D6">
              <w:rPr>
                <w:noProof/>
              </w:rPr>
              <w:drawing>
                <wp:inline distT="0" distB="0" distL="0" distR="0" wp14:anchorId="6FB0A0B4" wp14:editId="286DB496">
                  <wp:extent cx="1758950" cy="1758950"/>
                  <wp:effectExtent l="0" t="0" r="0" b="0"/>
                  <wp:docPr id="547842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61756" cy="1761756"/>
                          </a:xfrm>
                          <a:prstGeom prst="rect">
                            <a:avLst/>
                          </a:prstGeom>
                        </pic:spPr>
                      </pic:pic>
                    </a:graphicData>
                  </a:graphic>
                </wp:inline>
              </w:drawing>
            </w:r>
          </w:p>
        </w:tc>
      </w:tr>
    </w:tbl>
    <w:p w14:paraId="75182BAF" w14:textId="12F0D513" w:rsidR="00530196" w:rsidRPr="00402C94" w:rsidRDefault="00530196" w:rsidP="00530196"/>
    <w:p w14:paraId="61099880" w14:textId="4C564510" w:rsidR="00402C94" w:rsidRDefault="00402C94" w:rsidP="00402C94">
      <w:r w:rsidRPr="00402C94">
        <w:rPr>
          <w:b/>
          <w:bCs/>
          <w:color w:val="000000" w:themeColor="text1"/>
        </w:rPr>
        <w:t>The overall stock and density of health workers are improving, but there are wide variations among countries and regional economic communities:</w:t>
      </w:r>
      <w:r w:rsidRPr="00402C94">
        <w:rPr>
          <w:color w:val="000000" w:themeColor="text1"/>
        </w:rPr>
        <w:t xml:space="preserve"> The health workforce in the African Region has witnessed remarkable growth over the last decade. In 2022, the region had 5.1 million health workers of any kind, compared to 4.3 million in 2018 and only 1.6 million in 2013. This three-fold </w:t>
      </w:r>
      <w:r w:rsidRPr="00402C94">
        <w:rPr>
          <w:color w:val="000000" w:themeColor="text1"/>
        </w:rPr>
        <w:lastRenderedPageBreak/>
        <w:t>increase in the health workforce stock is due to a combination of improved data availability sharing reporting and the health workforce development efforts by countries</w:t>
      </w:r>
      <w:r w:rsidRPr="008657D6">
        <w:t>.</w:t>
      </w:r>
    </w:p>
    <w:p w14:paraId="482C6162" w14:textId="77777777" w:rsidR="00402C94" w:rsidRPr="008657D6" w:rsidRDefault="00402C94" w:rsidP="00402C94">
      <w:r w:rsidRPr="00402C94">
        <w:rPr>
          <w:b/>
          <w:bCs/>
          <w:color w:val="000000" w:themeColor="text1"/>
        </w:rPr>
        <w:t>In 2022, t</w:t>
      </w:r>
      <w:r w:rsidRPr="00402C94">
        <w:rPr>
          <w:b/>
          <w:bCs/>
        </w:rPr>
        <w:t>here were 27 doctors, nurses, midwives, dentists and pharmacists per 10,000 population in the region.</w:t>
      </w:r>
      <w:r w:rsidRPr="008657D6">
        <w:t xml:space="preserve"> </w:t>
      </w:r>
      <w:r>
        <w:t>The</w:t>
      </w:r>
      <w:r w:rsidRPr="008657D6">
        <w:t xml:space="preserve"> upper 25% of the countries or the upper quartile (</w:t>
      </w:r>
      <w:r>
        <w:t xml:space="preserve">made up of </w:t>
      </w:r>
      <w:r w:rsidRPr="008657D6">
        <w:t>12 countries) with the better densities have an average of 67.19 doctors, nurses, midwives, dentists and pharmacists per 10,000 population compared to a density of 5.57 for countries in the lower quartile (</w:t>
      </w:r>
      <w:r>
        <w:t xml:space="preserve">also made up of </w:t>
      </w:r>
      <w:r w:rsidRPr="008657D6">
        <w:t>12 countries).</w:t>
      </w:r>
    </w:p>
    <w:p w14:paraId="69A0C23E" w14:textId="77777777" w:rsidR="00402C94" w:rsidRPr="008657D6" w:rsidRDefault="00402C94" w:rsidP="00402C94">
      <w:r w:rsidRPr="00402C94">
        <w:rPr>
          <w:color w:val="000000" w:themeColor="text1"/>
        </w:rPr>
        <w:t xml:space="preserve">The highest improvements in the density per 10,000 </w:t>
      </w:r>
      <w:r w:rsidRPr="008657D6">
        <w:t xml:space="preserve">for </w:t>
      </w:r>
      <w:r>
        <w:t>doctors, nurses, midwives, dentists and pharmacists (</w:t>
      </w:r>
      <w:r w:rsidRPr="008657D6">
        <w:t xml:space="preserve">SDG 3c </w:t>
      </w:r>
      <w:r>
        <w:t xml:space="preserve">tracer </w:t>
      </w:r>
      <w:r w:rsidRPr="008657D6">
        <w:t>occupations</w:t>
      </w:r>
      <w:r>
        <w:t>)</w:t>
      </w:r>
      <w:r w:rsidRPr="008657D6">
        <w:t xml:space="preserve"> were witnessed in the UMMA (from 7.93 to 34.48), SADC (from 17.24 to 47.01)</w:t>
      </w:r>
      <w:r>
        <w:t xml:space="preserve">, and COMESA (from 16.01 to 38.79) economic communities, with the </w:t>
      </w:r>
      <w:r w:rsidRPr="008657D6">
        <w:t>least being in EAC (from 8.27 to 14.53).</w:t>
      </w:r>
      <w:r>
        <w:t xml:space="preserve"> </w:t>
      </w:r>
    </w:p>
    <w:p w14:paraId="5748B5F7" w14:textId="77777777" w:rsidR="00402C94" w:rsidRPr="008657D6" w:rsidRDefault="00402C94" w:rsidP="00402C94">
      <w:r w:rsidRPr="008657D6">
        <w:t>There were 2.6 million doctors, nurses, midwives, dentists</w:t>
      </w:r>
      <w:r>
        <w:t>, and pharmacists in the African region, a threefold increase over the ten years and an annual growth rate of 13%. Of these, one in two was in lower-middle-income countries, one in three in low-income countries, and one in five in high/upper-middle-income</w:t>
      </w:r>
      <w:r w:rsidRPr="008657D6">
        <w:t xml:space="preserve"> countries.</w:t>
      </w:r>
    </w:p>
    <w:p w14:paraId="1B799EB9" w14:textId="77777777" w:rsidR="00402C94" w:rsidRDefault="00402C94" w:rsidP="00402C94">
      <w:r w:rsidRPr="00402C94">
        <w:rPr>
          <w:b/>
          <w:bCs/>
          <w:color w:val="000000" w:themeColor="text1"/>
        </w:rPr>
        <w:t>Population growth is outpacing the growth in the stock of health workers</w:t>
      </w:r>
      <w:r w:rsidRPr="00402C94">
        <w:rPr>
          <w:color w:val="000000" w:themeColor="text1"/>
        </w:rPr>
        <w:t>: While 7</w:t>
      </w:r>
      <w:r w:rsidRPr="008657D6">
        <w:t xml:space="preserve">9% of the countries showed a positive trajectory in increasing their stock between 2018 and 2022, the workforce density per 10,000 population increased in 62% of the countries. The difference between the growth of stock and density was attributable to the population growing </w:t>
      </w:r>
      <w:r>
        <w:t>faster than the workforce development rate</w:t>
      </w:r>
      <w:r w:rsidRPr="008657D6">
        <w:t xml:space="preserve"> and marginally due to out-migration. </w:t>
      </w:r>
      <w:r>
        <w:t>Eight countries, or 17% of the region (Botswana, Burundi, DRC, Malawi, Mali, Niger, Rwanda and Senegal) increased their stock,</w:t>
      </w:r>
      <w:r w:rsidRPr="008657D6">
        <w:t xml:space="preserve"> but </w:t>
      </w:r>
      <w:r>
        <w:t>the population growth outpaced it</w:t>
      </w:r>
      <w:r w:rsidRPr="008657D6">
        <w:t>. For 21% of the countries, the stock of health workers and the density reduced between 2018 and 2022. These are Central Africa Republic, Chad, Eritrea, Gabon, The Gambia, Guinea, Lesotho, Liberia, Madagascar and Mauritius.</w:t>
      </w:r>
    </w:p>
    <w:p w14:paraId="1AC7291D" w14:textId="77777777" w:rsidR="00031D9B" w:rsidRDefault="00031D9B" w:rsidP="00A65195">
      <w:pPr>
        <w:jc w:val="both"/>
        <w:rPr>
          <w:rFonts w:ascii="Arial Narrow" w:hAnsi="Arial Narrow"/>
          <w:color w:val="0070C0"/>
        </w:rPr>
      </w:pPr>
    </w:p>
    <w:p w14:paraId="2059FE5D" w14:textId="77777777" w:rsidR="00031D9B" w:rsidRDefault="00031D9B" w:rsidP="00A65195">
      <w:pPr>
        <w:jc w:val="both"/>
        <w:rPr>
          <w:rFonts w:ascii="Arial Narrow" w:hAnsi="Arial Narrow"/>
          <w:color w:val="0070C0"/>
        </w:rPr>
      </w:pPr>
    </w:p>
    <w:p w14:paraId="462C4713" w14:textId="78877B3B" w:rsidR="00031D9B" w:rsidRDefault="00031D9B" w:rsidP="004213DD">
      <w:pPr>
        <w:pStyle w:val="Heading1"/>
        <w:numPr>
          <w:ilvl w:val="0"/>
          <w:numId w:val="1"/>
        </w:numPr>
        <w:rPr>
          <w:rFonts w:ascii="Arial Narrow" w:hAnsi="Arial Narrow"/>
          <w:color w:val="0070C0"/>
        </w:rPr>
      </w:pPr>
      <w:bookmarkStart w:id="3" w:name="_Toc162542678"/>
      <w:r>
        <w:rPr>
          <w:rFonts w:ascii="Arial Narrow" w:hAnsi="Arial Narrow"/>
          <w:color w:val="0070C0"/>
        </w:rPr>
        <w:t>Health Workforce Growth Enablers</w:t>
      </w:r>
      <w:bookmarkEnd w:id="3"/>
      <w:r>
        <w:rPr>
          <w:rFonts w:ascii="Arial Narrow" w:hAnsi="Arial Narrow"/>
          <w:color w:val="0070C0"/>
        </w:rPr>
        <w:t xml:space="preserve"> </w:t>
      </w:r>
    </w:p>
    <w:p w14:paraId="1A920AF8" w14:textId="77777777" w:rsidR="00031D9B" w:rsidRDefault="00031D9B" w:rsidP="00A65195">
      <w:pPr>
        <w:jc w:val="both"/>
        <w:rPr>
          <w:rFonts w:ascii="Arial Narrow" w:hAnsi="Arial Narrow"/>
          <w:color w:val="0070C0"/>
        </w:rPr>
      </w:pPr>
    </w:p>
    <w:p w14:paraId="07A0FB23" w14:textId="458342A3" w:rsidR="00031D9B" w:rsidRDefault="004213DD" w:rsidP="00A65195">
      <w:pPr>
        <w:jc w:val="both"/>
        <w:rPr>
          <w:rFonts w:ascii="Arial Narrow" w:hAnsi="Arial Narrow"/>
          <w:color w:val="0070C0"/>
        </w:rPr>
      </w:pPr>
      <w:r>
        <w:rPr>
          <w:rFonts w:ascii="Arial Narrow" w:hAnsi="Arial Narrow"/>
          <w:color w:val="0070C0"/>
        </w:rPr>
        <w:t>Production (training)</w:t>
      </w:r>
    </w:p>
    <w:p w14:paraId="48D47AEE" w14:textId="12F42979" w:rsidR="004213DD" w:rsidRDefault="004213DD" w:rsidP="00A65195">
      <w:pPr>
        <w:jc w:val="both"/>
        <w:rPr>
          <w:rFonts w:ascii="Arial Narrow" w:hAnsi="Arial Narrow"/>
          <w:color w:val="0070C0"/>
        </w:rPr>
      </w:pPr>
      <w:r>
        <w:rPr>
          <w:rFonts w:ascii="Arial Narrow" w:hAnsi="Arial Narrow"/>
          <w:color w:val="0070C0"/>
        </w:rPr>
        <w:t>Determinants of health workforce density</w:t>
      </w:r>
    </w:p>
    <w:p w14:paraId="202A4D74" w14:textId="624F2764" w:rsidR="004213DD" w:rsidRDefault="004213DD" w:rsidP="00A65195">
      <w:pPr>
        <w:jc w:val="both"/>
        <w:rPr>
          <w:rFonts w:ascii="Arial Narrow" w:hAnsi="Arial Narrow"/>
          <w:color w:val="0070C0"/>
        </w:rPr>
      </w:pPr>
      <w:r>
        <w:rPr>
          <w:rFonts w:ascii="Arial Narrow" w:hAnsi="Arial Narrow"/>
          <w:color w:val="0070C0"/>
        </w:rPr>
        <w:t>Investment</w:t>
      </w:r>
    </w:p>
    <w:p w14:paraId="25484397" w14:textId="18086554" w:rsidR="004213DD" w:rsidRDefault="004213DD" w:rsidP="00A65195">
      <w:pPr>
        <w:jc w:val="both"/>
        <w:rPr>
          <w:rFonts w:ascii="Arial Narrow" w:hAnsi="Arial Narrow"/>
          <w:color w:val="0070C0"/>
        </w:rPr>
      </w:pPr>
      <w:r>
        <w:rPr>
          <w:rFonts w:ascii="Arial Narrow" w:hAnsi="Arial Narrow"/>
          <w:color w:val="0070C0"/>
        </w:rPr>
        <w:t>Planning and governance</w:t>
      </w:r>
    </w:p>
    <w:p w14:paraId="38165101" w14:textId="77777777" w:rsidR="00031D9B" w:rsidRDefault="00031D9B" w:rsidP="00A65195">
      <w:pPr>
        <w:jc w:val="both"/>
        <w:rPr>
          <w:lang w:val="en-US"/>
        </w:rPr>
      </w:pPr>
    </w:p>
    <w:p w14:paraId="233DB2F8" w14:textId="77777777" w:rsidR="004213DD" w:rsidRDefault="004213DD" w:rsidP="00A65195">
      <w:pPr>
        <w:jc w:val="both"/>
        <w:rPr>
          <w:lang w:val="en-US"/>
        </w:rPr>
      </w:pPr>
    </w:p>
    <w:p w14:paraId="6C557644" w14:textId="5E316B52" w:rsidR="004213DD" w:rsidRDefault="004213DD" w:rsidP="004213DD">
      <w:pPr>
        <w:pStyle w:val="Heading1"/>
        <w:numPr>
          <w:ilvl w:val="0"/>
          <w:numId w:val="1"/>
        </w:numPr>
        <w:rPr>
          <w:lang w:val="en-US"/>
        </w:rPr>
      </w:pPr>
      <w:bookmarkStart w:id="4" w:name="_Toc162542679"/>
      <w:r>
        <w:rPr>
          <w:lang w:val="en-US"/>
        </w:rPr>
        <w:t>Health Workforce need gaps</w:t>
      </w:r>
      <w:bookmarkEnd w:id="4"/>
    </w:p>
    <w:p w14:paraId="32133175" w14:textId="1FF103DD" w:rsidR="004213DD" w:rsidRDefault="00402C94" w:rsidP="00A65195">
      <w:pPr>
        <w:jc w:val="both"/>
        <w:rPr>
          <w:lang w:val="en-US"/>
        </w:rPr>
      </w:pPr>
      <w:r>
        <w:rPr>
          <w:lang w:val="en-US"/>
        </w:rPr>
        <w:t xml:space="preserve">Unemployment </w:t>
      </w:r>
    </w:p>
    <w:p w14:paraId="2970F2E6" w14:textId="1041C557" w:rsidR="004213DD" w:rsidRDefault="004213DD" w:rsidP="00A65195">
      <w:pPr>
        <w:jc w:val="both"/>
        <w:rPr>
          <w:lang w:val="en-US"/>
        </w:rPr>
      </w:pPr>
      <w:r>
        <w:rPr>
          <w:lang w:val="en-US"/>
        </w:rPr>
        <w:t xml:space="preserve">Migration </w:t>
      </w:r>
    </w:p>
    <w:p w14:paraId="02C5D675" w14:textId="084ED5D1" w:rsidR="004213DD" w:rsidRDefault="004213DD" w:rsidP="00A65195">
      <w:pPr>
        <w:jc w:val="both"/>
        <w:rPr>
          <w:lang w:val="en-US"/>
        </w:rPr>
      </w:pPr>
      <w:r>
        <w:rPr>
          <w:lang w:val="en-US"/>
        </w:rPr>
        <w:t>Need based projection</w:t>
      </w:r>
    </w:p>
    <w:p w14:paraId="112D9D15" w14:textId="77777777" w:rsidR="004213DD" w:rsidRDefault="004213DD" w:rsidP="00A65195">
      <w:pPr>
        <w:jc w:val="both"/>
        <w:rPr>
          <w:lang w:val="en-US"/>
        </w:rPr>
      </w:pPr>
    </w:p>
    <w:p w14:paraId="1311C7DD" w14:textId="06759548" w:rsidR="004213DD" w:rsidRDefault="004213DD" w:rsidP="004213DD">
      <w:pPr>
        <w:pStyle w:val="Heading1"/>
        <w:numPr>
          <w:ilvl w:val="0"/>
          <w:numId w:val="1"/>
        </w:numPr>
        <w:rPr>
          <w:lang w:val="en-US"/>
        </w:rPr>
      </w:pPr>
      <w:bookmarkStart w:id="5" w:name="_Toc162542680"/>
      <w:r>
        <w:rPr>
          <w:lang w:val="en-US"/>
        </w:rPr>
        <w:t>Impacts of health workforce density</w:t>
      </w:r>
      <w:bookmarkEnd w:id="5"/>
    </w:p>
    <w:p w14:paraId="794418E7" w14:textId="77777777" w:rsidR="004213DD" w:rsidRDefault="004213DD" w:rsidP="00A65195">
      <w:pPr>
        <w:jc w:val="both"/>
        <w:rPr>
          <w:lang w:val="en-US"/>
        </w:rPr>
      </w:pPr>
    </w:p>
    <w:p w14:paraId="7070FB79" w14:textId="77777777" w:rsidR="004213DD" w:rsidRDefault="004213DD" w:rsidP="00A65195">
      <w:pPr>
        <w:jc w:val="both"/>
        <w:rPr>
          <w:lang w:val="en-US"/>
        </w:rPr>
      </w:pPr>
    </w:p>
    <w:p w14:paraId="08CEE1F6" w14:textId="77777777" w:rsidR="004213DD" w:rsidRDefault="004213DD" w:rsidP="00A65195">
      <w:pPr>
        <w:jc w:val="both"/>
        <w:rPr>
          <w:lang w:val="en-US"/>
        </w:rPr>
      </w:pPr>
    </w:p>
    <w:p w14:paraId="5E7039C0" w14:textId="62803727" w:rsidR="004213DD" w:rsidRPr="00BC4376" w:rsidRDefault="004213DD" w:rsidP="004213DD">
      <w:pPr>
        <w:pStyle w:val="Heading1"/>
        <w:numPr>
          <w:ilvl w:val="0"/>
          <w:numId w:val="1"/>
        </w:numPr>
        <w:rPr>
          <w:lang w:val="en-US"/>
        </w:rPr>
      </w:pPr>
      <w:bookmarkStart w:id="6" w:name="_Toc162542681"/>
      <w:r>
        <w:rPr>
          <w:lang w:val="en-US"/>
        </w:rPr>
        <w:t>Conclusions and recommendations</w:t>
      </w:r>
      <w:bookmarkEnd w:id="6"/>
    </w:p>
    <w:sectPr w:rsidR="004213DD" w:rsidRPr="00BC437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C074EA2"/>
    <w:multiLevelType w:val="hybridMultilevel"/>
    <w:tmpl w:val="576C607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3842157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C4376"/>
    <w:rsid w:val="00031D9B"/>
    <w:rsid w:val="00086B7E"/>
    <w:rsid w:val="000C2C51"/>
    <w:rsid w:val="00140DBE"/>
    <w:rsid w:val="001F5E00"/>
    <w:rsid w:val="002C5996"/>
    <w:rsid w:val="002F0A17"/>
    <w:rsid w:val="002F3EAC"/>
    <w:rsid w:val="00402C94"/>
    <w:rsid w:val="004213DD"/>
    <w:rsid w:val="004806CD"/>
    <w:rsid w:val="00530196"/>
    <w:rsid w:val="005716C4"/>
    <w:rsid w:val="0062158B"/>
    <w:rsid w:val="00775FFA"/>
    <w:rsid w:val="007A1155"/>
    <w:rsid w:val="007B61D5"/>
    <w:rsid w:val="007C1596"/>
    <w:rsid w:val="007E3BA9"/>
    <w:rsid w:val="007F402E"/>
    <w:rsid w:val="00817578"/>
    <w:rsid w:val="00877E9C"/>
    <w:rsid w:val="00A65195"/>
    <w:rsid w:val="00BA6F54"/>
    <w:rsid w:val="00BC4376"/>
    <w:rsid w:val="00BC5A50"/>
    <w:rsid w:val="00E71726"/>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0CBDF6"/>
  <w15:chartTrackingRefBased/>
  <w15:docId w15:val="{D1E2507E-57D8-428D-91E4-296E13151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K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GB"/>
    </w:rPr>
  </w:style>
  <w:style w:type="paragraph" w:styleId="Heading1">
    <w:name w:val="heading 1"/>
    <w:basedOn w:val="Normal"/>
    <w:next w:val="Normal"/>
    <w:link w:val="Heading1Char"/>
    <w:uiPriority w:val="9"/>
    <w:qFormat/>
    <w:rsid w:val="004213D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aliases w:val="Key messages"/>
    <w:basedOn w:val="Normal"/>
    <w:next w:val="Normal"/>
    <w:link w:val="SubtitleChar"/>
    <w:uiPriority w:val="11"/>
    <w:qFormat/>
    <w:rsid w:val="007F402E"/>
    <w:pPr>
      <w:numPr>
        <w:ilvl w:val="1"/>
      </w:numPr>
      <w:spacing w:beforeAutospacing="1" w:after="0" w:line="276" w:lineRule="auto"/>
      <w:jc w:val="both"/>
    </w:pPr>
    <w:rPr>
      <w:rFonts w:ascii="Times New Roman" w:hAnsi="Times New Roman"/>
      <w:b/>
      <w:bCs/>
      <w:color w:val="002060"/>
      <w:sz w:val="24"/>
      <w:szCs w:val="24"/>
    </w:rPr>
  </w:style>
  <w:style w:type="character" w:customStyle="1" w:styleId="SubtitleChar">
    <w:name w:val="Subtitle Char"/>
    <w:aliases w:val="Key messages Char"/>
    <w:basedOn w:val="DefaultParagraphFont"/>
    <w:link w:val="Subtitle"/>
    <w:uiPriority w:val="11"/>
    <w:rsid w:val="007F402E"/>
    <w:rPr>
      <w:rFonts w:ascii="Times New Roman" w:hAnsi="Times New Roman"/>
      <w:b/>
      <w:bCs/>
      <w:color w:val="002060"/>
      <w:sz w:val="24"/>
      <w:szCs w:val="24"/>
      <w:lang w:val="en-GB"/>
    </w:rPr>
  </w:style>
  <w:style w:type="character" w:customStyle="1" w:styleId="Heading1Char">
    <w:name w:val="Heading 1 Char"/>
    <w:basedOn w:val="DefaultParagraphFont"/>
    <w:link w:val="Heading1"/>
    <w:uiPriority w:val="9"/>
    <w:rsid w:val="004213DD"/>
    <w:rPr>
      <w:rFonts w:asciiTheme="majorHAnsi" w:eastAsiaTheme="majorEastAsia" w:hAnsiTheme="majorHAnsi" w:cstheme="majorBidi"/>
      <w:color w:val="2F5496" w:themeColor="accent1" w:themeShade="BF"/>
      <w:sz w:val="32"/>
      <w:szCs w:val="32"/>
      <w:lang w:val="en-GB"/>
    </w:rPr>
  </w:style>
  <w:style w:type="paragraph" w:styleId="TOCHeading">
    <w:name w:val="TOC Heading"/>
    <w:basedOn w:val="Heading1"/>
    <w:next w:val="Normal"/>
    <w:uiPriority w:val="39"/>
    <w:unhideWhenUsed/>
    <w:qFormat/>
    <w:rsid w:val="004213DD"/>
    <w:pPr>
      <w:outlineLvl w:val="9"/>
    </w:pPr>
    <w:rPr>
      <w:kern w:val="0"/>
      <w:lang w:val="en-US"/>
      <w14:ligatures w14:val="none"/>
    </w:rPr>
  </w:style>
  <w:style w:type="paragraph" w:styleId="TOC1">
    <w:name w:val="toc 1"/>
    <w:basedOn w:val="Normal"/>
    <w:next w:val="Normal"/>
    <w:autoRedefine/>
    <w:uiPriority w:val="39"/>
    <w:unhideWhenUsed/>
    <w:rsid w:val="004213DD"/>
    <w:pPr>
      <w:spacing w:after="100"/>
    </w:pPr>
  </w:style>
  <w:style w:type="character" w:styleId="Hyperlink">
    <w:name w:val="Hyperlink"/>
    <w:basedOn w:val="DefaultParagraphFont"/>
    <w:uiPriority w:val="99"/>
    <w:unhideWhenUsed/>
    <w:rsid w:val="004213DD"/>
    <w:rPr>
      <w:color w:val="0563C1" w:themeColor="hyperlink"/>
      <w:u w:val="single"/>
    </w:rPr>
  </w:style>
  <w:style w:type="paragraph" w:styleId="ListParagraph">
    <w:name w:val="List Paragraph"/>
    <w:basedOn w:val="Normal"/>
    <w:uiPriority w:val="34"/>
    <w:qFormat/>
    <w:rsid w:val="00402C94"/>
    <w:pPr>
      <w:ind w:left="720"/>
      <w:contextualSpacing/>
    </w:pPr>
  </w:style>
  <w:style w:type="table" w:styleId="TableGrid">
    <w:name w:val="Table Grid"/>
    <w:basedOn w:val="TableNormal"/>
    <w:uiPriority w:val="39"/>
    <w:rsid w:val="00086B7E"/>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30AAF44-5A15-48DC-9FF4-55F22C7D2A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32</TotalTime>
  <Pages>4</Pages>
  <Words>754</Words>
  <Characters>4301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Mung'atu</dc:creator>
  <cp:keywords/>
  <dc:description/>
  <cp:lastModifiedBy>Joseph Mung'atu</cp:lastModifiedBy>
  <cp:revision>7</cp:revision>
  <dcterms:created xsi:type="dcterms:W3CDTF">2024-03-28T16:07:00Z</dcterms:created>
  <dcterms:modified xsi:type="dcterms:W3CDTF">2024-03-29T10:57:00Z</dcterms:modified>
</cp:coreProperties>
</file>