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E3BA9" w:rsidRDefault="00D46CFA">
      <w:pPr>
        <w:rPr>
          <w:lang w:val="en-US"/>
        </w:rPr>
      </w:pPr>
      <w:r>
        <w:rPr>
          <w:lang w:val="en-US"/>
        </w:rPr>
        <w:t>SDG 3c occupations density</w:t>
      </w:r>
    </w:p>
    <w:p w:rsidR="00D46CFA" w:rsidRDefault="00D46CFA">
      <w:pPr>
        <w:rPr>
          <w:lang w:val="en-US"/>
        </w:rPr>
      </w:pPr>
    </w:p>
    <w:p w:rsidR="00D46CFA" w:rsidRDefault="00D46CF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B84FF8">
            <wp:extent cx="5577752" cy="3210536"/>
            <wp:effectExtent l="0" t="0" r="4445" b="9525"/>
            <wp:docPr id="801348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327" cy="3225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46CFA" w:rsidRDefault="00D46CFA">
      <w:pPr>
        <w:rPr>
          <w:lang w:val="en-US"/>
        </w:rPr>
      </w:pPr>
      <w:r>
        <w:rPr>
          <w:lang w:val="en-US"/>
        </w:rPr>
        <w:t>Figure xx: The density of the SDG 3c occupations between 2013 and 2022</w:t>
      </w:r>
    </w:p>
    <w:p w:rsidR="00D46CFA" w:rsidRDefault="00D46CFA">
      <w:pPr>
        <w:rPr>
          <w:lang w:val="en-US"/>
        </w:rPr>
      </w:pPr>
    </w:p>
    <w:p w:rsidR="00D46CFA" w:rsidRDefault="009945ED">
      <w:pPr>
        <w:rPr>
          <w:lang w:val="en-US"/>
        </w:rPr>
      </w:pPr>
      <w:r>
        <w:rPr>
          <w:noProof/>
          <w:lang w:val="en-US"/>
        </w:rPr>
        <w:t>x</w:t>
      </w:r>
      <w:r>
        <w:rPr>
          <w:noProof/>
          <w:lang w:val="en-US"/>
        </w:rPr>
        <w:drawing>
          <wp:inline distT="0" distB="0" distL="0" distR="0" wp14:anchorId="4B5C1B8B">
            <wp:extent cx="6005696" cy="3314672"/>
            <wp:effectExtent l="0" t="0" r="0" b="635"/>
            <wp:docPr id="789789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043" cy="3323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945ED" w:rsidRDefault="009945ED" w:rsidP="009945ED">
      <w:pPr>
        <w:rPr>
          <w:lang w:val="en-US"/>
        </w:rPr>
      </w:pPr>
      <w:r>
        <w:rPr>
          <w:lang w:val="en-US"/>
        </w:rPr>
        <w:t xml:space="preserve">Figure </w:t>
      </w:r>
      <w:proofErr w:type="gramStart"/>
      <w:r>
        <w:rPr>
          <w:lang w:val="en-US"/>
        </w:rPr>
        <w:t xml:space="preserve">XXX 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The density of </w:t>
      </w:r>
      <w:r>
        <w:rPr>
          <w:lang w:val="en-US"/>
        </w:rPr>
        <w:t>Medical doctors(Generalists and specialist)</w:t>
      </w:r>
      <w:r>
        <w:rPr>
          <w:lang w:val="en-US"/>
        </w:rPr>
        <w:t xml:space="preserve"> between 2013 and 2022</w:t>
      </w:r>
    </w:p>
    <w:p w:rsidR="009945ED" w:rsidRDefault="009945ED">
      <w:pPr>
        <w:rPr>
          <w:lang w:val="en-US"/>
        </w:rPr>
      </w:pPr>
    </w:p>
    <w:p w:rsidR="009945ED" w:rsidRDefault="00F2732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628A54">
            <wp:extent cx="5626124" cy="2625849"/>
            <wp:effectExtent l="0" t="0" r="0" b="3175"/>
            <wp:docPr id="15434854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995" cy="2633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945ED" w:rsidRDefault="00F27328">
      <w:pPr>
        <w:rPr>
          <w:lang w:val="en-US"/>
        </w:rPr>
      </w:pPr>
      <w:r>
        <w:rPr>
          <w:lang w:val="en-US"/>
        </w:rPr>
        <w:t>Nurses and midwives</w:t>
      </w:r>
    </w:p>
    <w:p w:rsidR="00F27328" w:rsidRDefault="00F27328">
      <w:pPr>
        <w:rPr>
          <w:lang w:val="en-US"/>
        </w:rPr>
      </w:pPr>
    </w:p>
    <w:p w:rsidR="00F27328" w:rsidRDefault="008F11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D9C82D">
            <wp:extent cx="5940957" cy="2919493"/>
            <wp:effectExtent l="0" t="0" r="3175" b="0"/>
            <wp:docPr id="14793549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006" cy="2948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F1117" w:rsidRPr="008F1117" w:rsidRDefault="008F1117" w:rsidP="008F1117">
      <w:pPr>
        <w:tabs>
          <w:tab w:val="left" w:pos="2993"/>
        </w:tabs>
        <w:spacing w:after="0" w:line="240" w:lineRule="auto"/>
        <w:ind w:left="113"/>
        <w:rPr>
          <w:rFonts w:ascii="Arial Narrow" w:eastAsia="Times New Roman" w:hAnsi="Arial Narrow" w:cs="Calibri"/>
          <w:b/>
          <w:bCs/>
          <w:kern w:val="0"/>
          <w:lang w:val="en-KE" w:eastAsia="en-KE"/>
          <w14:ligatures w14:val="none"/>
        </w:rPr>
      </w:pPr>
      <w:r w:rsidRPr="008F1117">
        <w:rPr>
          <w:rFonts w:ascii="Arial Narrow" w:eastAsia="Times New Roman" w:hAnsi="Arial Narrow" w:cs="Calibri"/>
          <w:b/>
          <w:bCs/>
          <w:kern w:val="0"/>
          <w:lang w:val="en-KE" w:eastAsia="en-KE"/>
          <w14:ligatures w14:val="none"/>
        </w:rPr>
        <w:t>Dentists</w:t>
      </w:r>
      <w:r>
        <w:rPr>
          <w:rFonts w:ascii="Arial Narrow" w:eastAsia="Times New Roman" w:hAnsi="Arial Narrow" w:cs="Calibri"/>
          <w:b/>
          <w:bCs/>
          <w:kern w:val="0"/>
          <w:lang w:val="en-KE" w:eastAsia="en-KE"/>
          <w14:ligatures w14:val="none"/>
        </w:rPr>
        <w:t xml:space="preserve"> and </w:t>
      </w:r>
      <w:r w:rsidRPr="008F1117">
        <w:rPr>
          <w:rFonts w:ascii="Arial Narrow" w:eastAsia="Times New Roman" w:hAnsi="Arial Narrow" w:cs="Calibri"/>
          <w:b/>
          <w:bCs/>
          <w:kern w:val="0"/>
          <w:lang w:val="en-KE" w:eastAsia="en-KE"/>
          <w14:ligatures w14:val="none"/>
        </w:rPr>
        <w:t>Dental Assistants</w:t>
      </w:r>
      <w:r>
        <w:rPr>
          <w:rFonts w:ascii="Arial Narrow" w:eastAsia="Times New Roman" w:hAnsi="Arial Narrow" w:cs="Calibri"/>
          <w:b/>
          <w:bCs/>
          <w:kern w:val="0"/>
          <w:lang w:val="en-KE" w:eastAsia="en-KE"/>
          <w14:ligatures w14:val="none"/>
        </w:rPr>
        <w:t>/</w:t>
      </w:r>
      <w:r w:rsidRPr="008F1117">
        <w:rPr>
          <w:rFonts w:ascii="Arial Narrow" w:eastAsia="Times New Roman" w:hAnsi="Arial Narrow" w:cs="Calibri"/>
          <w:b/>
          <w:bCs/>
          <w:kern w:val="0"/>
          <w:lang w:val="en-KE" w:eastAsia="en-KE"/>
          <w14:ligatures w14:val="none"/>
        </w:rPr>
        <w:t xml:space="preserve">Therapists </w:t>
      </w:r>
    </w:p>
    <w:p w:rsidR="008F1117" w:rsidRDefault="008F1117">
      <w:pPr>
        <w:rPr>
          <w:lang w:val="en-US"/>
        </w:rPr>
      </w:pPr>
    </w:p>
    <w:p w:rsidR="00075241" w:rsidRDefault="00075241">
      <w:pPr>
        <w:rPr>
          <w:lang w:val="en-US"/>
        </w:rPr>
      </w:pPr>
    </w:p>
    <w:p w:rsidR="00075241" w:rsidRDefault="00075241">
      <w:pPr>
        <w:rPr>
          <w:lang w:val="en-US"/>
        </w:rPr>
      </w:pPr>
    </w:p>
    <w:p w:rsidR="00075241" w:rsidRDefault="0007524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3565836">
            <wp:extent cx="6017692" cy="2920327"/>
            <wp:effectExtent l="0" t="0" r="2540" b="0"/>
            <wp:docPr id="14265455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108" cy="2925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75241" w:rsidRPr="00075241" w:rsidRDefault="00075241" w:rsidP="00075241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:lang w:val="en-KE" w:eastAsia="en-KE"/>
          <w14:ligatures w14:val="none"/>
        </w:rPr>
      </w:pPr>
      <w:r w:rsidRPr="00075241">
        <w:rPr>
          <w:rFonts w:ascii="Calibri" w:eastAsia="Times New Roman" w:hAnsi="Calibri" w:cs="Calibri"/>
          <w:b/>
          <w:bCs/>
          <w:kern w:val="0"/>
          <w:lang w:val="en-KE" w:eastAsia="en-KE"/>
          <w14:ligatures w14:val="none"/>
        </w:rPr>
        <w:t>Pharmacists</w:t>
      </w:r>
      <w:r>
        <w:rPr>
          <w:rFonts w:ascii="Calibri" w:eastAsia="Times New Roman" w:hAnsi="Calibri" w:cs="Calibri"/>
          <w:b/>
          <w:bCs/>
          <w:kern w:val="0"/>
          <w:lang w:val="en-KE" w:eastAsia="en-KE"/>
          <w14:ligatures w14:val="none"/>
        </w:rPr>
        <w:t xml:space="preserve"> and </w:t>
      </w:r>
      <w:r w:rsidRPr="00075241">
        <w:rPr>
          <w:rFonts w:ascii="Calibri" w:eastAsia="Times New Roman" w:hAnsi="Calibri" w:cs="Calibri"/>
          <w:b/>
          <w:bCs/>
          <w:kern w:val="0"/>
          <w:lang w:val="en-KE" w:eastAsia="en-KE"/>
          <w14:ligatures w14:val="none"/>
        </w:rPr>
        <w:t>Pharmaceutical Technicians</w:t>
      </w:r>
      <w:r>
        <w:rPr>
          <w:rFonts w:ascii="Calibri" w:eastAsia="Times New Roman" w:hAnsi="Calibri" w:cs="Calibri"/>
          <w:b/>
          <w:bCs/>
          <w:kern w:val="0"/>
          <w:lang w:val="en-KE" w:eastAsia="en-KE"/>
          <w14:ligatures w14:val="none"/>
        </w:rPr>
        <w:t>/</w:t>
      </w:r>
      <w:r w:rsidRPr="00075241">
        <w:rPr>
          <w:rFonts w:ascii="Calibri" w:eastAsia="Times New Roman" w:hAnsi="Calibri" w:cs="Calibri"/>
          <w:b/>
          <w:bCs/>
          <w:kern w:val="0"/>
          <w:lang w:val="en-KE" w:eastAsia="en-KE"/>
          <w14:ligatures w14:val="none"/>
        </w:rPr>
        <w:t>Assistants</w:t>
      </w:r>
    </w:p>
    <w:p w:rsidR="00075241" w:rsidRDefault="00075241">
      <w:pPr>
        <w:rPr>
          <w:lang w:val="en-US"/>
        </w:rPr>
      </w:pPr>
    </w:p>
    <w:p w:rsidR="00615356" w:rsidRDefault="00615356">
      <w:pPr>
        <w:rPr>
          <w:lang w:val="en-US"/>
        </w:rPr>
      </w:pPr>
    </w:p>
    <w:p w:rsidR="00615356" w:rsidRDefault="006153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6F0497">
            <wp:extent cx="5423352" cy="3250612"/>
            <wp:effectExtent l="0" t="0" r="6350" b="6985"/>
            <wp:docPr id="20050605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795" cy="32592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5356" w:rsidRDefault="00615356">
      <w:pPr>
        <w:rPr>
          <w:lang w:val="en-US"/>
        </w:rPr>
      </w:pPr>
      <w:r>
        <w:rPr>
          <w:lang w:val="en-US"/>
        </w:rPr>
        <w:t>Figure XX: Percentage of the achieved densities for the realization of at least 70% UHC service coverage</w:t>
      </w:r>
    </w:p>
    <w:p w:rsidR="00615356" w:rsidRDefault="00615356">
      <w:pPr>
        <w:rPr>
          <w:lang w:val="en-US"/>
        </w:rPr>
      </w:pPr>
    </w:p>
    <w:p w:rsidR="00615356" w:rsidRDefault="00615356" w:rsidP="00615356">
      <w:pPr>
        <w:jc w:val="both"/>
        <w:rPr>
          <w:lang w:val="en-US"/>
        </w:rPr>
      </w:pPr>
      <w:r w:rsidRPr="00615356">
        <w:rPr>
          <w:b/>
          <w:bCs/>
          <w:lang w:val="en-US"/>
        </w:rPr>
        <w:t>Note:</w:t>
      </w:r>
      <w:r>
        <w:rPr>
          <w:lang w:val="en-US"/>
        </w:rPr>
        <w:t xml:space="preserve"> in 2022 the African region was at 33% of the required densities for the attainment of </w:t>
      </w:r>
      <w:proofErr w:type="spellStart"/>
      <w:r>
        <w:rPr>
          <w:lang w:val="en-US"/>
        </w:rPr>
        <w:t>atleast</w:t>
      </w:r>
      <w:proofErr w:type="spellEnd"/>
      <w:r>
        <w:rPr>
          <w:lang w:val="en-US"/>
        </w:rPr>
        <w:t xml:space="preserve"> 70% UHC service coverage from 14% in 2013. The medical doctors had the highest achievement (69% on average of the required density) and the least were the pharmacists (at 9%, which was a drop from 11% in 2018).</w:t>
      </w:r>
    </w:p>
    <w:sectPr w:rsidR="00615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FA"/>
    <w:rsid w:val="00075241"/>
    <w:rsid w:val="00090AB6"/>
    <w:rsid w:val="00140DBE"/>
    <w:rsid w:val="001F5E00"/>
    <w:rsid w:val="002F3EAC"/>
    <w:rsid w:val="005716C4"/>
    <w:rsid w:val="00595792"/>
    <w:rsid w:val="00615356"/>
    <w:rsid w:val="007C1596"/>
    <w:rsid w:val="007E3BA9"/>
    <w:rsid w:val="008F1117"/>
    <w:rsid w:val="009945ED"/>
    <w:rsid w:val="00B653ED"/>
    <w:rsid w:val="00BA6F54"/>
    <w:rsid w:val="00BC5A50"/>
    <w:rsid w:val="00D059E3"/>
    <w:rsid w:val="00D46CFA"/>
    <w:rsid w:val="00F2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F163CF1"/>
  <w15:chartTrackingRefBased/>
  <w15:docId w15:val="{456B462D-DD63-4CA5-B477-474F0F5E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0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5</cp:revision>
  <dcterms:created xsi:type="dcterms:W3CDTF">2024-06-24T07:01:00Z</dcterms:created>
  <dcterms:modified xsi:type="dcterms:W3CDTF">2024-06-24T08:37:00Z</dcterms:modified>
</cp:coreProperties>
</file>