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7B94" w14:textId="77777777" w:rsidR="008C1BE6" w:rsidRPr="008C1BE6" w:rsidRDefault="008C1BE6" w:rsidP="00FD226F">
      <w:pPr>
        <w:jc w:val="both"/>
        <w:rPr>
          <w:rFonts w:ascii="Arial" w:hAnsi="Arial" w:cs="Arial"/>
          <w:b/>
          <w:bCs/>
          <w:color w:val="4472C4" w:themeColor="accent1"/>
          <w:lang w:val="en-KE"/>
        </w:rPr>
      </w:pPr>
      <w:r w:rsidRPr="008C1BE6">
        <w:rPr>
          <w:rFonts w:ascii="Arial" w:hAnsi="Arial" w:cs="Arial"/>
          <w:b/>
          <w:bCs/>
          <w:color w:val="4472C4" w:themeColor="accent1"/>
          <w:lang w:val="en-KE"/>
        </w:rPr>
        <w:t>Modelling Linkages in HRH with Outputs in the WHO African Region</w:t>
      </w:r>
    </w:p>
    <w:p w14:paraId="5586C25E" w14:textId="77777777" w:rsidR="008C1BE6" w:rsidRPr="008C1BE6" w:rsidRDefault="008C1BE6" w:rsidP="00FD226F">
      <w:pPr>
        <w:jc w:val="both"/>
        <w:rPr>
          <w:rFonts w:ascii="Arial" w:hAnsi="Arial" w:cs="Arial"/>
          <w:b/>
          <w:bCs/>
          <w:color w:val="4472C4" w:themeColor="accent1"/>
          <w:lang w:val="en-KE"/>
        </w:rPr>
      </w:pPr>
      <w:r w:rsidRPr="008C1BE6">
        <w:rPr>
          <w:rFonts w:ascii="Arial" w:hAnsi="Arial" w:cs="Arial"/>
          <w:b/>
          <w:bCs/>
          <w:color w:val="4472C4" w:themeColor="accent1"/>
          <w:lang w:val="en-KE"/>
        </w:rPr>
        <w:t>Introduction</w:t>
      </w:r>
    </w:p>
    <w:p w14:paraId="2DDB75AD" w14:textId="77777777" w:rsidR="008C1BE6" w:rsidRPr="008C1BE6" w:rsidRDefault="008C1BE6" w:rsidP="00FD226F">
      <w:pPr>
        <w:jc w:val="both"/>
        <w:rPr>
          <w:rFonts w:ascii="Arial" w:hAnsi="Arial" w:cs="Arial"/>
          <w:lang w:val="en-KE"/>
        </w:rPr>
      </w:pPr>
      <w:r w:rsidRPr="008C1BE6">
        <w:rPr>
          <w:rFonts w:ascii="Arial" w:hAnsi="Arial" w:cs="Arial"/>
          <w:lang w:val="en-KE"/>
        </w:rPr>
        <w:t>Health systems in the WHO African Region operate in resource-constrained environments where investments in human resources for health (HRH) and financing yield delayed, nonlinear, and heterogeneous outcomes. Seven modelling studies collectively trace the causal pathway from investments (government, donor, private financing) to outputs (workforce density, coverage ratios), outcomes (UHC service coverage, disease burden), and impacts (life expectancy, mortality, productivity). The operating environment is characterised by delayed returns, diminishing thresholds, persistence of outcomes, and wide country heterogeneity.</w:t>
      </w:r>
    </w:p>
    <w:p w14:paraId="573E4C68" w14:textId="3073BEC6" w:rsidR="008C1BE6" w:rsidRPr="008C1BE6" w:rsidRDefault="008C1BE6" w:rsidP="00FD226F">
      <w:pPr>
        <w:jc w:val="both"/>
        <w:rPr>
          <w:rFonts w:ascii="Arial" w:hAnsi="Arial" w:cs="Arial"/>
          <w:lang w:val="en-KE"/>
        </w:rPr>
      </w:pPr>
    </w:p>
    <w:p w14:paraId="0C061477" w14:textId="73278FA8" w:rsidR="008C1BE6" w:rsidRPr="008C1BE6" w:rsidRDefault="008C1BE6" w:rsidP="00FD226F">
      <w:pPr>
        <w:jc w:val="both"/>
        <w:rPr>
          <w:rFonts w:ascii="Arial" w:hAnsi="Arial" w:cs="Arial"/>
          <w:b/>
          <w:bCs/>
          <w:color w:val="4472C4" w:themeColor="accent1"/>
          <w:lang w:val="en-KE"/>
        </w:rPr>
      </w:pPr>
      <w:r w:rsidRPr="008C1BE6">
        <w:rPr>
          <w:rFonts w:ascii="Arial" w:hAnsi="Arial" w:cs="Arial"/>
          <w:b/>
          <w:bCs/>
          <w:color w:val="4472C4" w:themeColor="accent1"/>
          <w:lang w:val="en-KE"/>
        </w:rPr>
        <w:t>Objectives</w:t>
      </w:r>
    </w:p>
    <w:p w14:paraId="604BD52C"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Assess workforce-financing dynamics</w:t>
      </w:r>
      <w:r w:rsidRPr="008C1BE6">
        <w:rPr>
          <w:rFonts w:ascii="Arial" w:hAnsi="Arial" w:cs="Arial"/>
          <w:lang w:val="en-KE"/>
        </w:rPr>
        <w:t>: Examine how densities of doctors, nurses, midwives, and government health expenditure shape life expectancy and UHC service coverage.</w:t>
      </w:r>
    </w:p>
    <w:p w14:paraId="583DDED0"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Identify optimal financing mixes</w:t>
      </w:r>
      <w:r w:rsidRPr="008C1BE6">
        <w:rPr>
          <w:rFonts w:ascii="Arial" w:hAnsi="Arial" w:cs="Arial"/>
          <w:lang w:val="en-KE"/>
        </w:rPr>
        <w:t>: Determine government, donor, and private expenditure ratios that maximise outcomes and minimise mortality.</w:t>
      </w:r>
    </w:p>
    <w:p w14:paraId="5899A5A2"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Quantify workforce thresholds</w:t>
      </w:r>
      <w:r w:rsidRPr="008C1BE6">
        <w:rPr>
          <w:rFonts w:ascii="Arial" w:hAnsi="Arial" w:cs="Arial"/>
          <w:lang w:val="en-KE"/>
        </w:rPr>
        <w:t>: Establish cadre-specific density levels beyond which additional investments yield diminishing returns.</w:t>
      </w:r>
    </w:p>
    <w:p w14:paraId="19740A0D"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Analyse financing elasticity and time lags</w:t>
      </w:r>
      <w:r w:rsidRPr="008C1BE6">
        <w:rPr>
          <w:rFonts w:ascii="Arial" w:hAnsi="Arial" w:cs="Arial"/>
          <w:lang w:val="en-KE"/>
        </w:rPr>
        <w:t>: Measure responsiveness of workforce density to government expenditure and identify lagged effects.</w:t>
      </w:r>
    </w:p>
    <w:p w14:paraId="13B2522B"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Optimise skill-mix allocations</w:t>
      </w:r>
      <w:r w:rsidRPr="008C1BE6">
        <w:rPr>
          <w:rFonts w:ascii="Arial" w:hAnsi="Arial" w:cs="Arial"/>
          <w:lang w:val="en-KE"/>
        </w:rPr>
        <w:t>: Apply Modern Portfolio Theory to balance cadres within a 70% HRH budget framework.</w:t>
      </w:r>
    </w:p>
    <w:p w14:paraId="3B06ED00"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Trace structural pathways</w:t>
      </w:r>
      <w:r w:rsidRPr="008C1BE6">
        <w:rPr>
          <w:rFonts w:ascii="Arial" w:hAnsi="Arial" w:cs="Arial"/>
          <w:lang w:val="en-KE"/>
        </w:rPr>
        <w:t>: Model how workforce expansion influences UHC, disease burden (</w:t>
      </w:r>
      <w:proofErr w:type="spellStart"/>
      <w:r w:rsidRPr="008C1BE6">
        <w:rPr>
          <w:rFonts w:ascii="Arial" w:hAnsi="Arial" w:cs="Arial"/>
          <w:lang w:val="en-KE"/>
        </w:rPr>
        <w:t>DALYs</w:t>
      </w:r>
      <w:proofErr w:type="spellEnd"/>
      <w:r w:rsidRPr="008C1BE6">
        <w:rPr>
          <w:rFonts w:ascii="Arial" w:hAnsi="Arial" w:cs="Arial"/>
          <w:lang w:val="en-KE"/>
        </w:rPr>
        <w:t>), and productivity.</w:t>
      </w:r>
    </w:p>
    <w:p w14:paraId="13BEE761" w14:textId="77777777" w:rsidR="008C1BE6" w:rsidRPr="008C1BE6" w:rsidRDefault="008C1BE6" w:rsidP="00FD226F">
      <w:pPr>
        <w:numPr>
          <w:ilvl w:val="0"/>
          <w:numId w:val="12"/>
        </w:numPr>
        <w:jc w:val="both"/>
        <w:rPr>
          <w:rFonts w:ascii="Arial" w:hAnsi="Arial" w:cs="Arial"/>
          <w:lang w:val="en-KE"/>
        </w:rPr>
      </w:pPr>
      <w:r w:rsidRPr="008C1BE6">
        <w:rPr>
          <w:rFonts w:ascii="Arial" w:hAnsi="Arial" w:cs="Arial"/>
          <w:b/>
          <w:bCs/>
          <w:lang w:val="en-KE"/>
        </w:rPr>
        <w:t>Project workforce gaps</w:t>
      </w:r>
      <w:r w:rsidRPr="008C1BE6">
        <w:rPr>
          <w:rFonts w:ascii="Arial" w:hAnsi="Arial" w:cs="Arial"/>
          <w:lang w:val="en-KE"/>
        </w:rPr>
        <w:t>: Develop tools to estimate supply-demand mismatches and resilience under different policy scenarios.</w:t>
      </w:r>
    </w:p>
    <w:p w14:paraId="1DBF2791" w14:textId="4B3321EB" w:rsidR="008C1BE6" w:rsidRPr="008C1BE6" w:rsidRDefault="008C1BE6" w:rsidP="00FD226F">
      <w:pPr>
        <w:jc w:val="both"/>
        <w:rPr>
          <w:rFonts w:ascii="Arial" w:hAnsi="Arial" w:cs="Arial"/>
          <w:lang w:val="en-KE"/>
        </w:rPr>
      </w:pPr>
    </w:p>
    <w:p w14:paraId="495DA969" w14:textId="77777777" w:rsidR="008C1BE6" w:rsidRPr="008C1BE6" w:rsidRDefault="008C1BE6" w:rsidP="00FD226F">
      <w:pPr>
        <w:jc w:val="both"/>
        <w:rPr>
          <w:rFonts w:ascii="Arial" w:hAnsi="Arial" w:cs="Arial"/>
          <w:b/>
          <w:bCs/>
          <w:color w:val="4472C4" w:themeColor="accent1"/>
          <w:lang w:val="en-KE"/>
        </w:rPr>
      </w:pPr>
      <w:r w:rsidRPr="008C1BE6">
        <w:rPr>
          <w:rFonts w:ascii="Arial" w:hAnsi="Arial" w:cs="Arial"/>
          <w:b/>
          <w:bCs/>
          <w:color w:val="4472C4" w:themeColor="accent1"/>
          <w:lang w:val="en-KE"/>
        </w:rPr>
        <w:t>Methodologies</w:t>
      </w:r>
    </w:p>
    <w:p w14:paraId="293902C7"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t>Fixed Effects &amp; Dynamic Panel Models</w:t>
      </w:r>
      <w:r w:rsidRPr="008C1BE6">
        <w:rPr>
          <w:rFonts w:ascii="Arial" w:hAnsi="Arial" w:cs="Arial"/>
          <w:lang w:val="en-KE"/>
        </w:rPr>
        <w:t>: Controlled for country-specific differences, estimated short- and long-run effects of HRH and financing on life expectancy and UHC.</w:t>
      </w:r>
    </w:p>
    <w:p w14:paraId="0B2C59C6"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t>Generalised Additive Models (GAM)</w:t>
      </w:r>
      <w:r w:rsidRPr="008C1BE6">
        <w:rPr>
          <w:rFonts w:ascii="Arial" w:hAnsi="Arial" w:cs="Arial"/>
          <w:lang w:val="en-KE"/>
        </w:rPr>
        <w:t>: Captured nonlinear relationships between financing composition and outcomes.</w:t>
      </w:r>
    </w:p>
    <w:p w14:paraId="3F7CAD5D"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t>Threshold Regression</w:t>
      </w:r>
      <w:r w:rsidRPr="008C1BE6">
        <w:rPr>
          <w:rFonts w:ascii="Arial" w:hAnsi="Arial" w:cs="Arial"/>
          <w:lang w:val="en-KE"/>
        </w:rPr>
        <w:t>: Identified expenditure breakpoints where marginal returns diminish.</w:t>
      </w:r>
    </w:p>
    <w:p w14:paraId="2D13979C"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t>Elasticity Estimation</w:t>
      </w:r>
      <w:r w:rsidRPr="008C1BE6">
        <w:rPr>
          <w:rFonts w:ascii="Arial" w:hAnsi="Arial" w:cs="Arial"/>
          <w:lang w:val="en-KE"/>
        </w:rPr>
        <w:t>: Quantified percentage changes in workforce density and outcomes from sustained financing increases.</w:t>
      </w:r>
    </w:p>
    <w:p w14:paraId="63AC18CE"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lastRenderedPageBreak/>
        <w:t>Modern Portfolio Theory (MPT)</w:t>
      </w:r>
      <w:r w:rsidRPr="008C1BE6">
        <w:rPr>
          <w:rFonts w:ascii="Arial" w:hAnsi="Arial" w:cs="Arial"/>
          <w:lang w:val="en-KE"/>
        </w:rPr>
        <w:t>: Treated cadres as assets with returns (</w:t>
      </w:r>
      <w:proofErr w:type="spellStart"/>
      <w:r w:rsidRPr="008C1BE6">
        <w:rPr>
          <w:rFonts w:ascii="Arial" w:hAnsi="Arial" w:cs="Arial"/>
          <w:lang w:val="en-KE"/>
        </w:rPr>
        <w:t>DALYs</w:t>
      </w:r>
      <w:proofErr w:type="spellEnd"/>
      <w:r w:rsidRPr="008C1BE6">
        <w:rPr>
          <w:rFonts w:ascii="Arial" w:hAnsi="Arial" w:cs="Arial"/>
          <w:lang w:val="en-KE"/>
        </w:rPr>
        <w:t xml:space="preserve"> averted) and risks (attrition, shocks), optimising allocations under a 70% budget ceiling.</w:t>
      </w:r>
    </w:p>
    <w:p w14:paraId="5C408E92"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t>Three-Stage Least Squares (3SLS)</w:t>
      </w:r>
      <w:r w:rsidRPr="008C1BE6">
        <w:rPr>
          <w:rFonts w:ascii="Arial" w:hAnsi="Arial" w:cs="Arial"/>
          <w:lang w:val="en-KE"/>
        </w:rPr>
        <w:t xml:space="preserve">: Jointly estimated structural equations linking workforce, UHC, </w:t>
      </w:r>
      <w:proofErr w:type="spellStart"/>
      <w:r w:rsidRPr="008C1BE6">
        <w:rPr>
          <w:rFonts w:ascii="Arial" w:hAnsi="Arial" w:cs="Arial"/>
          <w:lang w:val="en-KE"/>
        </w:rPr>
        <w:t>DALYs</w:t>
      </w:r>
      <w:proofErr w:type="spellEnd"/>
      <w:r w:rsidRPr="008C1BE6">
        <w:rPr>
          <w:rFonts w:ascii="Arial" w:hAnsi="Arial" w:cs="Arial"/>
          <w:lang w:val="en-KE"/>
        </w:rPr>
        <w:t>, and productivity.</w:t>
      </w:r>
    </w:p>
    <w:p w14:paraId="33AA5AEB" w14:textId="77777777" w:rsidR="008C1BE6" w:rsidRPr="008C1BE6" w:rsidRDefault="008C1BE6" w:rsidP="00FD226F">
      <w:pPr>
        <w:numPr>
          <w:ilvl w:val="0"/>
          <w:numId w:val="13"/>
        </w:numPr>
        <w:jc w:val="both"/>
        <w:rPr>
          <w:rFonts w:ascii="Arial" w:hAnsi="Arial" w:cs="Arial"/>
          <w:lang w:val="en-KE"/>
        </w:rPr>
      </w:pPr>
      <w:r w:rsidRPr="008C1BE6">
        <w:rPr>
          <w:rFonts w:ascii="Arial" w:hAnsi="Arial" w:cs="Arial"/>
          <w:b/>
          <w:bCs/>
          <w:lang w:val="en-KE"/>
        </w:rPr>
        <w:t>Projection Models</w:t>
      </w:r>
      <w:r w:rsidRPr="008C1BE6">
        <w:rPr>
          <w:rFonts w:ascii="Arial" w:hAnsi="Arial" w:cs="Arial"/>
          <w:lang w:val="en-KE"/>
        </w:rPr>
        <w:t>: Benchmarked normative densities and adjusted requirements for disease burden to forecast workforce gaps.</w:t>
      </w:r>
    </w:p>
    <w:p w14:paraId="296EC815" w14:textId="0745D4EE" w:rsidR="008C1BE6" w:rsidRPr="008C1BE6" w:rsidRDefault="008C1BE6" w:rsidP="00FD226F">
      <w:pPr>
        <w:jc w:val="both"/>
        <w:rPr>
          <w:rFonts w:ascii="Arial" w:hAnsi="Arial" w:cs="Arial"/>
          <w:lang w:val="en-KE"/>
        </w:rPr>
      </w:pPr>
    </w:p>
    <w:p w14:paraId="1D3D83EF" w14:textId="77777777" w:rsidR="008C1BE6" w:rsidRPr="008C1BE6" w:rsidRDefault="008C1BE6" w:rsidP="00FD226F">
      <w:pPr>
        <w:jc w:val="both"/>
        <w:rPr>
          <w:rFonts w:ascii="Arial" w:hAnsi="Arial" w:cs="Arial"/>
          <w:b/>
          <w:bCs/>
          <w:color w:val="4472C4" w:themeColor="accent1"/>
          <w:lang w:val="en-KE"/>
        </w:rPr>
      </w:pPr>
      <w:r w:rsidRPr="008C1BE6">
        <w:rPr>
          <w:rFonts w:ascii="Arial" w:hAnsi="Arial" w:cs="Arial"/>
          <w:b/>
          <w:bCs/>
          <w:color w:val="4472C4" w:themeColor="accent1"/>
          <w:lang w:val="en-KE"/>
        </w:rPr>
        <w:t>Consolidated Results</w:t>
      </w:r>
    </w:p>
    <w:p w14:paraId="5BFB1BF9" w14:textId="77777777" w:rsidR="008C1BE6" w:rsidRPr="008C1BE6" w:rsidRDefault="008C1BE6" w:rsidP="00FD226F">
      <w:pPr>
        <w:jc w:val="both"/>
        <w:rPr>
          <w:rFonts w:ascii="Arial" w:hAnsi="Arial" w:cs="Arial"/>
          <w:b/>
          <w:bCs/>
          <w:lang w:val="en-KE"/>
        </w:rPr>
      </w:pPr>
      <w:r w:rsidRPr="008C1BE6">
        <w:rPr>
          <w:rFonts w:ascii="Arial" w:hAnsi="Arial" w:cs="Arial"/>
          <w:b/>
          <w:bCs/>
          <w:lang w:val="en-KE"/>
        </w:rPr>
        <w:t>1. Workforce Effects</w:t>
      </w:r>
    </w:p>
    <w:p w14:paraId="4B6D097B"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Nurses and midwives as primary drivers</w:t>
      </w:r>
      <w:r w:rsidRPr="008C1BE6">
        <w:rPr>
          <w:rFonts w:ascii="Arial" w:hAnsi="Arial" w:cs="Arial"/>
          <w:lang w:val="en-KE"/>
        </w:rPr>
        <w:t>: Across multiple models, these cadres consistently show the strongest positive association with UHC service coverage and maternal/infant survival. A sustained 1% increase in their density yields a 0.151% long-run improvement in UHC coverage.</w:t>
      </w:r>
    </w:p>
    <w:p w14:paraId="31118E59"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Doctor density paradox</w:t>
      </w:r>
      <w:r w:rsidRPr="008C1BE6">
        <w:rPr>
          <w:rFonts w:ascii="Arial" w:hAnsi="Arial" w:cs="Arial"/>
          <w:lang w:val="en-KE"/>
        </w:rPr>
        <w:t>: Static models sometimes show negative coefficients for doctors, reflecting confounding factors such as concentration in sicker populations. Dynamic models confirm doctors have no significant independent effect on UHC gains.</w:t>
      </w:r>
    </w:p>
    <w:p w14:paraId="098EBDEF"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Thresholds and diminishing returns</w:t>
      </w:r>
      <w:r w:rsidRPr="008C1BE6">
        <w:rPr>
          <w:rFonts w:ascii="Arial" w:hAnsi="Arial" w:cs="Arial"/>
          <w:lang w:val="en-KE"/>
        </w:rPr>
        <w:t xml:space="preserve">: </w:t>
      </w:r>
    </w:p>
    <w:p w14:paraId="441925E2" w14:textId="77777777" w:rsidR="008C1BE6" w:rsidRPr="008C1BE6" w:rsidRDefault="008C1BE6" w:rsidP="00FD226F">
      <w:pPr>
        <w:numPr>
          <w:ilvl w:val="1"/>
          <w:numId w:val="6"/>
        </w:numPr>
        <w:jc w:val="both"/>
        <w:rPr>
          <w:rFonts w:ascii="Arial" w:hAnsi="Arial" w:cs="Arial"/>
          <w:lang w:val="en-KE"/>
        </w:rPr>
      </w:pPr>
      <w:r w:rsidRPr="008C1BE6">
        <w:rPr>
          <w:rFonts w:ascii="Arial" w:hAnsi="Arial" w:cs="Arial"/>
          <w:lang w:val="en-KE"/>
        </w:rPr>
        <w:t>UHC gains plateau at 13 doctors, 48 nurses/midwives, 4 dentists, and 8 pharmacists per 10,000 population.</w:t>
      </w:r>
    </w:p>
    <w:p w14:paraId="13CF2173" w14:textId="77777777" w:rsidR="008C1BE6" w:rsidRPr="008C1BE6" w:rsidRDefault="008C1BE6" w:rsidP="00FD226F">
      <w:pPr>
        <w:numPr>
          <w:ilvl w:val="1"/>
          <w:numId w:val="6"/>
        </w:numPr>
        <w:jc w:val="both"/>
        <w:rPr>
          <w:rFonts w:ascii="Arial" w:hAnsi="Arial" w:cs="Arial"/>
          <w:lang w:val="en-KE"/>
        </w:rPr>
      </w:pPr>
      <w:r w:rsidRPr="008C1BE6">
        <w:rPr>
          <w:rFonts w:ascii="Arial" w:hAnsi="Arial" w:cs="Arial"/>
          <w:lang w:val="en-KE"/>
        </w:rPr>
        <w:t>Maternal mortality reduction requires 61 nurses/midwives per 10,000.</w:t>
      </w:r>
    </w:p>
    <w:p w14:paraId="0C430429" w14:textId="77777777" w:rsidR="008C1BE6" w:rsidRPr="008C1BE6" w:rsidRDefault="008C1BE6" w:rsidP="00FD226F">
      <w:pPr>
        <w:numPr>
          <w:ilvl w:val="1"/>
          <w:numId w:val="6"/>
        </w:numPr>
        <w:jc w:val="both"/>
        <w:rPr>
          <w:rFonts w:ascii="Arial" w:hAnsi="Arial" w:cs="Arial"/>
          <w:lang w:val="en-KE"/>
        </w:rPr>
      </w:pPr>
      <w:r w:rsidRPr="008C1BE6">
        <w:rPr>
          <w:rFonts w:ascii="Arial" w:hAnsi="Arial" w:cs="Arial"/>
          <w:lang w:val="en-KE"/>
        </w:rPr>
        <w:t>Life expectancy gains plateau at 31 doctors and 30 nurses/midwives per 10,000.</w:t>
      </w:r>
    </w:p>
    <w:p w14:paraId="02034209" w14:textId="77777777" w:rsidR="008C1BE6" w:rsidRPr="008C1BE6" w:rsidRDefault="008C1BE6" w:rsidP="00FD226F">
      <w:pPr>
        <w:numPr>
          <w:ilvl w:val="1"/>
          <w:numId w:val="6"/>
        </w:numPr>
        <w:jc w:val="both"/>
        <w:rPr>
          <w:rFonts w:ascii="Arial" w:hAnsi="Arial" w:cs="Arial"/>
          <w:lang w:val="en-KE"/>
        </w:rPr>
      </w:pPr>
      <w:r w:rsidRPr="008C1BE6">
        <w:rPr>
          <w:rFonts w:ascii="Arial" w:hAnsi="Arial" w:cs="Arial"/>
          <w:lang w:val="en-KE"/>
        </w:rPr>
        <w:t>Infant mortality reduction requires a balanced mix: 32 doctors, 47 nurses, 3 dentists, 8 pharmacists per 10,000.</w:t>
      </w:r>
    </w:p>
    <w:p w14:paraId="5208FC08" w14:textId="77777777" w:rsidR="008C1BE6" w:rsidRPr="008C1BE6" w:rsidRDefault="008C1BE6" w:rsidP="00FD226F">
      <w:pPr>
        <w:ind w:left="720"/>
        <w:jc w:val="both"/>
        <w:rPr>
          <w:rFonts w:ascii="Arial" w:hAnsi="Arial" w:cs="Arial"/>
          <w:color w:val="4472C4" w:themeColor="accent1"/>
          <w:lang w:val="en-KE"/>
        </w:rPr>
      </w:pPr>
      <w:r w:rsidRPr="008C1BE6">
        <w:rPr>
          <w:rFonts w:ascii="Arial" w:hAnsi="Arial" w:cs="Arial"/>
          <w:b/>
          <w:bCs/>
          <w:color w:val="4472C4" w:themeColor="accent1"/>
          <w:lang w:val="en-KE"/>
        </w:rPr>
        <w:t>Interpretation</w:t>
      </w:r>
      <w:r w:rsidRPr="008C1BE6">
        <w:rPr>
          <w:rFonts w:ascii="Arial" w:hAnsi="Arial" w:cs="Arial"/>
          <w:color w:val="4472C4" w:themeColor="accent1"/>
          <w:lang w:val="en-KE"/>
        </w:rPr>
        <w:t>: Workforce expansion is essential, but beyond these thresholds, additional investments yield little incremental health gain, underscoring the need for efficiency-focused planning.</w:t>
      </w:r>
    </w:p>
    <w:p w14:paraId="3DB9918E" w14:textId="1D065EA5" w:rsidR="008C1BE6" w:rsidRPr="008C1BE6" w:rsidRDefault="008C1BE6" w:rsidP="00FD226F">
      <w:pPr>
        <w:jc w:val="both"/>
        <w:rPr>
          <w:rFonts w:ascii="Arial" w:hAnsi="Arial" w:cs="Arial"/>
          <w:lang w:val="en-KE"/>
        </w:rPr>
      </w:pPr>
    </w:p>
    <w:p w14:paraId="1311CC7B" w14:textId="77777777" w:rsidR="008C1BE6" w:rsidRPr="008C1BE6" w:rsidRDefault="008C1BE6" w:rsidP="00FD226F">
      <w:pPr>
        <w:jc w:val="both"/>
        <w:rPr>
          <w:rFonts w:ascii="Arial" w:hAnsi="Arial" w:cs="Arial"/>
          <w:b/>
          <w:bCs/>
          <w:lang w:val="en-KE"/>
        </w:rPr>
      </w:pPr>
      <w:r w:rsidRPr="008C1BE6">
        <w:rPr>
          <w:rFonts w:ascii="Arial" w:hAnsi="Arial" w:cs="Arial"/>
          <w:b/>
          <w:bCs/>
          <w:lang w:val="en-KE"/>
        </w:rPr>
        <w:t>2. Financing Dynamics</w:t>
      </w:r>
    </w:p>
    <w:p w14:paraId="2CDE40A2"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Government financing as the tipping point</w:t>
      </w:r>
      <w:r w:rsidRPr="008C1BE6">
        <w:rPr>
          <w:rFonts w:ascii="Arial" w:hAnsi="Arial" w:cs="Arial"/>
          <w:lang w:val="en-KE"/>
        </w:rPr>
        <w:t xml:space="preserve">: Countries allocating ≥67% of Current Health Expenditure (CHE) through government channels achieve: </w:t>
      </w:r>
    </w:p>
    <w:p w14:paraId="6562584C" w14:textId="77777777" w:rsidR="008C1BE6" w:rsidRPr="008C1BE6" w:rsidRDefault="008C1BE6" w:rsidP="00FD226F">
      <w:pPr>
        <w:numPr>
          <w:ilvl w:val="1"/>
          <w:numId w:val="7"/>
        </w:numPr>
        <w:jc w:val="both"/>
        <w:rPr>
          <w:rFonts w:ascii="Arial" w:hAnsi="Arial" w:cs="Arial"/>
          <w:lang w:val="en-KE"/>
        </w:rPr>
      </w:pPr>
      <w:r w:rsidRPr="008C1BE6">
        <w:rPr>
          <w:rFonts w:ascii="Arial" w:hAnsi="Arial" w:cs="Arial"/>
          <w:lang w:val="en-KE"/>
        </w:rPr>
        <w:t>+12.5 years in life expectancy</w:t>
      </w:r>
    </w:p>
    <w:p w14:paraId="08E24676" w14:textId="77777777" w:rsidR="008C1BE6" w:rsidRPr="008C1BE6" w:rsidRDefault="008C1BE6" w:rsidP="00FD226F">
      <w:pPr>
        <w:numPr>
          <w:ilvl w:val="1"/>
          <w:numId w:val="7"/>
        </w:numPr>
        <w:jc w:val="both"/>
        <w:rPr>
          <w:rFonts w:ascii="Arial" w:hAnsi="Arial" w:cs="Arial"/>
          <w:lang w:val="en-KE"/>
        </w:rPr>
      </w:pPr>
      <w:r w:rsidRPr="008C1BE6">
        <w:rPr>
          <w:rFonts w:ascii="Arial" w:hAnsi="Arial" w:cs="Arial"/>
          <w:lang w:val="en-KE"/>
        </w:rPr>
        <w:t>414 fewer maternal deaths per 100,000 live births</w:t>
      </w:r>
    </w:p>
    <w:p w14:paraId="6BB5D117" w14:textId="77777777" w:rsidR="008C1BE6" w:rsidRPr="008C1BE6" w:rsidRDefault="008C1BE6" w:rsidP="00FD226F">
      <w:pPr>
        <w:numPr>
          <w:ilvl w:val="1"/>
          <w:numId w:val="7"/>
        </w:numPr>
        <w:jc w:val="both"/>
        <w:rPr>
          <w:rFonts w:ascii="Arial" w:hAnsi="Arial" w:cs="Arial"/>
          <w:lang w:val="en-KE"/>
        </w:rPr>
      </w:pPr>
      <w:r w:rsidRPr="008C1BE6">
        <w:rPr>
          <w:rFonts w:ascii="Arial" w:hAnsi="Arial" w:cs="Arial"/>
          <w:lang w:val="en-KE"/>
        </w:rPr>
        <w:t>34 fewer infant deaths per 1,000 live births</w:t>
      </w:r>
    </w:p>
    <w:p w14:paraId="39235059" w14:textId="77777777" w:rsidR="008C1BE6" w:rsidRPr="008C1BE6" w:rsidRDefault="008C1BE6" w:rsidP="00FD226F">
      <w:pPr>
        <w:numPr>
          <w:ilvl w:val="1"/>
          <w:numId w:val="7"/>
        </w:numPr>
        <w:jc w:val="both"/>
        <w:rPr>
          <w:rFonts w:ascii="Arial" w:hAnsi="Arial" w:cs="Arial"/>
          <w:lang w:val="en-KE"/>
        </w:rPr>
      </w:pPr>
      <w:r w:rsidRPr="008C1BE6">
        <w:rPr>
          <w:rFonts w:ascii="Arial" w:hAnsi="Arial" w:cs="Arial"/>
          <w:lang w:val="en-KE"/>
        </w:rPr>
        <w:t>26% higher UHC index compared to regional averages.</w:t>
      </w:r>
    </w:p>
    <w:p w14:paraId="1ACE3CE0"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Marginal returns decline beyond $74 per capita</w:t>
      </w:r>
      <w:r w:rsidRPr="008C1BE6">
        <w:rPr>
          <w:rFonts w:ascii="Arial" w:hAnsi="Arial" w:cs="Arial"/>
          <w:lang w:val="en-KE"/>
        </w:rPr>
        <w:t xml:space="preserve">: </w:t>
      </w:r>
    </w:p>
    <w:p w14:paraId="75022F58" w14:textId="77777777" w:rsidR="008C1BE6" w:rsidRPr="008C1BE6" w:rsidRDefault="008C1BE6" w:rsidP="00FD226F">
      <w:pPr>
        <w:numPr>
          <w:ilvl w:val="1"/>
          <w:numId w:val="7"/>
        </w:numPr>
        <w:jc w:val="both"/>
        <w:rPr>
          <w:rFonts w:ascii="Arial" w:hAnsi="Arial" w:cs="Arial"/>
          <w:lang w:val="en-KE"/>
        </w:rPr>
      </w:pPr>
      <w:r w:rsidRPr="008C1BE6">
        <w:rPr>
          <w:rFonts w:ascii="Arial" w:hAnsi="Arial" w:cs="Arial"/>
          <w:lang w:val="en-KE"/>
        </w:rPr>
        <w:lastRenderedPageBreak/>
        <w:t>Below $74: each additional dollar increases workforce density by 0.40 workers per 10,000.</w:t>
      </w:r>
    </w:p>
    <w:p w14:paraId="6FDF383B" w14:textId="77777777" w:rsidR="008C1BE6" w:rsidRPr="008C1BE6" w:rsidRDefault="008C1BE6" w:rsidP="00FD226F">
      <w:pPr>
        <w:numPr>
          <w:ilvl w:val="1"/>
          <w:numId w:val="7"/>
        </w:numPr>
        <w:jc w:val="both"/>
        <w:rPr>
          <w:rFonts w:ascii="Arial" w:hAnsi="Arial" w:cs="Arial"/>
          <w:lang w:val="en-KE"/>
        </w:rPr>
      </w:pPr>
      <w:r w:rsidRPr="008C1BE6">
        <w:rPr>
          <w:rFonts w:ascii="Arial" w:hAnsi="Arial" w:cs="Arial"/>
          <w:lang w:val="en-KE"/>
        </w:rPr>
        <w:t>Above $74: the effect drops sharply to 0.06 workers per 10,000.</w:t>
      </w:r>
    </w:p>
    <w:p w14:paraId="617D139C"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Lagged effects</w:t>
      </w:r>
      <w:r w:rsidRPr="008C1BE6">
        <w:rPr>
          <w:rFonts w:ascii="Arial" w:hAnsi="Arial" w:cs="Arial"/>
          <w:lang w:val="en-KE"/>
        </w:rPr>
        <w:t xml:space="preserve">: Financing impacts workforce density only after </w:t>
      </w:r>
      <w:r w:rsidRPr="008C1BE6">
        <w:rPr>
          <w:rFonts w:ascii="Arial" w:hAnsi="Arial" w:cs="Arial"/>
          <w:b/>
          <w:bCs/>
          <w:lang w:val="en-KE"/>
        </w:rPr>
        <w:t>four years</w:t>
      </w:r>
      <w:r w:rsidRPr="008C1BE6">
        <w:rPr>
          <w:rFonts w:ascii="Arial" w:hAnsi="Arial" w:cs="Arial"/>
          <w:lang w:val="en-KE"/>
        </w:rPr>
        <w:t>, reflecting training pipelines, recruitment cycles, and retention challenges.</w:t>
      </w:r>
    </w:p>
    <w:p w14:paraId="16664255" w14:textId="25D4AB46" w:rsidR="008C1BE6" w:rsidRPr="008C1BE6" w:rsidRDefault="008C1BE6" w:rsidP="00FD226F">
      <w:pPr>
        <w:ind w:left="720"/>
        <w:jc w:val="both"/>
        <w:rPr>
          <w:rFonts w:ascii="Arial" w:hAnsi="Arial" w:cs="Arial"/>
          <w:lang w:val="en-KE"/>
        </w:rPr>
      </w:pPr>
      <w:r w:rsidRPr="008C1BE6">
        <w:rPr>
          <w:rFonts w:ascii="Arial" w:hAnsi="Arial" w:cs="Arial"/>
          <w:b/>
          <w:bCs/>
          <w:lang w:val="en-KE"/>
        </w:rPr>
        <w:t>Elasticity</w:t>
      </w:r>
      <w:r w:rsidRPr="008C1BE6">
        <w:rPr>
          <w:rFonts w:ascii="Arial" w:hAnsi="Arial" w:cs="Arial"/>
          <w:lang w:val="en-KE"/>
        </w:rPr>
        <w:t xml:space="preserve">: Workforce density responds inelastically to financing </w:t>
      </w:r>
      <w:r w:rsidR="00FD226F">
        <w:rPr>
          <w:rFonts w:ascii="Arial" w:hAnsi="Arial" w:cs="Arial"/>
          <w:lang w:val="en-KE"/>
        </w:rPr>
        <w:t>-</w:t>
      </w:r>
      <w:r w:rsidRPr="008C1BE6">
        <w:rPr>
          <w:rFonts w:ascii="Arial" w:hAnsi="Arial" w:cs="Arial"/>
          <w:lang w:val="en-KE"/>
        </w:rPr>
        <w:t xml:space="preserve"> a 1% increase in expenditure yields only a 0.40% increase in workforce density.</w:t>
      </w:r>
    </w:p>
    <w:p w14:paraId="6C0B779D" w14:textId="6ABB5A95" w:rsidR="008C1BE6" w:rsidRPr="008C1BE6" w:rsidRDefault="008C1BE6" w:rsidP="00FD226F">
      <w:pPr>
        <w:jc w:val="both"/>
        <w:rPr>
          <w:rFonts w:ascii="Arial" w:hAnsi="Arial" w:cs="Arial"/>
          <w:lang w:val="en-KE"/>
        </w:rPr>
      </w:pPr>
    </w:p>
    <w:p w14:paraId="0EF8BFD8" w14:textId="77777777" w:rsidR="008C1BE6" w:rsidRPr="008C1BE6" w:rsidRDefault="008C1BE6" w:rsidP="00FD226F">
      <w:pPr>
        <w:jc w:val="both"/>
        <w:rPr>
          <w:rFonts w:ascii="Arial" w:hAnsi="Arial" w:cs="Arial"/>
          <w:b/>
          <w:bCs/>
          <w:lang w:val="en-KE"/>
        </w:rPr>
      </w:pPr>
      <w:r w:rsidRPr="008C1BE6">
        <w:rPr>
          <w:rFonts w:ascii="Arial" w:hAnsi="Arial" w:cs="Arial"/>
          <w:b/>
          <w:bCs/>
          <w:lang w:val="en-KE"/>
        </w:rPr>
        <w:t>3. Skill-Mix Optimisation</w:t>
      </w:r>
    </w:p>
    <w:p w14:paraId="77E4740B"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Modern Portfolio Theory (MPT) findings</w:t>
      </w:r>
      <w:r w:rsidRPr="008C1BE6">
        <w:rPr>
          <w:rFonts w:ascii="Arial" w:hAnsi="Arial" w:cs="Arial"/>
          <w:lang w:val="en-KE"/>
        </w:rPr>
        <w:t xml:space="preserve">: </w:t>
      </w:r>
    </w:p>
    <w:p w14:paraId="1244BB24" w14:textId="77777777" w:rsidR="008C1BE6" w:rsidRPr="008C1BE6" w:rsidRDefault="008C1BE6" w:rsidP="00FD226F">
      <w:pPr>
        <w:numPr>
          <w:ilvl w:val="1"/>
          <w:numId w:val="8"/>
        </w:numPr>
        <w:jc w:val="both"/>
        <w:rPr>
          <w:rFonts w:ascii="Arial" w:hAnsi="Arial" w:cs="Arial"/>
          <w:lang w:val="en-KE"/>
        </w:rPr>
      </w:pPr>
      <w:r w:rsidRPr="008C1BE6">
        <w:rPr>
          <w:rFonts w:ascii="Arial" w:hAnsi="Arial" w:cs="Arial"/>
          <w:lang w:val="en-KE"/>
        </w:rPr>
        <w:t>Treating cadres as “assets” with returns (</w:t>
      </w:r>
      <w:proofErr w:type="spellStart"/>
      <w:r w:rsidRPr="008C1BE6">
        <w:rPr>
          <w:rFonts w:ascii="Arial" w:hAnsi="Arial" w:cs="Arial"/>
          <w:lang w:val="en-KE"/>
        </w:rPr>
        <w:t>DALYs</w:t>
      </w:r>
      <w:proofErr w:type="spellEnd"/>
      <w:r w:rsidRPr="008C1BE6">
        <w:rPr>
          <w:rFonts w:ascii="Arial" w:hAnsi="Arial" w:cs="Arial"/>
          <w:lang w:val="en-KE"/>
        </w:rPr>
        <w:t xml:space="preserve"> averted) and risks (attrition, shortages), MPT shows efficiency gains achievable through reallocation alone.</w:t>
      </w:r>
    </w:p>
    <w:p w14:paraId="71CC1257" w14:textId="77777777" w:rsidR="008C1BE6" w:rsidRPr="008C1BE6" w:rsidRDefault="008C1BE6" w:rsidP="00FD226F">
      <w:pPr>
        <w:numPr>
          <w:ilvl w:val="1"/>
          <w:numId w:val="8"/>
        </w:numPr>
        <w:jc w:val="both"/>
        <w:rPr>
          <w:rFonts w:ascii="Arial" w:hAnsi="Arial" w:cs="Arial"/>
          <w:lang w:val="en-KE"/>
        </w:rPr>
      </w:pPr>
      <w:r w:rsidRPr="008C1BE6">
        <w:rPr>
          <w:rFonts w:ascii="Arial" w:hAnsi="Arial" w:cs="Arial"/>
          <w:b/>
          <w:bCs/>
          <w:lang w:val="en-KE"/>
        </w:rPr>
        <w:t>Country heterogeneity is striking</w:t>
      </w:r>
      <w:r w:rsidRPr="008C1BE6">
        <w:rPr>
          <w:rFonts w:ascii="Arial" w:hAnsi="Arial" w:cs="Arial"/>
          <w:lang w:val="en-KE"/>
        </w:rPr>
        <w:t xml:space="preserve">: </w:t>
      </w:r>
    </w:p>
    <w:p w14:paraId="3CE891A3" w14:textId="77777777" w:rsidR="008C1BE6" w:rsidRPr="008C1BE6" w:rsidRDefault="008C1BE6" w:rsidP="00FD226F">
      <w:pPr>
        <w:numPr>
          <w:ilvl w:val="2"/>
          <w:numId w:val="8"/>
        </w:numPr>
        <w:jc w:val="both"/>
        <w:rPr>
          <w:rFonts w:ascii="Arial" w:hAnsi="Arial" w:cs="Arial"/>
          <w:lang w:val="en-KE"/>
        </w:rPr>
      </w:pPr>
      <w:r w:rsidRPr="008C1BE6">
        <w:rPr>
          <w:rFonts w:ascii="Arial" w:hAnsi="Arial" w:cs="Arial"/>
          <w:lang w:val="en-KE"/>
        </w:rPr>
        <w:t>Angola: 56% of HRH budget to nurses, minimal CHV investment.</w:t>
      </w:r>
    </w:p>
    <w:p w14:paraId="4127E1C6" w14:textId="752E837C" w:rsidR="008C1BE6" w:rsidRPr="008C1BE6" w:rsidRDefault="008C1BE6" w:rsidP="00FD226F">
      <w:pPr>
        <w:numPr>
          <w:ilvl w:val="2"/>
          <w:numId w:val="8"/>
        </w:numPr>
        <w:jc w:val="both"/>
        <w:rPr>
          <w:rFonts w:ascii="Arial" w:hAnsi="Arial" w:cs="Arial"/>
          <w:lang w:val="en-KE"/>
        </w:rPr>
      </w:pPr>
      <w:r w:rsidRPr="008C1BE6">
        <w:rPr>
          <w:rFonts w:ascii="Arial" w:hAnsi="Arial" w:cs="Arial"/>
          <w:lang w:val="en-KE"/>
        </w:rPr>
        <w:t xml:space="preserve">Rwanda: 42% to CHVs, 22% to nurses </w:t>
      </w:r>
      <w:r w:rsidR="00FD226F">
        <w:rPr>
          <w:rFonts w:ascii="Arial" w:hAnsi="Arial" w:cs="Arial"/>
          <w:lang w:val="en-KE"/>
        </w:rPr>
        <w:t>-</w:t>
      </w:r>
      <w:r w:rsidRPr="008C1BE6">
        <w:rPr>
          <w:rFonts w:ascii="Arial" w:hAnsi="Arial" w:cs="Arial"/>
          <w:lang w:val="en-KE"/>
        </w:rPr>
        <w:t xml:space="preserve"> a community-first model.</w:t>
      </w:r>
    </w:p>
    <w:p w14:paraId="320D2E51" w14:textId="77777777" w:rsidR="008C1BE6" w:rsidRPr="008C1BE6" w:rsidRDefault="008C1BE6" w:rsidP="00FD226F">
      <w:pPr>
        <w:numPr>
          <w:ilvl w:val="2"/>
          <w:numId w:val="8"/>
        </w:numPr>
        <w:jc w:val="both"/>
        <w:rPr>
          <w:rFonts w:ascii="Arial" w:hAnsi="Arial" w:cs="Arial"/>
          <w:lang w:val="en-KE"/>
        </w:rPr>
      </w:pPr>
      <w:r w:rsidRPr="008C1BE6">
        <w:rPr>
          <w:rFonts w:ascii="Arial" w:hAnsi="Arial" w:cs="Arial"/>
          <w:lang w:val="en-KE"/>
        </w:rPr>
        <w:t>Cabo Verde: nurse share peaks at 62%.</w:t>
      </w:r>
    </w:p>
    <w:p w14:paraId="3EB6948B" w14:textId="77777777" w:rsidR="008C1BE6" w:rsidRPr="008C1BE6" w:rsidRDefault="008C1BE6" w:rsidP="00FD226F">
      <w:pPr>
        <w:ind w:left="720"/>
        <w:jc w:val="both"/>
        <w:rPr>
          <w:rFonts w:ascii="Arial" w:hAnsi="Arial" w:cs="Arial"/>
          <w:color w:val="4472C4" w:themeColor="accent1"/>
          <w:lang w:val="en-KE"/>
        </w:rPr>
      </w:pPr>
      <w:r w:rsidRPr="008C1BE6">
        <w:rPr>
          <w:rFonts w:ascii="Arial" w:hAnsi="Arial" w:cs="Arial"/>
          <w:b/>
          <w:bCs/>
          <w:color w:val="4472C4" w:themeColor="accent1"/>
          <w:lang w:val="en-KE"/>
        </w:rPr>
        <w:t>Punchline</w:t>
      </w:r>
      <w:r w:rsidRPr="008C1BE6">
        <w:rPr>
          <w:rFonts w:ascii="Arial" w:hAnsi="Arial" w:cs="Arial"/>
          <w:color w:val="4472C4" w:themeColor="accent1"/>
          <w:lang w:val="en-KE"/>
        </w:rPr>
        <w:t>: “Skill-mix matters more than size.” Countries achieve better outcomes by reallocating budgets toward nurses and CHVs rather than expanding workforce numbers indiscriminately.</w:t>
      </w:r>
    </w:p>
    <w:p w14:paraId="7D6D7E65" w14:textId="14771FF7" w:rsidR="008C1BE6" w:rsidRPr="008C1BE6" w:rsidRDefault="008C1BE6" w:rsidP="00FD226F">
      <w:pPr>
        <w:jc w:val="both"/>
        <w:rPr>
          <w:rFonts w:ascii="Arial" w:hAnsi="Arial" w:cs="Arial"/>
          <w:lang w:val="en-KE"/>
        </w:rPr>
      </w:pPr>
    </w:p>
    <w:p w14:paraId="6C96EA17" w14:textId="77777777" w:rsidR="008C1BE6" w:rsidRPr="008C1BE6" w:rsidRDefault="008C1BE6" w:rsidP="00FD226F">
      <w:pPr>
        <w:jc w:val="both"/>
        <w:rPr>
          <w:rFonts w:ascii="Arial" w:hAnsi="Arial" w:cs="Arial"/>
          <w:b/>
          <w:bCs/>
          <w:lang w:val="en-KE"/>
        </w:rPr>
      </w:pPr>
      <w:r w:rsidRPr="008C1BE6">
        <w:rPr>
          <w:rFonts w:ascii="Arial" w:hAnsi="Arial" w:cs="Arial"/>
          <w:b/>
          <w:bCs/>
          <w:lang w:val="en-KE"/>
        </w:rPr>
        <w:t>4. Structural Pathways to Productivity</w:t>
      </w:r>
    </w:p>
    <w:p w14:paraId="749F68DE"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Three-Stage Least Squares (3SLS) analysis</w:t>
      </w:r>
      <w:r w:rsidRPr="008C1BE6">
        <w:rPr>
          <w:rFonts w:ascii="Arial" w:hAnsi="Arial" w:cs="Arial"/>
          <w:lang w:val="en-KE"/>
        </w:rPr>
        <w:t xml:space="preserve"> reveals: </w:t>
      </w:r>
    </w:p>
    <w:p w14:paraId="2286F7DF" w14:textId="77777777" w:rsidR="008C1BE6" w:rsidRPr="008C1BE6" w:rsidRDefault="008C1BE6" w:rsidP="00FD226F">
      <w:pPr>
        <w:numPr>
          <w:ilvl w:val="1"/>
          <w:numId w:val="9"/>
        </w:numPr>
        <w:jc w:val="both"/>
        <w:rPr>
          <w:rFonts w:ascii="Arial" w:hAnsi="Arial" w:cs="Arial"/>
          <w:lang w:val="en-KE"/>
        </w:rPr>
      </w:pPr>
      <w:r w:rsidRPr="008C1BE6">
        <w:rPr>
          <w:rFonts w:ascii="Arial" w:hAnsi="Arial" w:cs="Arial"/>
          <w:b/>
          <w:bCs/>
          <w:lang w:val="en-KE"/>
        </w:rPr>
        <w:t>UHC dynamics</w:t>
      </w:r>
      <w:r w:rsidRPr="008C1BE6">
        <w:rPr>
          <w:rFonts w:ascii="Arial" w:hAnsi="Arial" w:cs="Arial"/>
          <w:lang w:val="en-KE"/>
        </w:rPr>
        <w:t>: Nursing and midwifery expansion significantly improves service coverage (coefficient 0.031, p=0.04). Doctors remain statistically insignificant.</w:t>
      </w:r>
    </w:p>
    <w:p w14:paraId="2EDFFD28" w14:textId="77777777" w:rsidR="008C1BE6" w:rsidRPr="008C1BE6" w:rsidRDefault="008C1BE6" w:rsidP="00FD226F">
      <w:pPr>
        <w:numPr>
          <w:ilvl w:val="1"/>
          <w:numId w:val="9"/>
        </w:numPr>
        <w:jc w:val="both"/>
        <w:rPr>
          <w:rFonts w:ascii="Arial" w:hAnsi="Arial" w:cs="Arial"/>
          <w:lang w:val="en-KE"/>
        </w:rPr>
      </w:pPr>
      <w:r w:rsidRPr="008C1BE6">
        <w:rPr>
          <w:rFonts w:ascii="Arial" w:hAnsi="Arial" w:cs="Arial"/>
          <w:b/>
          <w:bCs/>
          <w:lang w:val="en-KE"/>
        </w:rPr>
        <w:t>Disease burden (</w:t>
      </w:r>
      <w:proofErr w:type="spellStart"/>
      <w:r w:rsidRPr="008C1BE6">
        <w:rPr>
          <w:rFonts w:ascii="Arial" w:hAnsi="Arial" w:cs="Arial"/>
          <w:b/>
          <w:bCs/>
          <w:lang w:val="en-KE"/>
        </w:rPr>
        <w:t>DALYs</w:t>
      </w:r>
      <w:proofErr w:type="spellEnd"/>
      <w:r w:rsidRPr="008C1BE6">
        <w:rPr>
          <w:rFonts w:ascii="Arial" w:hAnsi="Arial" w:cs="Arial"/>
          <w:b/>
          <w:bCs/>
          <w:lang w:val="en-KE"/>
        </w:rPr>
        <w:t>)</w:t>
      </w:r>
      <w:r w:rsidRPr="008C1BE6">
        <w:rPr>
          <w:rFonts w:ascii="Arial" w:hAnsi="Arial" w:cs="Arial"/>
          <w:lang w:val="en-KE"/>
        </w:rPr>
        <w:t xml:space="preserve">: Highly persistent (lag coefficient 0.98). UHC gains reduce </w:t>
      </w:r>
      <w:proofErr w:type="spellStart"/>
      <w:r w:rsidRPr="008C1BE6">
        <w:rPr>
          <w:rFonts w:ascii="Arial" w:hAnsi="Arial" w:cs="Arial"/>
          <w:lang w:val="en-KE"/>
        </w:rPr>
        <w:t>DALYs</w:t>
      </w:r>
      <w:proofErr w:type="spellEnd"/>
      <w:r w:rsidRPr="008C1BE6">
        <w:rPr>
          <w:rFonts w:ascii="Arial" w:hAnsi="Arial" w:cs="Arial"/>
          <w:lang w:val="en-KE"/>
        </w:rPr>
        <w:t xml:space="preserve"> only gradually, requiring sustained investment.</w:t>
      </w:r>
    </w:p>
    <w:p w14:paraId="61FFA485" w14:textId="77777777" w:rsidR="008C1BE6" w:rsidRPr="008C1BE6" w:rsidRDefault="008C1BE6" w:rsidP="00FD226F">
      <w:pPr>
        <w:numPr>
          <w:ilvl w:val="1"/>
          <w:numId w:val="9"/>
        </w:numPr>
        <w:jc w:val="both"/>
        <w:rPr>
          <w:rFonts w:ascii="Arial" w:hAnsi="Arial" w:cs="Arial"/>
          <w:lang w:val="en-KE"/>
        </w:rPr>
      </w:pPr>
      <w:r w:rsidRPr="008C1BE6">
        <w:rPr>
          <w:rFonts w:ascii="Arial" w:hAnsi="Arial" w:cs="Arial"/>
          <w:b/>
          <w:bCs/>
          <w:lang w:val="en-KE"/>
        </w:rPr>
        <w:t>Productivity impacts</w:t>
      </w:r>
      <w:r w:rsidRPr="008C1BE6">
        <w:rPr>
          <w:rFonts w:ascii="Arial" w:hAnsi="Arial" w:cs="Arial"/>
          <w:lang w:val="en-KE"/>
        </w:rPr>
        <w:t xml:space="preserve">: </w:t>
      </w:r>
      <w:proofErr w:type="spellStart"/>
      <w:r w:rsidRPr="008C1BE6">
        <w:rPr>
          <w:rFonts w:ascii="Arial" w:hAnsi="Arial" w:cs="Arial"/>
          <w:lang w:val="en-KE"/>
        </w:rPr>
        <w:t>DALYs</w:t>
      </w:r>
      <w:proofErr w:type="spellEnd"/>
      <w:r w:rsidRPr="008C1BE6">
        <w:rPr>
          <w:rFonts w:ascii="Arial" w:hAnsi="Arial" w:cs="Arial"/>
          <w:lang w:val="en-KE"/>
        </w:rPr>
        <w:t xml:space="preserve"> are the critical link — each unit increase reduces productivity by </w:t>
      </w:r>
      <w:r w:rsidRPr="008C1BE6">
        <w:rPr>
          <w:rFonts w:ascii="Arial" w:hAnsi="Arial" w:cs="Arial"/>
          <w:b/>
          <w:bCs/>
          <w:lang w:val="en-KE"/>
        </w:rPr>
        <w:t>0.134%</w:t>
      </w:r>
      <w:r w:rsidRPr="008C1BE6">
        <w:rPr>
          <w:rFonts w:ascii="Arial" w:hAnsi="Arial" w:cs="Arial"/>
          <w:lang w:val="en-KE"/>
        </w:rPr>
        <w:t>. Healthy life expectancy (HALE) shows no significant independent effect.</w:t>
      </w:r>
    </w:p>
    <w:p w14:paraId="27577CFA" w14:textId="77777777" w:rsidR="008C1BE6" w:rsidRPr="008C1BE6" w:rsidRDefault="008C1BE6" w:rsidP="00FD226F">
      <w:pPr>
        <w:ind w:left="720"/>
        <w:jc w:val="both"/>
        <w:rPr>
          <w:rFonts w:ascii="Arial" w:hAnsi="Arial" w:cs="Arial"/>
          <w:color w:val="4472C4" w:themeColor="accent1"/>
          <w:lang w:val="en-KE"/>
        </w:rPr>
      </w:pPr>
      <w:r w:rsidRPr="008C1BE6">
        <w:rPr>
          <w:rFonts w:ascii="Arial" w:hAnsi="Arial" w:cs="Arial"/>
          <w:b/>
          <w:bCs/>
          <w:color w:val="4472C4" w:themeColor="accent1"/>
          <w:lang w:val="en-KE"/>
        </w:rPr>
        <w:t>Interpretation</w:t>
      </w:r>
      <w:r w:rsidRPr="008C1BE6">
        <w:rPr>
          <w:rFonts w:ascii="Arial" w:hAnsi="Arial" w:cs="Arial"/>
          <w:color w:val="4472C4" w:themeColor="accent1"/>
          <w:lang w:val="en-KE"/>
        </w:rPr>
        <w:t xml:space="preserve">: Workforce investments have measurable macroeconomic consequences. Reducing </w:t>
      </w:r>
      <w:proofErr w:type="spellStart"/>
      <w:r w:rsidRPr="008C1BE6">
        <w:rPr>
          <w:rFonts w:ascii="Arial" w:hAnsi="Arial" w:cs="Arial"/>
          <w:color w:val="4472C4" w:themeColor="accent1"/>
          <w:lang w:val="en-KE"/>
        </w:rPr>
        <w:t>DALYs</w:t>
      </w:r>
      <w:proofErr w:type="spellEnd"/>
      <w:r w:rsidRPr="008C1BE6">
        <w:rPr>
          <w:rFonts w:ascii="Arial" w:hAnsi="Arial" w:cs="Arial"/>
          <w:color w:val="4472C4" w:themeColor="accent1"/>
          <w:lang w:val="en-KE"/>
        </w:rPr>
        <w:t xml:space="preserve"> is the most direct pathway to improving national productivity.</w:t>
      </w:r>
    </w:p>
    <w:p w14:paraId="6262438E" w14:textId="3911FA35" w:rsidR="008C1BE6" w:rsidRDefault="008C1BE6" w:rsidP="00FD226F">
      <w:pPr>
        <w:jc w:val="both"/>
        <w:rPr>
          <w:rFonts w:ascii="Arial" w:hAnsi="Arial" w:cs="Arial"/>
          <w:lang w:val="en-KE"/>
        </w:rPr>
      </w:pPr>
    </w:p>
    <w:p w14:paraId="2136217D" w14:textId="77777777" w:rsidR="00FD226F" w:rsidRDefault="00FD226F" w:rsidP="00FD226F">
      <w:pPr>
        <w:jc w:val="both"/>
        <w:rPr>
          <w:rFonts w:ascii="Arial" w:hAnsi="Arial" w:cs="Arial"/>
          <w:lang w:val="en-KE"/>
        </w:rPr>
      </w:pPr>
    </w:p>
    <w:p w14:paraId="4CCCFDF8" w14:textId="77777777" w:rsidR="00FD226F" w:rsidRDefault="00FD226F" w:rsidP="00FD226F">
      <w:pPr>
        <w:jc w:val="both"/>
        <w:rPr>
          <w:rFonts w:ascii="Arial" w:hAnsi="Arial" w:cs="Arial"/>
          <w:lang w:val="en-KE"/>
        </w:rPr>
      </w:pPr>
    </w:p>
    <w:p w14:paraId="51D983DB" w14:textId="77777777" w:rsidR="00FD226F" w:rsidRDefault="00FD226F" w:rsidP="00FD226F">
      <w:pPr>
        <w:jc w:val="both"/>
        <w:rPr>
          <w:rFonts w:ascii="Arial" w:hAnsi="Arial" w:cs="Arial"/>
          <w:lang w:val="en-KE"/>
        </w:rPr>
      </w:pPr>
    </w:p>
    <w:p w14:paraId="57C51E09" w14:textId="77777777" w:rsidR="00FD226F" w:rsidRPr="008C1BE6" w:rsidRDefault="00FD226F" w:rsidP="00FD226F">
      <w:pPr>
        <w:jc w:val="both"/>
        <w:rPr>
          <w:rFonts w:ascii="Arial" w:hAnsi="Arial" w:cs="Arial"/>
          <w:lang w:val="en-KE"/>
        </w:rPr>
      </w:pPr>
    </w:p>
    <w:p w14:paraId="6EC69C63" w14:textId="77777777" w:rsidR="008C1BE6" w:rsidRPr="008C1BE6" w:rsidRDefault="008C1BE6" w:rsidP="00FD226F">
      <w:pPr>
        <w:jc w:val="both"/>
        <w:rPr>
          <w:rFonts w:ascii="Arial" w:hAnsi="Arial" w:cs="Arial"/>
          <w:b/>
          <w:bCs/>
          <w:lang w:val="en-KE"/>
        </w:rPr>
      </w:pPr>
      <w:r w:rsidRPr="008C1BE6">
        <w:rPr>
          <w:rFonts w:ascii="Arial" w:hAnsi="Arial" w:cs="Arial"/>
          <w:b/>
          <w:bCs/>
          <w:lang w:val="en-KE"/>
        </w:rPr>
        <w:t>5. Workforce Gap Projections</w:t>
      </w:r>
    </w:p>
    <w:p w14:paraId="546A8131"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Minimum densities for 70% UHC</w:t>
      </w:r>
      <w:r w:rsidRPr="008C1BE6">
        <w:rPr>
          <w:rFonts w:ascii="Arial" w:hAnsi="Arial" w:cs="Arial"/>
          <w:lang w:val="en-KE"/>
        </w:rPr>
        <w:t xml:space="preserve">: </w:t>
      </w:r>
    </w:p>
    <w:p w14:paraId="14EB1F21" w14:textId="77777777" w:rsidR="008C1BE6" w:rsidRPr="008C1BE6" w:rsidRDefault="008C1BE6" w:rsidP="00FD226F">
      <w:pPr>
        <w:numPr>
          <w:ilvl w:val="1"/>
          <w:numId w:val="10"/>
        </w:numPr>
        <w:jc w:val="both"/>
        <w:rPr>
          <w:rFonts w:ascii="Arial" w:hAnsi="Arial" w:cs="Arial"/>
          <w:lang w:val="en-KE"/>
        </w:rPr>
      </w:pPr>
      <w:r w:rsidRPr="008C1BE6">
        <w:rPr>
          <w:rFonts w:ascii="Arial" w:hAnsi="Arial" w:cs="Arial"/>
          <w:lang w:val="en-KE"/>
        </w:rPr>
        <w:t>11 doctors, 29 nurses/midwives, 2 dentists, 3 pharmacists per 10,000 population.</w:t>
      </w:r>
    </w:p>
    <w:p w14:paraId="1B15DECD" w14:textId="77777777" w:rsidR="008C1BE6" w:rsidRPr="008C1BE6" w:rsidRDefault="008C1BE6" w:rsidP="00FD226F">
      <w:pPr>
        <w:ind w:left="720"/>
        <w:jc w:val="both"/>
        <w:rPr>
          <w:rFonts w:ascii="Arial" w:hAnsi="Arial" w:cs="Arial"/>
          <w:lang w:val="en-KE"/>
        </w:rPr>
      </w:pPr>
      <w:r w:rsidRPr="008C1BE6">
        <w:rPr>
          <w:rFonts w:ascii="Arial" w:hAnsi="Arial" w:cs="Arial"/>
          <w:b/>
          <w:bCs/>
          <w:lang w:val="en-KE"/>
        </w:rPr>
        <w:t>Gap analysis</w:t>
      </w:r>
      <w:r w:rsidRPr="008C1BE6">
        <w:rPr>
          <w:rFonts w:ascii="Arial" w:hAnsi="Arial" w:cs="Arial"/>
          <w:lang w:val="en-KE"/>
        </w:rPr>
        <w:t xml:space="preserve">: </w:t>
      </w:r>
    </w:p>
    <w:p w14:paraId="31111F96" w14:textId="77777777" w:rsidR="008C1BE6" w:rsidRPr="008C1BE6" w:rsidRDefault="008C1BE6" w:rsidP="00FD226F">
      <w:pPr>
        <w:numPr>
          <w:ilvl w:val="1"/>
          <w:numId w:val="10"/>
        </w:numPr>
        <w:jc w:val="both"/>
        <w:rPr>
          <w:rFonts w:ascii="Arial" w:hAnsi="Arial" w:cs="Arial"/>
          <w:lang w:val="en-KE"/>
        </w:rPr>
      </w:pPr>
      <w:r w:rsidRPr="008C1BE6">
        <w:rPr>
          <w:rFonts w:ascii="Arial" w:hAnsi="Arial" w:cs="Arial"/>
          <w:lang w:val="en-KE"/>
        </w:rPr>
        <w:t xml:space="preserve">Under </w:t>
      </w:r>
      <w:r w:rsidRPr="008C1BE6">
        <w:rPr>
          <w:rFonts w:ascii="Arial" w:hAnsi="Arial" w:cs="Arial"/>
          <w:b/>
          <w:bCs/>
          <w:lang w:val="en-KE"/>
        </w:rPr>
        <w:t>Business-as-Usual (BAU)</w:t>
      </w:r>
      <w:r w:rsidRPr="008C1BE6">
        <w:rPr>
          <w:rFonts w:ascii="Arial" w:hAnsi="Arial" w:cs="Arial"/>
          <w:lang w:val="en-KE"/>
        </w:rPr>
        <w:t xml:space="preserve"> scenarios, many countries will not close workforce gaps by 2035.</w:t>
      </w:r>
    </w:p>
    <w:p w14:paraId="78F59169" w14:textId="77777777" w:rsidR="008C1BE6" w:rsidRPr="008C1BE6" w:rsidRDefault="008C1BE6" w:rsidP="00FD226F">
      <w:pPr>
        <w:numPr>
          <w:ilvl w:val="1"/>
          <w:numId w:val="10"/>
        </w:numPr>
        <w:jc w:val="both"/>
        <w:rPr>
          <w:rFonts w:ascii="Arial" w:hAnsi="Arial" w:cs="Arial"/>
          <w:lang w:val="en-KE"/>
        </w:rPr>
      </w:pPr>
      <w:r w:rsidRPr="008C1BE6">
        <w:rPr>
          <w:rFonts w:ascii="Arial" w:hAnsi="Arial" w:cs="Arial"/>
          <w:b/>
          <w:bCs/>
          <w:lang w:val="en-KE"/>
        </w:rPr>
        <w:t>Scale-Up scenarios</w:t>
      </w:r>
      <w:r w:rsidRPr="008C1BE6">
        <w:rPr>
          <w:rFonts w:ascii="Arial" w:hAnsi="Arial" w:cs="Arial"/>
          <w:lang w:val="en-KE"/>
        </w:rPr>
        <w:t xml:space="preserve"> accelerate progress but require resilience planning to withstand shocks (e.g., attrition, epidemics).</w:t>
      </w:r>
    </w:p>
    <w:p w14:paraId="7FD853C4" w14:textId="61DDA8FE" w:rsidR="008C1BE6" w:rsidRPr="008C1BE6" w:rsidRDefault="008C1BE6" w:rsidP="00FD226F">
      <w:pPr>
        <w:ind w:left="720"/>
        <w:jc w:val="both"/>
        <w:rPr>
          <w:rFonts w:ascii="Arial" w:hAnsi="Arial" w:cs="Arial"/>
          <w:color w:val="4472C4" w:themeColor="accent1"/>
          <w:lang w:val="en-KE"/>
        </w:rPr>
      </w:pPr>
      <w:r w:rsidRPr="008C1BE6">
        <w:rPr>
          <w:rFonts w:ascii="Arial" w:hAnsi="Arial" w:cs="Arial"/>
          <w:b/>
          <w:bCs/>
          <w:color w:val="4472C4" w:themeColor="accent1"/>
          <w:lang w:val="en-KE"/>
        </w:rPr>
        <w:t>Cadre distribution gaps</w:t>
      </w:r>
      <w:r w:rsidRPr="008C1BE6">
        <w:rPr>
          <w:rFonts w:ascii="Arial" w:hAnsi="Arial" w:cs="Arial"/>
          <w:color w:val="4472C4" w:themeColor="accent1"/>
          <w:lang w:val="en-KE"/>
        </w:rPr>
        <w:t xml:space="preserve">: Even when overall workforce coverage improves, imbalances persist </w:t>
      </w:r>
      <w:r w:rsidR="00FD226F" w:rsidRPr="00FD226F">
        <w:rPr>
          <w:rFonts w:ascii="Arial" w:hAnsi="Arial" w:cs="Arial"/>
          <w:color w:val="4472C4" w:themeColor="accent1"/>
          <w:lang w:val="en-KE"/>
        </w:rPr>
        <w:t>-</w:t>
      </w:r>
      <w:r w:rsidRPr="008C1BE6">
        <w:rPr>
          <w:rFonts w:ascii="Arial" w:hAnsi="Arial" w:cs="Arial"/>
          <w:color w:val="4472C4" w:themeColor="accent1"/>
          <w:lang w:val="en-KE"/>
        </w:rPr>
        <w:t xml:space="preserve"> particularly shortages of nurses/midwives relative to doctors in some countries.</w:t>
      </w:r>
    </w:p>
    <w:p w14:paraId="29127254" w14:textId="77777777" w:rsidR="008C1BE6" w:rsidRPr="008C1BE6" w:rsidRDefault="008C1BE6" w:rsidP="00FD226F">
      <w:pPr>
        <w:jc w:val="both"/>
        <w:rPr>
          <w:rFonts w:ascii="Arial" w:hAnsi="Arial" w:cs="Arial"/>
          <w:lang w:val="en-KE"/>
        </w:rPr>
      </w:pPr>
    </w:p>
    <w:p w14:paraId="43B8B830" w14:textId="77777777" w:rsidR="008C1BE6" w:rsidRPr="008C1BE6" w:rsidRDefault="008C1BE6" w:rsidP="00FD226F">
      <w:pPr>
        <w:jc w:val="both"/>
        <w:rPr>
          <w:rFonts w:ascii="Arial" w:hAnsi="Arial" w:cs="Arial"/>
          <w:b/>
          <w:bCs/>
          <w:lang w:val="en-KE"/>
        </w:rPr>
      </w:pPr>
      <w:r w:rsidRPr="008C1BE6">
        <w:rPr>
          <w:rFonts w:ascii="Arial" w:hAnsi="Arial" w:cs="Arial"/>
          <w:b/>
          <w:bCs/>
          <w:lang w:val="en-KE"/>
        </w:rPr>
        <w:t>6. Cross-Cutting Insights</w:t>
      </w:r>
    </w:p>
    <w:p w14:paraId="207EE1B5" w14:textId="77777777" w:rsidR="008C1BE6" w:rsidRPr="008C1BE6" w:rsidRDefault="008C1BE6" w:rsidP="007D389C">
      <w:pPr>
        <w:ind w:left="720"/>
        <w:jc w:val="both"/>
        <w:rPr>
          <w:rFonts w:ascii="Arial" w:hAnsi="Arial" w:cs="Arial"/>
          <w:lang w:val="en-KE"/>
        </w:rPr>
      </w:pPr>
      <w:r w:rsidRPr="008C1BE6">
        <w:rPr>
          <w:rFonts w:ascii="Arial" w:hAnsi="Arial" w:cs="Arial"/>
          <w:b/>
          <w:bCs/>
          <w:lang w:val="en-KE"/>
        </w:rPr>
        <w:t>Persistence dominates outcomes</w:t>
      </w:r>
      <w:r w:rsidRPr="008C1BE6">
        <w:rPr>
          <w:rFonts w:ascii="Arial" w:hAnsi="Arial" w:cs="Arial"/>
          <w:lang w:val="en-KE"/>
        </w:rPr>
        <w:t>: Over 90% of current UHC and life expectancy levels are explained by past values, highlighting the inertia of health systems.</w:t>
      </w:r>
    </w:p>
    <w:p w14:paraId="3EA58F2E" w14:textId="77777777" w:rsidR="008C1BE6" w:rsidRPr="008C1BE6" w:rsidRDefault="008C1BE6" w:rsidP="007D389C">
      <w:pPr>
        <w:ind w:left="720"/>
        <w:jc w:val="both"/>
        <w:rPr>
          <w:rFonts w:ascii="Arial" w:hAnsi="Arial" w:cs="Arial"/>
          <w:lang w:val="en-KE"/>
        </w:rPr>
      </w:pPr>
      <w:r w:rsidRPr="008C1BE6">
        <w:rPr>
          <w:rFonts w:ascii="Arial" w:hAnsi="Arial" w:cs="Arial"/>
          <w:b/>
          <w:bCs/>
          <w:lang w:val="en-KE"/>
        </w:rPr>
        <w:t>Efficiency gains without new money</w:t>
      </w:r>
      <w:r w:rsidRPr="008C1BE6">
        <w:rPr>
          <w:rFonts w:ascii="Arial" w:hAnsi="Arial" w:cs="Arial"/>
          <w:lang w:val="en-KE"/>
        </w:rPr>
        <w:t>: Strategic reallocation of budgets toward optimal skill-mix and financing composition can yield improvements equivalent to years of progress under business-as-usual.</w:t>
      </w:r>
    </w:p>
    <w:p w14:paraId="7072BAEA" w14:textId="77777777" w:rsidR="008C1BE6" w:rsidRPr="008C1BE6" w:rsidRDefault="008C1BE6" w:rsidP="007D389C">
      <w:pPr>
        <w:ind w:left="720"/>
        <w:jc w:val="both"/>
        <w:rPr>
          <w:rFonts w:ascii="Arial" w:hAnsi="Arial" w:cs="Arial"/>
          <w:lang w:val="en-KE"/>
        </w:rPr>
      </w:pPr>
      <w:r w:rsidRPr="008C1BE6">
        <w:rPr>
          <w:rFonts w:ascii="Arial" w:hAnsi="Arial" w:cs="Arial"/>
          <w:b/>
          <w:bCs/>
          <w:lang w:val="en-KE"/>
        </w:rPr>
        <w:t>No universal optimal mix</w:t>
      </w:r>
      <w:r w:rsidRPr="008C1BE6">
        <w:rPr>
          <w:rFonts w:ascii="Arial" w:hAnsi="Arial" w:cs="Arial"/>
          <w:lang w:val="en-KE"/>
        </w:rPr>
        <w:t>: Optimal nurse share ranges from 22% in Rwanda to 62% in Cabo Verde, underscoring the need for country-specific tailoring.</w:t>
      </w:r>
    </w:p>
    <w:p w14:paraId="630CD91E" w14:textId="77777777" w:rsidR="008C1BE6" w:rsidRPr="00FD226F" w:rsidRDefault="008C1BE6" w:rsidP="00FD226F">
      <w:pPr>
        <w:jc w:val="both"/>
        <w:rPr>
          <w:rFonts w:ascii="Arial" w:hAnsi="Arial" w:cs="Arial"/>
          <w:b/>
          <w:bCs/>
          <w:lang w:val="en-KE"/>
        </w:rPr>
      </w:pPr>
    </w:p>
    <w:p w14:paraId="2EB43C19" w14:textId="77777777" w:rsidR="008C1BE6" w:rsidRPr="00FD226F" w:rsidRDefault="008C1BE6" w:rsidP="00FD226F">
      <w:pPr>
        <w:jc w:val="both"/>
        <w:rPr>
          <w:rFonts w:ascii="Arial" w:hAnsi="Arial" w:cs="Arial"/>
          <w:b/>
          <w:bCs/>
          <w:lang w:val="en-KE"/>
        </w:rPr>
      </w:pPr>
    </w:p>
    <w:p w14:paraId="5EEC8FC0" w14:textId="77777777" w:rsidR="008C1BE6" w:rsidRPr="008C1BE6" w:rsidRDefault="008C1BE6" w:rsidP="00FD226F">
      <w:pPr>
        <w:jc w:val="both"/>
        <w:rPr>
          <w:rFonts w:ascii="Arial" w:hAnsi="Arial" w:cs="Arial"/>
          <w:b/>
          <w:bCs/>
          <w:color w:val="4472C4" w:themeColor="accent1"/>
          <w:lang w:val="en-KE"/>
        </w:rPr>
      </w:pPr>
      <w:r w:rsidRPr="008C1BE6">
        <w:rPr>
          <w:rFonts w:ascii="Arial" w:hAnsi="Arial" w:cs="Arial"/>
          <w:b/>
          <w:bCs/>
          <w:color w:val="4472C4" w:themeColor="accent1"/>
          <w:lang w:val="en-KE"/>
        </w:rPr>
        <w:t>Conclusions and Recommendations</w:t>
      </w:r>
    </w:p>
    <w:p w14:paraId="3453AE2A" w14:textId="77777777" w:rsidR="008C1BE6" w:rsidRPr="008C1BE6" w:rsidRDefault="008C1BE6" w:rsidP="007D389C">
      <w:pPr>
        <w:ind w:left="720"/>
        <w:jc w:val="both"/>
        <w:rPr>
          <w:rFonts w:ascii="Arial" w:hAnsi="Arial" w:cs="Arial"/>
          <w:color w:val="4472C4" w:themeColor="accent1"/>
          <w:lang w:val="en-KE"/>
        </w:rPr>
      </w:pPr>
      <w:r w:rsidRPr="008C1BE6">
        <w:rPr>
          <w:rFonts w:ascii="Arial" w:hAnsi="Arial" w:cs="Arial"/>
          <w:b/>
          <w:bCs/>
          <w:color w:val="4472C4" w:themeColor="accent1"/>
          <w:lang w:val="en-KE"/>
        </w:rPr>
        <w:t>Conclusions</w:t>
      </w:r>
      <w:r w:rsidRPr="008C1BE6">
        <w:rPr>
          <w:rFonts w:ascii="Arial" w:hAnsi="Arial" w:cs="Arial"/>
          <w:color w:val="4472C4" w:themeColor="accent1"/>
          <w:lang w:val="en-KE"/>
        </w:rPr>
        <w:t>:</w:t>
      </w:r>
    </w:p>
    <w:p w14:paraId="094D4CF0" w14:textId="77777777" w:rsidR="008C1BE6" w:rsidRPr="008C1BE6" w:rsidRDefault="008C1BE6" w:rsidP="00FD226F">
      <w:pPr>
        <w:numPr>
          <w:ilvl w:val="1"/>
          <w:numId w:val="4"/>
        </w:numPr>
        <w:jc w:val="both"/>
        <w:rPr>
          <w:rFonts w:ascii="Arial" w:hAnsi="Arial" w:cs="Arial"/>
          <w:lang w:val="en-KE"/>
        </w:rPr>
      </w:pPr>
      <w:r w:rsidRPr="008C1BE6">
        <w:rPr>
          <w:rFonts w:ascii="Arial" w:hAnsi="Arial" w:cs="Arial"/>
          <w:lang w:val="en-KE"/>
        </w:rPr>
        <w:t>Nurses, midwives, and CHVs are the backbone of UHC and mortality reduction.</w:t>
      </w:r>
    </w:p>
    <w:p w14:paraId="758D5832" w14:textId="77777777" w:rsidR="008C1BE6" w:rsidRPr="008C1BE6" w:rsidRDefault="008C1BE6" w:rsidP="00FD226F">
      <w:pPr>
        <w:numPr>
          <w:ilvl w:val="1"/>
          <w:numId w:val="4"/>
        </w:numPr>
        <w:jc w:val="both"/>
        <w:rPr>
          <w:rFonts w:ascii="Arial" w:hAnsi="Arial" w:cs="Arial"/>
          <w:lang w:val="en-KE"/>
        </w:rPr>
      </w:pPr>
      <w:r w:rsidRPr="008C1BE6">
        <w:rPr>
          <w:rFonts w:ascii="Arial" w:hAnsi="Arial" w:cs="Arial"/>
          <w:lang w:val="en-KE"/>
        </w:rPr>
        <w:t>Government financing ≥67% of CHE is the tipping point for sustainable health gains.</w:t>
      </w:r>
    </w:p>
    <w:p w14:paraId="4A7D5B2B" w14:textId="77777777" w:rsidR="008C1BE6" w:rsidRPr="008C1BE6" w:rsidRDefault="008C1BE6" w:rsidP="00FD226F">
      <w:pPr>
        <w:numPr>
          <w:ilvl w:val="1"/>
          <w:numId w:val="4"/>
        </w:numPr>
        <w:jc w:val="both"/>
        <w:rPr>
          <w:rFonts w:ascii="Arial" w:hAnsi="Arial" w:cs="Arial"/>
          <w:lang w:val="en-KE"/>
        </w:rPr>
      </w:pPr>
      <w:r w:rsidRPr="008C1BE6">
        <w:rPr>
          <w:rFonts w:ascii="Arial" w:hAnsi="Arial" w:cs="Arial"/>
          <w:lang w:val="en-KE"/>
        </w:rPr>
        <w:t xml:space="preserve">Workforce and financing effects are subject to thresholds, diminishing returns, and </w:t>
      </w:r>
      <w:proofErr w:type="gramStart"/>
      <w:r w:rsidRPr="008C1BE6">
        <w:rPr>
          <w:rFonts w:ascii="Arial" w:hAnsi="Arial" w:cs="Arial"/>
          <w:lang w:val="en-KE"/>
        </w:rPr>
        <w:t>long time</w:t>
      </w:r>
      <w:proofErr w:type="gramEnd"/>
      <w:r w:rsidRPr="008C1BE6">
        <w:rPr>
          <w:rFonts w:ascii="Arial" w:hAnsi="Arial" w:cs="Arial"/>
          <w:lang w:val="en-KE"/>
        </w:rPr>
        <w:t xml:space="preserve"> lags.</w:t>
      </w:r>
    </w:p>
    <w:p w14:paraId="461F54C4" w14:textId="77777777" w:rsidR="008C1BE6" w:rsidRPr="008C1BE6" w:rsidRDefault="008C1BE6" w:rsidP="00FD226F">
      <w:pPr>
        <w:numPr>
          <w:ilvl w:val="1"/>
          <w:numId w:val="4"/>
        </w:numPr>
        <w:jc w:val="both"/>
        <w:rPr>
          <w:rFonts w:ascii="Arial" w:hAnsi="Arial" w:cs="Arial"/>
          <w:lang w:val="en-KE"/>
        </w:rPr>
      </w:pPr>
      <w:r w:rsidRPr="008C1BE6">
        <w:rPr>
          <w:rFonts w:ascii="Arial" w:hAnsi="Arial" w:cs="Arial"/>
          <w:lang w:val="en-KE"/>
        </w:rPr>
        <w:t>Disease burden links health systems directly to economic productivity, justifying HRH investments beyond health outcomes.</w:t>
      </w:r>
    </w:p>
    <w:p w14:paraId="3B03BC5E" w14:textId="77777777" w:rsidR="008C1BE6" w:rsidRPr="008C1BE6" w:rsidRDefault="008C1BE6" w:rsidP="00FD226F">
      <w:pPr>
        <w:numPr>
          <w:ilvl w:val="1"/>
          <w:numId w:val="4"/>
        </w:numPr>
        <w:jc w:val="both"/>
        <w:rPr>
          <w:rFonts w:ascii="Arial" w:hAnsi="Arial" w:cs="Arial"/>
          <w:lang w:val="en-KE"/>
        </w:rPr>
      </w:pPr>
      <w:r w:rsidRPr="008C1BE6">
        <w:rPr>
          <w:rFonts w:ascii="Arial" w:hAnsi="Arial" w:cs="Arial"/>
          <w:lang w:val="en-KE"/>
        </w:rPr>
        <w:t>No universal optimal mix exists; country-specific tailoring is essential.</w:t>
      </w:r>
    </w:p>
    <w:p w14:paraId="42CC37AD" w14:textId="77777777" w:rsidR="007D389C" w:rsidRDefault="007D389C" w:rsidP="007D389C">
      <w:pPr>
        <w:ind w:left="720"/>
        <w:jc w:val="both"/>
        <w:rPr>
          <w:rFonts w:ascii="Arial" w:hAnsi="Arial" w:cs="Arial"/>
          <w:b/>
          <w:bCs/>
          <w:lang w:val="en-KE"/>
        </w:rPr>
      </w:pPr>
    </w:p>
    <w:p w14:paraId="79FAC9F3" w14:textId="77777777" w:rsidR="007D389C" w:rsidRDefault="007D389C" w:rsidP="007D389C">
      <w:pPr>
        <w:ind w:left="720"/>
        <w:jc w:val="both"/>
        <w:rPr>
          <w:rFonts w:ascii="Arial" w:hAnsi="Arial" w:cs="Arial"/>
          <w:b/>
          <w:bCs/>
          <w:lang w:val="en-KE"/>
        </w:rPr>
      </w:pPr>
    </w:p>
    <w:p w14:paraId="35CDCB6A" w14:textId="77777777" w:rsidR="007D389C" w:rsidRDefault="007D389C" w:rsidP="007D389C">
      <w:pPr>
        <w:ind w:left="720"/>
        <w:jc w:val="both"/>
        <w:rPr>
          <w:rFonts w:ascii="Arial" w:hAnsi="Arial" w:cs="Arial"/>
          <w:b/>
          <w:bCs/>
          <w:lang w:val="en-KE"/>
        </w:rPr>
      </w:pPr>
    </w:p>
    <w:p w14:paraId="195E41D6" w14:textId="25227421" w:rsidR="008C1BE6" w:rsidRPr="008C1BE6" w:rsidRDefault="008C1BE6" w:rsidP="007D389C">
      <w:pPr>
        <w:ind w:left="720"/>
        <w:jc w:val="both"/>
        <w:rPr>
          <w:rFonts w:ascii="Arial" w:hAnsi="Arial" w:cs="Arial"/>
          <w:color w:val="4472C4" w:themeColor="accent1"/>
          <w:lang w:val="en-KE"/>
        </w:rPr>
      </w:pPr>
      <w:r w:rsidRPr="008C1BE6">
        <w:rPr>
          <w:rFonts w:ascii="Arial" w:hAnsi="Arial" w:cs="Arial"/>
          <w:b/>
          <w:bCs/>
          <w:color w:val="4472C4" w:themeColor="accent1"/>
          <w:lang w:val="en-KE"/>
        </w:rPr>
        <w:lastRenderedPageBreak/>
        <w:t>Recommendations</w:t>
      </w:r>
      <w:r w:rsidRPr="008C1BE6">
        <w:rPr>
          <w:rFonts w:ascii="Arial" w:hAnsi="Arial" w:cs="Arial"/>
          <w:color w:val="4472C4" w:themeColor="accent1"/>
          <w:lang w:val="en-KE"/>
        </w:rPr>
        <w:t>:</w:t>
      </w:r>
    </w:p>
    <w:p w14:paraId="5010607E"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Prioritise nursing, midwifery, and CHV expansion as core strategies.</w:t>
      </w:r>
    </w:p>
    <w:p w14:paraId="1F52B2FE"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Increase government share of CHE to at least 67%, aligning donor support with national priorities.</w:t>
      </w:r>
    </w:p>
    <w:p w14:paraId="42A97F5C"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Target cadre-specific density thresholds (e.g., 48 nurses, 13 doctors per 10,000) and avoid over-investment beyond efficiency points.</w:t>
      </w:r>
    </w:p>
    <w:p w14:paraId="7B87B207"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Sustain financing for at least four years to realise workforce gains.</w:t>
      </w:r>
    </w:p>
    <w:p w14:paraId="1FC5ACEF"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Adopt MPT-based skill-mix optimisation tools for strategic reallocation.</w:t>
      </w:r>
    </w:p>
    <w:p w14:paraId="7D87FFFF"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Integrate disease burden reduction into workforce planning, recognising its macroeconomic impact.</w:t>
      </w:r>
    </w:p>
    <w:p w14:paraId="6574DC29" w14:textId="77777777" w:rsidR="008C1BE6" w:rsidRPr="008C1BE6" w:rsidRDefault="008C1BE6" w:rsidP="007D389C">
      <w:pPr>
        <w:numPr>
          <w:ilvl w:val="1"/>
          <w:numId w:val="15"/>
        </w:numPr>
        <w:jc w:val="both"/>
        <w:rPr>
          <w:rFonts w:ascii="Arial" w:hAnsi="Arial" w:cs="Arial"/>
          <w:lang w:val="en-KE"/>
        </w:rPr>
      </w:pPr>
      <w:r w:rsidRPr="008C1BE6">
        <w:rPr>
          <w:rFonts w:ascii="Arial" w:hAnsi="Arial" w:cs="Arial"/>
          <w:lang w:val="en-KE"/>
        </w:rPr>
        <w:t>Develop resilient workforce projection models to anticipate shocks and guide long-term planning.</w:t>
      </w:r>
    </w:p>
    <w:p w14:paraId="7DDEE96A" w14:textId="77777777" w:rsidR="007E3BA9" w:rsidRPr="00FD226F" w:rsidRDefault="007E3BA9" w:rsidP="00FD226F">
      <w:pPr>
        <w:jc w:val="both"/>
        <w:rPr>
          <w:rFonts w:ascii="Arial" w:hAnsi="Arial" w:cs="Arial"/>
          <w:lang w:val="en-KE"/>
        </w:rPr>
      </w:pPr>
    </w:p>
    <w:p w14:paraId="1B86A625" w14:textId="77777777" w:rsidR="008C1BE6" w:rsidRPr="00FD226F" w:rsidRDefault="008C1BE6" w:rsidP="00FD226F">
      <w:pPr>
        <w:jc w:val="both"/>
        <w:rPr>
          <w:rFonts w:ascii="Arial" w:hAnsi="Arial" w:cs="Arial"/>
          <w:lang w:val="en-KE"/>
        </w:rPr>
      </w:pPr>
    </w:p>
    <w:sectPr w:rsidR="008C1BE6" w:rsidRPr="00FD226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BF87" w14:textId="77777777" w:rsidR="003663EF" w:rsidRDefault="003663EF" w:rsidP="00FD226F">
      <w:pPr>
        <w:spacing w:after="0" w:line="240" w:lineRule="auto"/>
      </w:pPr>
      <w:r>
        <w:separator/>
      </w:r>
    </w:p>
  </w:endnote>
  <w:endnote w:type="continuationSeparator" w:id="0">
    <w:p w14:paraId="30CC6C54" w14:textId="77777777" w:rsidR="003663EF" w:rsidRDefault="003663EF" w:rsidP="00FD2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749215"/>
      <w:docPartObj>
        <w:docPartGallery w:val="Page Numbers (Bottom of Page)"/>
        <w:docPartUnique/>
      </w:docPartObj>
    </w:sdtPr>
    <w:sdtEndPr>
      <w:rPr>
        <w:rFonts w:ascii="Arial" w:hAnsi="Arial" w:cs="Arial"/>
        <w:noProof/>
      </w:rPr>
    </w:sdtEndPr>
    <w:sdtContent>
      <w:p w14:paraId="08246DA9" w14:textId="64D35AAE" w:rsidR="007D389C" w:rsidRPr="007D389C" w:rsidRDefault="007D389C">
        <w:pPr>
          <w:pStyle w:val="Footer"/>
          <w:jc w:val="center"/>
          <w:rPr>
            <w:rFonts w:ascii="Arial" w:hAnsi="Arial" w:cs="Arial"/>
          </w:rPr>
        </w:pPr>
        <w:r w:rsidRPr="007D389C">
          <w:rPr>
            <w:rFonts w:ascii="Arial" w:hAnsi="Arial" w:cs="Arial"/>
          </w:rPr>
          <w:fldChar w:fldCharType="begin"/>
        </w:r>
        <w:r w:rsidRPr="007D389C">
          <w:rPr>
            <w:rFonts w:ascii="Arial" w:hAnsi="Arial" w:cs="Arial"/>
          </w:rPr>
          <w:instrText xml:space="preserve"> PAGE   \* MERGEFORMAT </w:instrText>
        </w:r>
        <w:r w:rsidRPr="007D389C">
          <w:rPr>
            <w:rFonts w:ascii="Arial" w:hAnsi="Arial" w:cs="Arial"/>
          </w:rPr>
          <w:fldChar w:fldCharType="separate"/>
        </w:r>
        <w:r w:rsidRPr="007D389C">
          <w:rPr>
            <w:rFonts w:ascii="Arial" w:hAnsi="Arial" w:cs="Arial"/>
            <w:noProof/>
          </w:rPr>
          <w:t>2</w:t>
        </w:r>
        <w:r w:rsidRPr="007D389C">
          <w:rPr>
            <w:rFonts w:ascii="Arial" w:hAnsi="Arial" w:cs="Arial"/>
            <w:noProof/>
          </w:rPr>
          <w:fldChar w:fldCharType="end"/>
        </w:r>
      </w:p>
    </w:sdtContent>
  </w:sdt>
  <w:p w14:paraId="6F8DB228" w14:textId="77777777" w:rsidR="007D389C" w:rsidRDefault="007D3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4B83" w14:textId="77777777" w:rsidR="003663EF" w:rsidRDefault="003663EF" w:rsidP="00FD226F">
      <w:pPr>
        <w:spacing w:after="0" w:line="240" w:lineRule="auto"/>
      </w:pPr>
      <w:r>
        <w:separator/>
      </w:r>
    </w:p>
  </w:footnote>
  <w:footnote w:type="continuationSeparator" w:id="0">
    <w:p w14:paraId="3962E9FB" w14:textId="77777777" w:rsidR="003663EF" w:rsidRDefault="003663EF" w:rsidP="00FD2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F0B9" w14:textId="57A455D0" w:rsidR="00FD226F" w:rsidRPr="00FD226F" w:rsidRDefault="00FD226F">
    <w:pPr>
      <w:pStyle w:val="Header"/>
      <w:rPr>
        <w:rFonts w:ascii="Arial" w:hAnsi="Arial" w:cs="Arial"/>
        <w:b/>
        <w:bCs/>
        <w:lang w:val="en-US"/>
      </w:rPr>
    </w:pPr>
    <w:r w:rsidRPr="00FD226F">
      <w:rPr>
        <w:rFonts w:ascii="Arial" w:hAnsi="Arial" w:cs="Arial"/>
        <w:b/>
        <w:bCs/>
        <w:lang w:val="en-US"/>
      </w:rPr>
      <w:t>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F1A"/>
    <w:multiLevelType w:val="multilevel"/>
    <w:tmpl w:val="251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1B5F"/>
    <w:multiLevelType w:val="multilevel"/>
    <w:tmpl w:val="8794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12D2D"/>
    <w:multiLevelType w:val="multilevel"/>
    <w:tmpl w:val="8FA6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26BB9"/>
    <w:multiLevelType w:val="multilevel"/>
    <w:tmpl w:val="D37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379AC"/>
    <w:multiLevelType w:val="multilevel"/>
    <w:tmpl w:val="A8C869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E6E6E"/>
    <w:multiLevelType w:val="multilevel"/>
    <w:tmpl w:val="C53411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10D16"/>
    <w:multiLevelType w:val="multilevel"/>
    <w:tmpl w:val="98E402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E0402"/>
    <w:multiLevelType w:val="multilevel"/>
    <w:tmpl w:val="F8D82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9629B"/>
    <w:multiLevelType w:val="multilevel"/>
    <w:tmpl w:val="9918D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E6C73"/>
    <w:multiLevelType w:val="multilevel"/>
    <w:tmpl w:val="A31AB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C71D6"/>
    <w:multiLevelType w:val="multilevel"/>
    <w:tmpl w:val="D4160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D27A2"/>
    <w:multiLevelType w:val="multilevel"/>
    <w:tmpl w:val="736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F2D33"/>
    <w:multiLevelType w:val="multilevel"/>
    <w:tmpl w:val="810C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A7380"/>
    <w:multiLevelType w:val="multilevel"/>
    <w:tmpl w:val="7BCEF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039557">
    <w:abstractNumId w:val="0"/>
  </w:num>
  <w:num w:numId="2" w16cid:durableId="1187133116">
    <w:abstractNumId w:val="3"/>
  </w:num>
  <w:num w:numId="3" w16cid:durableId="1494443108">
    <w:abstractNumId w:val="1"/>
  </w:num>
  <w:num w:numId="4" w16cid:durableId="1957131993">
    <w:abstractNumId w:val="2"/>
  </w:num>
  <w:num w:numId="5" w16cid:durableId="496848085">
    <w:abstractNumId w:val="2"/>
    <w:lvlOverride w:ilvl="1">
      <w:lvl w:ilvl="1">
        <w:numFmt w:val="decimal"/>
        <w:lvlText w:val="%2."/>
        <w:lvlJc w:val="left"/>
      </w:lvl>
    </w:lvlOverride>
  </w:num>
  <w:num w:numId="6" w16cid:durableId="274604733">
    <w:abstractNumId w:val="9"/>
  </w:num>
  <w:num w:numId="7" w16cid:durableId="1828016886">
    <w:abstractNumId w:val="12"/>
  </w:num>
  <w:num w:numId="8" w16cid:durableId="1043597695">
    <w:abstractNumId w:val="10"/>
  </w:num>
  <w:num w:numId="9" w16cid:durableId="1828399875">
    <w:abstractNumId w:val="13"/>
  </w:num>
  <w:num w:numId="10" w16cid:durableId="1221018824">
    <w:abstractNumId w:val="7"/>
  </w:num>
  <w:num w:numId="11" w16cid:durableId="1145708049">
    <w:abstractNumId w:val="11"/>
  </w:num>
  <w:num w:numId="12" w16cid:durableId="872692465">
    <w:abstractNumId w:val="5"/>
  </w:num>
  <w:num w:numId="13" w16cid:durableId="791166491">
    <w:abstractNumId w:val="6"/>
  </w:num>
  <w:num w:numId="14" w16cid:durableId="293949472">
    <w:abstractNumId w:val="4"/>
  </w:num>
  <w:num w:numId="15" w16cid:durableId="8348004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E6"/>
    <w:rsid w:val="000150F6"/>
    <w:rsid w:val="000E5E45"/>
    <w:rsid w:val="00140DBE"/>
    <w:rsid w:val="00152B8C"/>
    <w:rsid w:val="001F5E00"/>
    <w:rsid w:val="002F3EAC"/>
    <w:rsid w:val="003663EF"/>
    <w:rsid w:val="003A65EF"/>
    <w:rsid w:val="005716C4"/>
    <w:rsid w:val="00595792"/>
    <w:rsid w:val="005B32BF"/>
    <w:rsid w:val="00765923"/>
    <w:rsid w:val="007C1596"/>
    <w:rsid w:val="007D389C"/>
    <w:rsid w:val="007E3BA9"/>
    <w:rsid w:val="00891539"/>
    <w:rsid w:val="008C1BE6"/>
    <w:rsid w:val="00985F44"/>
    <w:rsid w:val="00AA20D4"/>
    <w:rsid w:val="00AC44E4"/>
    <w:rsid w:val="00B708C4"/>
    <w:rsid w:val="00BA6F54"/>
    <w:rsid w:val="00BC5A50"/>
    <w:rsid w:val="00C74F59"/>
    <w:rsid w:val="00D059E3"/>
    <w:rsid w:val="00E1572A"/>
    <w:rsid w:val="00FD226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0773"/>
  <w15:chartTrackingRefBased/>
  <w15:docId w15:val="{6EEC134C-525B-49CE-8636-B1EA3A96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C1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BE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C1BE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C1BE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C1BE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C1BE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C1BE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C1BE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C1BE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C1BE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C1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E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C1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BE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C1BE6"/>
    <w:pPr>
      <w:spacing w:before="160"/>
      <w:jc w:val="center"/>
    </w:pPr>
    <w:rPr>
      <w:i/>
      <w:iCs/>
      <w:color w:val="404040" w:themeColor="text1" w:themeTint="BF"/>
    </w:rPr>
  </w:style>
  <w:style w:type="character" w:customStyle="1" w:styleId="QuoteChar">
    <w:name w:val="Quote Char"/>
    <w:basedOn w:val="DefaultParagraphFont"/>
    <w:link w:val="Quote"/>
    <w:uiPriority w:val="29"/>
    <w:rsid w:val="008C1BE6"/>
    <w:rPr>
      <w:i/>
      <w:iCs/>
      <w:color w:val="404040" w:themeColor="text1" w:themeTint="BF"/>
      <w:lang w:val="en-GB"/>
    </w:rPr>
  </w:style>
  <w:style w:type="paragraph" w:styleId="ListParagraph">
    <w:name w:val="List Paragraph"/>
    <w:basedOn w:val="Normal"/>
    <w:uiPriority w:val="34"/>
    <w:qFormat/>
    <w:rsid w:val="008C1BE6"/>
    <w:pPr>
      <w:ind w:left="720"/>
      <w:contextualSpacing/>
    </w:pPr>
  </w:style>
  <w:style w:type="character" w:styleId="IntenseEmphasis">
    <w:name w:val="Intense Emphasis"/>
    <w:basedOn w:val="DefaultParagraphFont"/>
    <w:uiPriority w:val="21"/>
    <w:qFormat/>
    <w:rsid w:val="008C1BE6"/>
    <w:rPr>
      <w:i/>
      <w:iCs/>
      <w:color w:val="2F5496" w:themeColor="accent1" w:themeShade="BF"/>
    </w:rPr>
  </w:style>
  <w:style w:type="paragraph" w:styleId="IntenseQuote">
    <w:name w:val="Intense Quote"/>
    <w:basedOn w:val="Normal"/>
    <w:next w:val="Normal"/>
    <w:link w:val="IntenseQuoteChar"/>
    <w:uiPriority w:val="30"/>
    <w:qFormat/>
    <w:rsid w:val="008C1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BE6"/>
    <w:rPr>
      <w:i/>
      <w:iCs/>
      <w:color w:val="2F5496" w:themeColor="accent1" w:themeShade="BF"/>
      <w:lang w:val="en-GB"/>
    </w:rPr>
  </w:style>
  <w:style w:type="character" w:styleId="IntenseReference">
    <w:name w:val="Intense Reference"/>
    <w:basedOn w:val="DefaultParagraphFont"/>
    <w:uiPriority w:val="32"/>
    <w:qFormat/>
    <w:rsid w:val="008C1BE6"/>
    <w:rPr>
      <w:b/>
      <w:bCs/>
      <w:smallCaps/>
      <w:color w:val="2F5496" w:themeColor="accent1" w:themeShade="BF"/>
      <w:spacing w:val="5"/>
    </w:rPr>
  </w:style>
  <w:style w:type="paragraph" w:styleId="Header">
    <w:name w:val="header"/>
    <w:basedOn w:val="Normal"/>
    <w:link w:val="HeaderChar"/>
    <w:uiPriority w:val="99"/>
    <w:unhideWhenUsed/>
    <w:rsid w:val="00FD2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26F"/>
    <w:rPr>
      <w:lang w:val="en-GB"/>
    </w:rPr>
  </w:style>
  <w:style w:type="paragraph" w:styleId="Footer">
    <w:name w:val="footer"/>
    <w:basedOn w:val="Normal"/>
    <w:link w:val="FooterChar"/>
    <w:uiPriority w:val="99"/>
    <w:unhideWhenUsed/>
    <w:rsid w:val="00FD2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26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MUNG'ATU, Joseph</cp:lastModifiedBy>
  <cp:revision>2</cp:revision>
  <dcterms:created xsi:type="dcterms:W3CDTF">2026-04-04T19:17:00Z</dcterms:created>
  <dcterms:modified xsi:type="dcterms:W3CDTF">2026-04-04T19:30:00Z</dcterms:modified>
</cp:coreProperties>
</file>