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Longitudinal Propensity Score Analysis</w:t>
      </w:r>
    </w:p>
    <w:p>
      <w:pPr>
        <w:pStyle w:val="Author"/>
      </w:pPr>
      <w:r>
        <w:t xml:space="preserve">J Kyle Armstrong, PhD</w:t>
      </w:r>
    </w:p>
    <w:p>
      <w:pPr>
        <w:pStyle w:val="Date"/>
      </w:pPr>
      <w:r>
        <w:t xml:space="preserve">Feb 25,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data-generation"/>
    <w:p>
      <w:pPr>
        <w:pStyle w:val="Heading2"/>
      </w:pPr>
      <w:r>
        <w:t xml:space="preserve">0.1 Data Generation</w:t>
      </w:r>
    </w:p>
    <w:p>
      <w:pPr>
        <w:pStyle w:val="FirstParagraph"/>
      </w:pPr>
      <w:r>
        <w:t xml:space="preserve">We generate a synthetic dataset using a</w:t>
      </w:r>
      <w:r>
        <w:t xml:space="preserve"> </w:t>
      </w:r>
      <w:r>
        <w:rPr>
          <w:b/>
          <w:bCs/>
        </w:rPr>
        <w:t xml:space="preserve">binomial adherence model</w:t>
      </w:r>
      <w:r>
        <w:t xml:space="preserve"> </w:t>
      </w:r>
      <w:r>
        <w:t xml:space="preserve">to simulate the proportion of adherent days (e.g., last 30 days).</w:t>
      </w:r>
    </w:p>
    <w:p>
      <w:pPr>
        <w:pStyle w:val="TableCaption"/>
      </w:pPr>
      <w:r>
        <w:t xml:space="preserve">Sample of Generated Longitudinal Data (Binomial Adherence)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ample of Generated Longitudinal Data (Binomial Adherence)"/>
      </w:tblPr>
      <w:tblGrid>
        <w:gridCol w:w="870"/>
        <w:gridCol w:w="1044"/>
        <w:gridCol w:w="348"/>
        <w:gridCol w:w="957"/>
        <w:gridCol w:w="1044"/>
        <w:gridCol w:w="957"/>
        <w:gridCol w:w="870"/>
        <w:gridCol w:w="870"/>
        <w:gridCol w:w="9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0.8393473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-1.0816796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0.1282781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1.1812844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1.5924217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-1.0282898</w:t>
            </w:r>
          </w:p>
        </w:tc>
      </w:tr>
    </w:tbl>
    <w:bookmarkEnd w:id="20"/>
    <w:bookmarkStart w:id="24" w:name="propensity-score-estimation"/>
    <w:p>
      <w:pPr>
        <w:pStyle w:val="Heading2"/>
      </w:pPr>
      <w:r>
        <w:t xml:space="preserve">0.2 Propensity Score Estimation</w:t>
      </w:r>
    </w:p>
    <w:p>
      <w:pPr>
        <w:pStyle w:val="FirstParagraph"/>
      </w:pPr>
      <w:r>
        <w:t xml:space="preserve">We estimate the probability of being compliant (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d>
      </m:oMath>
      <w:r>
        <w:t xml:space="preserve">) using three methods: 1. Logistic Regression 2. XGBoost 3. Random Forest</w:t>
      </w:r>
    </w:p>
    <w:p>
      <w:pPr>
        <w:pStyle w:val="BodyText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for a unified interface.</w:t>
      </w:r>
    </w:p>
    <w:bookmarkStart w:id="21" w:name="define-common-recipes"/>
    <w:p>
      <w:pPr>
        <w:pStyle w:val="Heading3"/>
      </w:pPr>
      <w:r>
        <w:t xml:space="preserve">0.2.1 1. Define Common Recipes</w:t>
      </w:r>
    </w:p>
    <w:bookmarkEnd w:id="21"/>
    <w:bookmarkStart w:id="22" w:name="define-model-specifications"/>
    <w:p>
      <w:pPr>
        <w:pStyle w:val="Heading3"/>
      </w:pPr>
      <w:r>
        <w:t xml:space="preserve">0.2.2 2. Define Model Specifications</w:t>
      </w:r>
    </w:p>
    <w:bookmarkEnd w:id="22"/>
    <w:bookmarkStart w:id="23" w:name="fit-models-and-predict-outcomes"/>
    <w:p>
      <w:pPr>
        <w:pStyle w:val="Heading3"/>
      </w:pPr>
      <w:r>
        <w:t xml:space="preserve">0.2.3 3. Fit Models and Predict Outcomes</w:t>
      </w:r>
    </w:p>
    <w:p>
      <w:pPr>
        <w:pStyle w:val="FirstParagraph"/>
      </w:pPr>
      <w:r>
        <w:t xml:space="preserve">We fit models on the entire dataset to generate propensity scores for the analysis.</w:t>
      </w:r>
    </w:p>
    <w:p>
      <w:pPr>
        <w:pStyle w:val="TableCaption"/>
      </w:pPr>
      <w:r>
        <w:t xml:space="preserve">Sample of Data with Estimated Propensity Scores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of Data with Estimated Propensity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PatientID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ps_glm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ps_gbm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0.0008702</w:t>
            </w:r>
          </w:p>
        </w:tc>
      </w:tr>
    </w:tbl>
    <w:bookmarkEnd w:id="23"/>
    <w:bookmarkEnd w:id="24"/>
    <w:bookmarkStart w:id="25" w:name="calculate-stabilized-weights"/>
    <w:p>
      <w:pPr>
        <w:pStyle w:val="Heading2"/>
      </w:pPr>
      <w:r>
        <w:t xml:space="preserve">0.3 Calculate Stabilized Weights</w:t>
      </w:r>
    </w:p>
    <w:p>
      <w:pPr>
        <w:pStyle w:val="FirstParagraph"/>
      </w:pPr>
      <w:r>
        <w:t xml:space="preserve">We calculate Inverse Probability of Treatment Weights (IPTW) for the time-varying adherence. Formula:</w:t>
      </w:r>
      <w:r>
        <w:t xml:space="preserve"> </w:t>
      </w:r>
      <m:oMath>
        <m:r>
          <m:t>S</m:t>
        </m: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t</m:t>
                    </m:r>
                  </m:sub>
                </m:sSub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t</m:t>
                    </m:r>
                  </m:sub>
                </m:sSub>
              </m:e>
            </m:d>
          </m:den>
        </m:f>
      </m:oMath>
      <w:r>
        <w:t xml:space="preserve"> </w:t>
      </w:r>
      <w:r>
        <w:t xml:space="preserve">Here, numerator is marginal probability at each visit (or overall), denominator is PS.</w:t>
      </w:r>
    </w:p>
    <w:p>
      <w:pPr>
        <w:pStyle w:val="TableCaption"/>
      </w:pPr>
      <w:r>
        <w:t xml:space="preserve">Summary of Stabilized Weights for Each Method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 of Stabilized Weights for Each Method"/>
      </w:tblPr>
      <w:tblGrid>
        <w:gridCol w:w="286"/>
        <w:gridCol w:w="1431"/>
        <w:gridCol w:w="1431"/>
        <w:gridCol w:w="1622"/>
        <w:gridCol w:w="1526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w_glm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w_xgb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w_rf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Min. :0.2787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:0.1174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:0.006393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:0.01261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:0.007074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1st Qu.:0.9986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Qu.:0.9968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Qu.:0.996192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Qu.:0.99616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Qu.:0.997156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 :0.9996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:0.999182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:0.99906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:0.999130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 :1.0004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:1.0012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:0.996768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:0.99684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:0.996572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3rd Qu.:1.0007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Qu.:1.0021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Qu.:0.999671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Qu.:0.99959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Qu.:0.999534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Max. :5.2425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:3.8933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:1.398046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:1.24710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:1.214418</w:t>
            </w:r>
          </w:p>
        </w:tc>
      </w:tr>
    </w:tbl>
    <w:bookmarkEnd w:id="25"/>
    <w:bookmarkStart w:id="26" w:name="comparison-with-twang-package"/>
    <w:p>
      <w:pPr>
        <w:pStyle w:val="Heading2"/>
      </w:pPr>
      <w:r>
        <w:t xml:space="preserve">0.4 Comparison with</w:t>
      </w:r>
      <w:r>
        <w:t xml:space="preserve"> </w:t>
      </w:r>
      <w:r>
        <w:rPr>
          <w:rStyle w:val="VerbatimChar"/>
        </w:rPr>
        <w:t xml:space="preserve">twang</w:t>
      </w:r>
      <w:r>
        <w:t xml:space="preserve"> </w:t>
      </w:r>
      <w:r>
        <w:t xml:space="preserve">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twang</w:t>
      </w:r>
      <w:r>
        <w:t xml:space="preserve"> </w:t>
      </w:r>
      <w:r>
        <w:t xml:space="preserve">package provides a standard implementation of GBM for propensity score estimation.</w:t>
      </w:r>
    </w:p>
    <w:bookmarkEnd w:id="26"/>
    <w:bookmarkStart w:id="27" w:name="outcome-analysis"/>
    <w:p>
      <w:pPr>
        <w:pStyle w:val="Heading2"/>
      </w:pPr>
      <w:r>
        <w:t xml:space="preserve">0.5 Outcome Analysis</w:t>
      </w:r>
    </w:p>
    <w:p>
      <w:pPr>
        <w:pStyle w:val="FirstParagraph"/>
      </w:pPr>
      <w:r>
        <w:t xml:space="preserve">We use a linear mixed model weighted by the estimated IPTW to estimate the causal effect of treatment.</w:t>
      </w:r>
    </w:p>
    <w:p>
      <w:pPr>
        <w:pStyle w:val="TableCaption"/>
      </w:pPr>
      <w:r>
        <w:t xml:space="preserve">GLM (Full) Weighted Model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M (Full) Weighted Model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3.882765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0.0725498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0.0548686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1.322246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0.0538157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5.660817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8.072459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GLM (Baseline Only) Weighted Model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M (Baseline Only) Weighted Model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3.827911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5.618251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8.210673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GBM Weighted Model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BM Weighted Model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3.877400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0.0545634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1.307747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0.3008797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5.620978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0.0813757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8.069095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XGBoost Weighted Model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GBoost Weighted Model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0.1901759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3.871094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0.0716216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5.627418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8.071737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Random Forest Weighted Model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 Forest Weighted Model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0.1900447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3.868957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0.0714661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0.0545728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1.309557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0.3010565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5.623349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0.0815253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8.082370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Naive (Unweighted) Model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aive (Unweighted) Model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3.844387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1.294857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TreatmentTreatment_3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5.621750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8.181035</w:t>
            </w:r>
          </w:p>
        </w:tc>
      </w:tr>
    </w:tbl>
    <w:bookmarkEnd w:id="27"/>
    <w:bookmarkStart w:id="28" w:name="software"/>
    <w:p>
      <w:pPr>
        <w:pStyle w:val="Heading1"/>
      </w:pPr>
      <w:r>
        <w:t xml:space="preserve">1. Software</w:t>
      </w:r>
    </w:p>
    <w:p>
      <w:pPr>
        <w:pStyle w:val="FirstParagraph"/>
      </w:pPr>
      <w:r>
        <w:t xml:space="preserve">This work was completed using R v. 4.5.2</w:t>
      </w:r>
      <w:r>
        <w:t xml:space="preserve"> </w:t>
      </w:r>
      <w:r>
        <w:t xml:space="preserve">(R Core Team 2025)</w:t>
      </w:r>
      <w:r>
        <w:t xml:space="preserve"> </w:t>
      </w:r>
      <w:r>
        <w:t xml:space="preserve">and the following R packages: dials v. 1.4.2</w:t>
      </w:r>
      <w:r>
        <w:t xml:space="preserve"> </w:t>
      </w:r>
      <w:r>
        <w:t xml:space="preserve">(Kuhn and Frick 2025)</w:t>
      </w:r>
      <w:r>
        <w:t xml:space="preserve">, gbm v. 2.2.3</w:t>
      </w:r>
      <w:r>
        <w:t xml:space="preserve"> </w:t>
      </w:r>
      <w:r>
        <w:t xml:space="preserve">(Ridgeway and Developers 2026)</w:t>
      </w:r>
      <w:r>
        <w:t xml:space="preserve">, here v. 1.0.2</w:t>
      </w:r>
      <w:r>
        <w:t xml:space="preserve"> </w:t>
      </w:r>
      <w:r>
        <w:t xml:space="preserve">(Müller 2025)</w:t>
      </w:r>
      <w:r>
        <w:t xml:space="preserve">, infer v. 1.1.0</w:t>
      </w:r>
      <w:r>
        <w:t xml:space="preserve"> </w:t>
      </w:r>
      <w:r>
        <w:t xml:space="preserve">(S. P. Couch et al. 2021)</w:t>
      </w:r>
      <w:r>
        <w:t xml:space="preserve">, lme4 v. 1.1.38</w:t>
      </w:r>
      <w:r>
        <w:t xml:space="preserve"> </w:t>
      </w:r>
      <w:r>
        <w:t xml:space="preserve">(Bates et al. 2015)</w:t>
      </w:r>
      <w:r>
        <w:t xml:space="preserve">, Matrix v. 1.7.4</w:t>
      </w:r>
      <w:r>
        <w:t xml:space="preserve"> </w:t>
      </w:r>
      <w:r>
        <w:t xml:space="preserve">(Bates, Maechler, and Jagan 2025)</w:t>
      </w:r>
      <w:r>
        <w:t xml:space="preserve">, modeldata v. 1.5.1</w:t>
      </w:r>
      <w:r>
        <w:t xml:space="preserve"> </w:t>
      </w:r>
      <w:r>
        <w:t xml:space="preserve">(Kuhn 2025a)</w:t>
      </w:r>
      <w:r>
        <w:t xml:space="preserve">, parsnip v. 1.4.1</w:t>
      </w:r>
      <w:r>
        <w:t xml:space="preserve"> </w:t>
      </w:r>
      <w:r>
        <w:t xml:space="preserve">(Kuhn and Vaughan 2026)</w:t>
      </w:r>
      <w:r>
        <w:t xml:space="preserve">, recipes v. 1.3.1</w:t>
      </w:r>
      <w:r>
        <w:t xml:space="preserve"> </w:t>
      </w:r>
      <w:r>
        <w:t xml:space="preserve">(Kuhn, Wickham, and Hvitfeldt 2025)</w:t>
      </w:r>
      <w:r>
        <w:t xml:space="preserve">, rsample v. 1.3.1</w:t>
      </w:r>
      <w:r>
        <w:t xml:space="preserve"> </w:t>
      </w:r>
      <w:r>
        <w:t xml:space="preserve">(Frick et al. 2025)</w:t>
      </w:r>
      <w:r>
        <w:t xml:space="preserve">, scales v. 1.4.0</w:t>
      </w:r>
      <w:r>
        <w:t xml:space="preserve"> </w:t>
      </w:r>
      <w:r>
        <w:t xml:space="preserve">(Wickham, Pedersen, and Seidel 2025)</w:t>
      </w:r>
      <w:r>
        <w:t xml:space="preserve">, tailor v. 0.1.0</w:t>
      </w:r>
      <w:r>
        <w:t xml:space="preserve"> </w:t>
      </w:r>
      <w:r>
        <w:t xml:space="preserve">(S. Couch et al. 2025)</w:t>
      </w:r>
      <w:r>
        <w:t xml:space="preserve">, tidymodels v. 1.4.1</w:t>
      </w:r>
      <w:r>
        <w:t xml:space="preserve"> </w:t>
      </w:r>
      <w:r>
        <w:t xml:space="preserve">(Kuhn and Wickham 2020)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, tune v. 2.0.1</w:t>
      </w:r>
      <w:r>
        <w:t xml:space="preserve"> </w:t>
      </w:r>
      <w:r>
        <w:t xml:space="preserve">(Kuhn 2025b)</w:t>
      </w:r>
      <w:r>
        <w:t xml:space="preserve">, twang v. 2.6.2</w:t>
      </w:r>
      <w:r>
        <w:t xml:space="preserve"> </w:t>
      </w:r>
      <w:r>
        <w:t xml:space="preserve">(Cefalu et al. 2025)</w:t>
      </w:r>
      <w:r>
        <w:t xml:space="preserve">, workflows v. 1.3.0</w:t>
      </w:r>
      <w:r>
        <w:t xml:space="preserve"> </w:t>
      </w:r>
      <w:r>
        <w:t xml:space="preserve">(Vaughan, Couch, and Frick 2025)</w:t>
      </w:r>
      <w:r>
        <w:t xml:space="preserve">, workflowsets v. 1.1.1</w:t>
      </w:r>
      <w:r>
        <w:t xml:space="preserve"> </w:t>
      </w:r>
      <w:r>
        <w:t xml:space="preserve">(Frick, Kuhn, and Couch 2025)</w:t>
      </w:r>
      <w:r>
        <w:t xml:space="preserve">, yardstick v. 1.3.2</w:t>
      </w:r>
      <w:r>
        <w:t xml:space="preserve"> </w:t>
      </w:r>
      <w:r>
        <w:t xml:space="preserve">(Kuhn, Vaughan, and Hvitfeldt 2025)</w:t>
      </w:r>
      <w:r>
        <w:t xml:space="preserve">.</w:t>
      </w:r>
    </w:p>
    <w:bookmarkEnd w:id="28"/>
    <w:bookmarkStart w:id="70" w:name="references"/>
    <w:p>
      <w:pPr>
        <w:pStyle w:val="Heading1"/>
      </w:pPr>
      <w:r>
        <w:t xml:space="preserve">2. References</w:t>
      </w:r>
    </w:p>
    <w:bookmarkStart w:id="69" w:name="refs"/>
    <w:bookmarkStart w:id="30" w:name="ref-lme4"/>
    <w:p>
      <w:pPr>
        <w:pStyle w:val="Bibliography"/>
      </w:pPr>
      <w:r>
        <w:t xml:space="preserve">Bates, Douglas, Martin Mächler, Ben Bolker, and Steve Walker. 2015.</w:t>
      </w:r>
      <w:r>
        <w:t xml:space="preserve"> </w:t>
      </w:r>
      <w:r>
        <w:t xml:space="preserve">“Fitting Linear Mixed-Effects Models Using</w:t>
      </w:r>
      <w:r>
        <w:t xml:space="preserve"> </w:t>
      </w:r>
      <w:r>
        <w:t xml:space="preserve">lme4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67 (1): 1–48.</w:t>
      </w:r>
      <w:r>
        <w:t xml:space="preserve"> </w:t>
      </w:r>
      <w:hyperlink r:id="rId29">
        <w:r>
          <w:rPr>
            <w:rStyle w:val="Hyperlink"/>
          </w:rPr>
          <w:t xml:space="preserve">https://doi.org/10.18637/jss.v067.i01</w:t>
        </w:r>
      </w:hyperlink>
      <w:r>
        <w:t xml:space="preserve">.</w:t>
      </w:r>
    </w:p>
    <w:bookmarkEnd w:id="30"/>
    <w:bookmarkStart w:id="32" w:name="ref-Matrix"/>
    <w:p>
      <w:pPr>
        <w:pStyle w:val="Bibliography"/>
      </w:pPr>
      <w:r>
        <w:t xml:space="preserve">Bates, Douglas, Martin Maechler, and Mikael Jagan. 2025.</w:t>
      </w:r>
      <w:r>
        <w:t xml:space="preserve"> </w:t>
      </w:r>
      <w:r>
        <w:rPr>
          <w:i/>
          <w:iCs/>
        </w:rPr>
        <w:t xml:space="preserve">Matrix</w:t>
      </w:r>
      <w:r>
        <w:rPr>
          <w:i/>
          <w:iCs/>
        </w:rPr>
        <w:t xml:space="preserve">: Sparse and Dense Matrix Classes and Methods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https://doi.org/10.32614/CRAN.package.Matrix</w:t>
        </w:r>
      </w:hyperlink>
      <w:r>
        <w:t xml:space="preserve">.</w:t>
      </w:r>
    </w:p>
    <w:bookmarkEnd w:id="32"/>
    <w:bookmarkStart w:id="34" w:name="ref-twang"/>
    <w:p>
      <w:pPr>
        <w:pStyle w:val="Bibliography"/>
      </w:pPr>
      <w:r>
        <w:t xml:space="preserve">Cefalu, Matthew, Greg Ridgeway, Dan McCaffrey, Andrew Morral, Beth Ann Griffin, and Lane Burgette. 2025.</w:t>
      </w:r>
      <w:r>
        <w:t xml:space="preserve"> </w:t>
      </w:r>
      <w:r>
        <w:rPr>
          <w:i/>
          <w:iCs/>
        </w:rPr>
        <w:t xml:space="preserve">twang</w:t>
      </w:r>
      <w:r>
        <w:rPr>
          <w:i/>
          <w:iCs/>
        </w:rPr>
        <w:t xml:space="preserve">: Toolkit for Weighting and Analysis of Nonequivalent Groups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https://doi.org/10.32614/CRAN.package.twang</w:t>
        </w:r>
      </w:hyperlink>
      <w:r>
        <w:t xml:space="preserve">.</w:t>
      </w:r>
    </w:p>
    <w:bookmarkEnd w:id="34"/>
    <w:bookmarkStart w:id="36" w:name="ref-infer"/>
    <w:p>
      <w:pPr>
        <w:pStyle w:val="Bibliography"/>
      </w:pPr>
      <w:r>
        <w:t xml:space="preserve">Couch, Simon P., Andrew P. Bray, Chester Ismay, Evgeni Chasnovski, Benjamin S. Baumer, and Mine Çetinkaya-Rundel. 2021.</w:t>
      </w:r>
      <w:r>
        <w:t xml:space="preserve"> </w:t>
      </w:r>
      <w:r>
        <w:t xml:space="preserve">“</w:t>
      </w:r>
      <w:r>
        <w:t xml:space="preserve">infer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Tidyverse-Friendly Statistical Inference.”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6 (65): 3661.</w:t>
      </w:r>
      <w:r>
        <w:t xml:space="preserve"> </w:t>
      </w:r>
      <w:hyperlink r:id="rId35">
        <w:r>
          <w:rPr>
            <w:rStyle w:val="Hyperlink"/>
          </w:rPr>
          <w:t xml:space="preserve">https://doi.org/10.21105/joss.03661</w:t>
        </w:r>
      </w:hyperlink>
      <w:r>
        <w:t xml:space="preserve">.</w:t>
      </w:r>
    </w:p>
    <w:bookmarkEnd w:id="36"/>
    <w:bookmarkStart w:id="38" w:name="ref-tailor"/>
    <w:p>
      <w:pPr>
        <w:pStyle w:val="Bibliography"/>
      </w:pPr>
      <w:r>
        <w:t xml:space="preserve">Couch, Simon, Hannah Frick, Emil HvitFeldt, and Max Kuhn. 2025.</w:t>
      </w:r>
      <w:r>
        <w:t xml:space="preserve"> </w:t>
      </w:r>
      <w:r>
        <w:rPr>
          <w:i/>
          <w:iCs/>
        </w:rPr>
        <w:t xml:space="preserve">tailor</w:t>
      </w:r>
      <w:r>
        <w:rPr>
          <w:i/>
          <w:iCs/>
        </w:rPr>
        <w:t xml:space="preserve">: Iterative Steps for Postprocessing Model Predictions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https://doi.org/10.32614/CRAN.package.tailor</w:t>
        </w:r>
      </w:hyperlink>
      <w:r>
        <w:t xml:space="preserve">.</w:t>
      </w:r>
    </w:p>
    <w:bookmarkEnd w:id="38"/>
    <w:bookmarkStart w:id="40" w:name="ref-rsample"/>
    <w:p>
      <w:pPr>
        <w:pStyle w:val="Bibliography"/>
      </w:pPr>
      <w:r>
        <w:t xml:space="preserve">Frick, Hannah, Fanny Chow, Max Kuhn, Michael Mahoney, Julia Silge, and Hadley Wickham. 2025.</w:t>
      </w:r>
      <w:r>
        <w:t xml:space="preserve"> </w:t>
      </w:r>
      <w:r>
        <w:rPr>
          <w:i/>
          <w:iCs/>
        </w:rPr>
        <w:t xml:space="preserve">rsample</w:t>
      </w:r>
      <w:r>
        <w:rPr>
          <w:i/>
          <w:iCs/>
        </w:rPr>
        <w:t xml:space="preserve">: General Resampling Infrastructure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https://doi.org/10.32614/CRAN.package.rsample</w:t>
        </w:r>
      </w:hyperlink>
      <w:r>
        <w:t xml:space="preserve">.</w:t>
      </w:r>
    </w:p>
    <w:bookmarkEnd w:id="40"/>
    <w:bookmarkStart w:id="42" w:name="ref-workflowsets"/>
    <w:p>
      <w:pPr>
        <w:pStyle w:val="Bibliography"/>
      </w:pPr>
      <w:r>
        <w:t xml:space="preserve">Frick, Hannah, Max Kuhn, and Simon Couch. 2025.</w:t>
      </w:r>
      <w:r>
        <w:t xml:space="preserve"> </w:t>
      </w:r>
      <w:r>
        <w:rPr>
          <w:i/>
          <w:iCs/>
        </w:rPr>
        <w:t xml:space="preserve">workflowsets</w:t>
      </w:r>
      <w:r>
        <w:rPr>
          <w:i/>
          <w:iCs/>
        </w:rPr>
        <w:t xml:space="preserve">: Create a Collection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tidymodels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Workflows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https://doi.org/10.32614/CRAN.package.workflowsets</w:t>
        </w:r>
      </w:hyperlink>
      <w:r>
        <w:t xml:space="preserve">.</w:t>
      </w:r>
    </w:p>
    <w:bookmarkEnd w:id="42"/>
    <w:bookmarkStart w:id="44" w:name="ref-modeldata"/>
    <w:p>
      <w:pPr>
        <w:pStyle w:val="Bibliography"/>
      </w:pPr>
      <w:r>
        <w:t xml:space="preserve">Kuhn, Max. 2025a.</w:t>
      </w:r>
      <w:r>
        <w:t xml:space="preserve"> </w:t>
      </w:r>
      <w:r>
        <w:rPr>
          <w:i/>
          <w:iCs/>
        </w:rPr>
        <w:t xml:space="preserve">modeldata</w:t>
      </w:r>
      <w:r>
        <w:rPr>
          <w:i/>
          <w:iCs/>
        </w:rPr>
        <w:t xml:space="preserve">: Data Sets Useful for Modeling Examples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https://doi.org/10.32614/CRAN.package.modeldata</w:t>
        </w:r>
      </w:hyperlink>
      <w:r>
        <w:t xml:space="preserve">.</w:t>
      </w:r>
    </w:p>
    <w:bookmarkEnd w:id="44"/>
    <w:bookmarkStart w:id="46" w:name="ref-tune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tune</w:t>
      </w:r>
      <w:r>
        <w:rPr>
          <w:i/>
          <w:iCs/>
        </w:rPr>
        <w:t xml:space="preserve">: Tidy Tuning Tools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https://doi.org/10.32614/CRAN.package.tune</w:t>
        </w:r>
      </w:hyperlink>
      <w:r>
        <w:t xml:space="preserve">.</w:t>
      </w:r>
    </w:p>
    <w:bookmarkEnd w:id="46"/>
    <w:bookmarkStart w:id="48" w:name="ref-dials"/>
    <w:p>
      <w:pPr>
        <w:pStyle w:val="Bibliography"/>
      </w:pPr>
      <w:r>
        <w:t xml:space="preserve">Kuhn, Max, and Hannah Frick. 2025.</w:t>
      </w:r>
      <w:r>
        <w:t xml:space="preserve"> </w:t>
      </w:r>
      <w:r>
        <w:rPr>
          <w:i/>
          <w:iCs/>
        </w:rPr>
        <w:t xml:space="preserve">dials</w:t>
      </w:r>
      <w:r>
        <w:rPr>
          <w:i/>
          <w:iCs/>
        </w:rPr>
        <w:t xml:space="preserve">: Tools for Creating Tuning Parameter Values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https://doi.org/10.32614/CRAN.package.dials</w:t>
        </w:r>
      </w:hyperlink>
      <w:r>
        <w:t xml:space="preserve">.</w:t>
      </w:r>
    </w:p>
    <w:bookmarkEnd w:id="48"/>
    <w:bookmarkStart w:id="50" w:name="ref-parsnip"/>
    <w:p>
      <w:pPr>
        <w:pStyle w:val="Bibliography"/>
      </w:pPr>
      <w:r>
        <w:t xml:space="preserve">Kuhn, Max, and Davis Vaughan. 2026.</w:t>
      </w:r>
      <w:r>
        <w:t xml:space="preserve"> </w:t>
      </w:r>
      <w:r>
        <w:rPr>
          <w:i/>
          <w:iCs/>
        </w:rPr>
        <w:t xml:space="preserve">parsnip</w:t>
      </w:r>
      <w:r>
        <w:rPr>
          <w:i/>
          <w:iCs/>
        </w:rPr>
        <w:t xml:space="preserve">: A Common API to Modeling and Analysis Functions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https://doi.org/10.32614/CRAN.package.parsnip</w:t>
        </w:r>
      </w:hyperlink>
      <w:r>
        <w:t xml:space="preserve">.</w:t>
      </w:r>
    </w:p>
    <w:bookmarkEnd w:id="50"/>
    <w:bookmarkStart w:id="52" w:name="ref-yardstick"/>
    <w:p>
      <w:pPr>
        <w:pStyle w:val="Bibliography"/>
      </w:pPr>
      <w:r>
        <w:t xml:space="preserve">Kuhn, Max, Davis Vaughan, and Emil Hvitfeldt. 2025.</w:t>
      </w:r>
      <w:r>
        <w:t xml:space="preserve"> </w:t>
      </w:r>
      <w:r>
        <w:rPr>
          <w:i/>
          <w:iCs/>
        </w:rPr>
        <w:t xml:space="preserve">yardstick</w:t>
      </w:r>
      <w:r>
        <w:rPr>
          <w:i/>
          <w:iCs/>
        </w:rPr>
        <w:t xml:space="preserve">: Tidy Characterizations of Model Performance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https://doi.org/10.32614/CRAN.package.yardstick</w:t>
        </w:r>
      </w:hyperlink>
      <w:r>
        <w:t xml:space="preserve">.</w:t>
      </w:r>
    </w:p>
    <w:bookmarkEnd w:id="52"/>
    <w:bookmarkStart w:id="54" w:name="ref-tidymodels"/>
    <w:p>
      <w:pPr>
        <w:pStyle w:val="Bibliography"/>
      </w:pPr>
      <w:r>
        <w:t xml:space="preserve">Kuhn, Max, and Hadley Wickham. 2020.</w:t>
      </w:r>
      <w:r>
        <w:t xml:space="preserve"> </w:t>
      </w:r>
      <w:r>
        <w:rPr>
          <w:i/>
          <w:iCs/>
        </w:rPr>
        <w:t xml:space="preserve">Tidymodels</w:t>
      </w:r>
      <w:r>
        <w:rPr>
          <w:i/>
          <w:iCs/>
        </w:rPr>
        <w:t xml:space="preserve">: A Collection of Packages for Modeling and Machine Learning Using Tidyverse Principles.</w:t>
      </w:r>
      <w:r>
        <w:t xml:space="preserve"> </w:t>
      </w:r>
      <w:hyperlink r:id="rId53">
        <w:r>
          <w:rPr>
            <w:rStyle w:val="Hyperlink"/>
          </w:rPr>
          <w:t xml:space="preserve">https://www.tidymodels.org</w:t>
        </w:r>
      </w:hyperlink>
      <w:r>
        <w:t xml:space="preserve">.</w:t>
      </w:r>
    </w:p>
    <w:bookmarkEnd w:id="54"/>
    <w:bookmarkStart w:id="56" w:name="ref-recipes"/>
    <w:p>
      <w:pPr>
        <w:pStyle w:val="Bibliography"/>
      </w:pPr>
      <w:r>
        <w:t xml:space="preserve">Kuhn, Max, Hadley Wickham, and Emil Hvitfeldt. 2025.</w:t>
      </w:r>
      <w:r>
        <w:t xml:space="preserve"> </w:t>
      </w:r>
      <w:r>
        <w:rPr>
          <w:i/>
          <w:iCs/>
        </w:rPr>
        <w:t xml:space="preserve">recipes</w:t>
      </w:r>
      <w:r>
        <w:rPr>
          <w:i/>
          <w:iCs/>
        </w:rPr>
        <w:t xml:space="preserve">: Preprocessing and Feature Engineering Steps for Modeling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https://doi.org/10.32614/CRAN.package.recipes</w:t>
        </w:r>
      </w:hyperlink>
      <w:r>
        <w:t xml:space="preserve">.</w:t>
      </w:r>
    </w:p>
    <w:bookmarkEnd w:id="56"/>
    <w:bookmarkStart w:id="58" w:name="ref-here"/>
    <w:p>
      <w:pPr>
        <w:pStyle w:val="Bibliography"/>
      </w:pPr>
      <w:r>
        <w:t xml:space="preserve">Müller, Kirill. 2025.</w:t>
      </w:r>
      <w:r>
        <w:t xml:space="preserve"> </w:t>
      </w:r>
      <w:r>
        <w:rPr>
          <w:i/>
          <w:iCs/>
        </w:rPr>
        <w:t xml:space="preserve">here</w:t>
      </w:r>
      <w:r>
        <w:rPr>
          <w:i/>
          <w:iCs/>
        </w:rPr>
        <w:t xml:space="preserve">: A Simpler Way to Find Your Files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https://doi.org/10.32614/CRAN.package.here</w:t>
        </w:r>
      </w:hyperlink>
      <w:r>
        <w:t xml:space="preserve">.</w:t>
      </w:r>
    </w:p>
    <w:bookmarkEnd w:id="58"/>
    <w:bookmarkStart w:id="60" w:name="ref-base"/>
    <w:p>
      <w:pPr>
        <w:pStyle w:val="Bibliography"/>
      </w:pPr>
      <w:r>
        <w:t xml:space="preserve">R Core Team. 2025.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59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60"/>
    <w:bookmarkStart w:id="62" w:name="ref-gbm"/>
    <w:p>
      <w:pPr>
        <w:pStyle w:val="Bibliography"/>
      </w:pPr>
      <w:r>
        <w:t xml:space="preserve">Ridgeway, Greg, and GBM Developers. 2026.</w:t>
      </w:r>
      <w:r>
        <w:t xml:space="preserve"> </w:t>
      </w:r>
      <w:r>
        <w:rPr>
          <w:i/>
          <w:iCs/>
        </w:rPr>
        <w:t xml:space="preserve">gbm</w:t>
      </w:r>
      <w:r>
        <w:rPr>
          <w:i/>
          <w:iCs/>
        </w:rPr>
        <w:t xml:space="preserve">: Generalized Boosted Regression Models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https://doi.org/10.32614/CRAN.package.gbm</w:t>
        </w:r>
      </w:hyperlink>
      <w:r>
        <w:t xml:space="preserve">.</w:t>
      </w:r>
    </w:p>
    <w:bookmarkEnd w:id="62"/>
    <w:bookmarkStart w:id="64" w:name="ref-workflows"/>
    <w:p>
      <w:pPr>
        <w:pStyle w:val="Bibliography"/>
      </w:pPr>
      <w:r>
        <w:t xml:space="preserve">Vaughan, Davis, Simon Couch, and Hannah Frick. 2025.</w:t>
      </w:r>
      <w:r>
        <w:t xml:space="preserve"> </w:t>
      </w:r>
      <w:r>
        <w:rPr>
          <w:i/>
          <w:iCs/>
        </w:rPr>
        <w:t xml:space="preserve">workflows</w:t>
      </w:r>
      <w:r>
        <w:rPr>
          <w:i/>
          <w:iCs/>
        </w:rPr>
        <w:t xml:space="preserve">: Modeling Workflows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https://doi.org/10.32614/CRAN.package.workflows</w:t>
        </w:r>
      </w:hyperlink>
      <w:r>
        <w:t xml:space="preserve">.</w:t>
      </w:r>
    </w:p>
    <w:bookmarkEnd w:id="64"/>
    <w:bookmarkStart w:id="66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65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66"/>
    <w:bookmarkStart w:id="68" w:name="ref-scales"/>
    <w:p>
      <w:pPr>
        <w:pStyle w:val="Bibliography"/>
      </w:pPr>
      <w:r>
        <w:t xml:space="preserve">Wickham, Hadley, Thomas Lin Pedersen, and Dana Seidel. 2025.</w:t>
      </w:r>
      <w:r>
        <w:t xml:space="preserve"> </w:t>
      </w:r>
      <w:r>
        <w:rPr>
          <w:i/>
          <w:iCs/>
        </w:rPr>
        <w:t xml:space="preserve">scales</w:t>
      </w:r>
      <w:r>
        <w:rPr>
          <w:i/>
          <w:iCs/>
        </w:rPr>
        <w:t xml:space="preserve">: Scale Functions for Visualization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https://doi.org/10.32614/CRAN.package.scales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oi.org/10.18637/jss.v067.i01" TargetMode="External" /><Relationship Type="http://schemas.openxmlformats.org/officeDocument/2006/relationships/hyperlink" Id="rId65" Target="https://doi.org/10.21105/joss.01686" TargetMode="External" /><Relationship Type="http://schemas.openxmlformats.org/officeDocument/2006/relationships/hyperlink" Id="rId35" Target="https://doi.org/10.21105/joss.03661" TargetMode="External" /><Relationship Type="http://schemas.openxmlformats.org/officeDocument/2006/relationships/hyperlink" Id="rId31" Target="https://doi.org/10.32614/CRAN.package.Matrix" TargetMode="External" /><Relationship Type="http://schemas.openxmlformats.org/officeDocument/2006/relationships/hyperlink" Id="rId47" Target="https://doi.org/10.32614/CRAN.package.dials" TargetMode="External" /><Relationship Type="http://schemas.openxmlformats.org/officeDocument/2006/relationships/hyperlink" Id="rId61" Target="https://doi.org/10.32614/CRAN.package.gbm" TargetMode="External" /><Relationship Type="http://schemas.openxmlformats.org/officeDocument/2006/relationships/hyperlink" Id="rId57" Target="https://doi.org/10.32614/CRAN.package.here" TargetMode="External" /><Relationship Type="http://schemas.openxmlformats.org/officeDocument/2006/relationships/hyperlink" Id="rId43" Target="https://doi.org/10.32614/CRAN.package.modeldata" TargetMode="External" /><Relationship Type="http://schemas.openxmlformats.org/officeDocument/2006/relationships/hyperlink" Id="rId49" Target="https://doi.org/10.32614/CRAN.package.parsnip" TargetMode="External" /><Relationship Type="http://schemas.openxmlformats.org/officeDocument/2006/relationships/hyperlink" Id="rId55" Target="https://doi.org/10.32614/CRAN.package.recipes" TargetMode="External" /><Relationship Type="http://schemas.openxmlformats.org/officeDocument/2006/relationships/hyperlink" Id="rId39" Target="https://doi.org/10.32614/CRAN.package.rsample" TargetMode="External" /><Relationship Type="http://schemas.openxmlformats.org/officeDocument/2006/relationships/hyperlink" Id="rId67" Target="https://doi.org/10.32614/CRAN.package.scales" TargetMode="External" /><Relationship Type="http://schemas.openxmlformats.org/officeDocument/2006/relationships/hyperlink" Id="rId37" Target="https://doi.org/10.32614/CRAN.package.tailor" TargetMode="External" /><Relationship Type="http://schemas.openxmlformats.org/officeDocument/2006/relationships/hyperlink" Id="rId45" Target="https://doi.org/10.32614/CRAN.package.tune" TargetMode="External" /><Relationship Type="http://schemas.openxmlformats.org/officeDocument/2006/relationships/hyperlink" Id="rId33" Target="https://doi.org/10.32614/CRAN.package.twang" TargetMode="External" /><Relationship Type="http://schemas.openxmlformats.org/officeDocument/2006/relationships/hyperlink" Id="rId63" Target="https://doi.org/10.32614/CRAN.package.workflows" TargetMode="External" /><Relationship Type="http://schemas.openxmlformats.org/officeDocument/2006/relationships/hyperlink" Id="rId41" Target="https://doi.org/10.32614/CRAN.package.workflowsets" TargetMode="External" /><Relationship Type="http://schemas.openxmlformats.org/officeDocument/2006/relationships/hyperlink" Id="rId51" Target="https://doi.org/10.32614/CRAN.package.yardstick" TargetMode="External" /><Relationship Type="http://schemas.openxmlformats.org/officeDocument/2006/relationships/hyperlink" Id="rId59" Target="https://www.R-project.org/" TargetMode="External" /><Relationship Type="http://schemas.openxmlformats.org/officeDocument/2006/relationships/hyperlink" Id="rId53" Target="https://www.tidymodel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8637/jss.v067.i01" TargetMode="External" /><Relationship Type="http://schemas.openxmlformats.org/officeDocument/2006/relationships/hyperlink" Id="rId65" Target="https://doi.org/10.21105/joss.01686" TargetMode="External" /><Relationship Type="http://schemas.openxmlformats.org/officeDocument/2006/relationships/hyperlink" Id="rId35" Target="https://doi.org/10.21105/joss.03661" TargetMode="External" /><Relationship Type="http://schemas.openxmlformats.org/officeDocument/2006/relationships/hyperlink" Id="rId31" Target="https://doi.org/10.32614/CRAN.package.Matrix" TargetMode="External" /><Relationship Type="http://schemas.openxmlformats.org/officeDocument/2006/relationships/hyperlink" Id="rId47" Target="https://doi.org/10.32614/CRAN.package.dials" TargetMode="External" /><Relationship Type="http://schemas.openxmlformats.org/officeDocument/2006/relationships/hyperlink" Id="rId61" Target="https://doi.org/10.32614/CRAN.package.gbm" TargetMode="External" /><Relationship Type="http://schemas.openxmlformats.org/officeDocument/2006/relationships/hyperlink" Id="rId57" Target="https://doi.org/10.32614/CRAN.package.here" TargetMode="External" /><Relationship Type="http://schemas.openxmlformats.org/officeDocument/2006/relationships/hyperlink" Id="rId43" Target="https://doi.org/10.32614/CRAN.package.modeldata" TargetMode="External" /><Relationship Type="http://schemas.openxmlformats.org/officeDocument/2006/relationships/hyperlink" Id="rId49" Target="https://doi.org/10.32614/CRAN.package.parsnip" TargetMode="External" /><Relationship Type="http://schemas.openxmlformats.org/officeDocument/2006/relationships/hyperlink" Id="rId55" Target="https://doi.org/10.32614/CRAN.package.recipes" TargetMode="External" /><Relationship Type="http://schemas.openxmlformats.org/officeDocument/2006/relationships/hyperlink" Id="rId39" Target="https://doi.org/10.32614/CRAN.package.rsample" TargetMode="External" /><Relationship Type="http://schemas.openxmlformats.org/officeDocument/2006/relationships/hyperlink" Id="rId67" Target="https://doi.org/10.32614/CRAN.package.scales" TargetMode="External" /><Relationship Type="http://schemas.openxmlformats.org/officeDocument/2006/relationships/hyperlink" Id="rId37" Target="https://doi.org/10.32614/CRAN.package.tailor" TargetMode="External" /><Relationship Type="http://schemas.openxmlformats.org/officeDocument/2006/relationships/hyperlink" Id="rId45" Target="https://doi.org/10.32614/CRAN.package.tune" TargetMode="External" /><Relationship Type="http://schemas.openxmlformats.org/officeDocument/2006/relationships/hyperlink" Id="rId33" Target="https://doi.org/10.32614/CRAN.package.twang" TargetMode="External" /><Relationship Type="http://schemas.openxmlformats.org/officeDocument/2006/relationships/hyperlink" Id="rId63" Target="https://doi.org/10.32614/CRAN.package.workflows" TargetMode="External" /><Relationship Type="http://schemas.openxmlformats.org/officeDocument/2006/relationships/hyperlink" Id="rId41" Target="https://doi.org/10.32614/CRAN.package.workflowsets" TargetMode="External" /><Relationship Type="http://schemas.openxmlformats.org/officeDocument/2006/relationships/hyperlink" Id="rId51" Target="https://doi.org/10.32614/CRAN.package.yardstick" TargetMode="External" /><Relationship Type="http://schemas.openxmlformats.org/officeDocument/2006/relationships/hyperlink" Id="rId59" Target="https://www.R-project.org/" TargetMode="External" /><Relationship Type="http://schemas.openxmlformats.org/officeDocument/2006/relationships/hyperlink" Id="rId53" Target="https://www.tidymodel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Propensity Score Analysis</dc:title>
  <dc:creator>J Kyle Armstrong, PhD</dc:creator>
  <cp:keywords/>
  <dcterms:created xsi:type="dcterms:W3CDTF">2026-02-25T22:29:33Z</dcterms:created>
  <dcterms:modified xsi:type="dcterms:W3CDTF">2026-02-25T22:29:33Z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Feb 25, 2026</vt:lpwstr>
  </property>
  <property fmtid="{D5CDD505-2E9C-101B-9397-08002B2CF9AE}" pid="9" name="date-format">
    <vt:lpwstr>medium</vt:lpwstr>
  </property>
  <property fmtid="{D5CDD505-2E9C-101B-9397-08002B2CF9AE}" pid="10" name="fontsize">
    <vt:lpwstr>10pt</vt:lpwstr>
  </property>
  <property fmtid="{D5CDD505-2E9C-101B-9397-08002B2CF9AE}" pid="11" name="geometry">
    <vt:lpwstr>margin=1in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of">
    <vt:lpwstr>True</vt:lpwstr>
  </property>
  <property fmtid="{D5CDD505-2E9C-101B-9397-08002B2CF9AE}" pid="17" name="lot">
    <vt:lpwstr>True</vt:lpwstr>
  </property>
  <property fmtid="{D5CDD505-2E9C-101B-9397-08002B2CF9AE}" pid="18" name="number-depth">
    <vt:lpwstr>6</vt:lpwstr>
  </property>
  <property fmtid="{D5CDD505-2E9C-101B-9397-08002B2CF9AE}" pid="19" name="toc-title">
    <vt:lpwstr>Table of contents</vt:lpwstr>
  </property>
</Properties>
</file>