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ACC43" w14:textId="714F99E1" w:rsidR="007121D5" w:rsidRDefault="007121D5" w:rsidP="007121D5">
      <w:pPr>
        <w:jc w:val="center"/>
        <w:rPr>
          <w:rFonts w:ascii="Garamond" w:hAnsi="Garamond"/>
          <w:b/>
          <w:bCs/>
          <w:sz w:val="60"/>
          <w:szCs w:val="60"/>
        </w:rPr>
      </w:pPr>
      <w:r w:rsidRPr="007121D5">
        <w:rPr>
          <w:rFonts w:ascii="Garamond" w:hAnsi="Garamond"/>
          <w:b/>
          <w:bCs/>
          <w:sz w:val="60"/>
          <w:szCs w:val="60"/>
        </w:rPr>
        <w:t>An Analysis of DNA Methylation Data in the TCGA-BRCA Study Using the Illumina Infinium HumanMethylation27 BeadArray</w:t>
      </w:r>
    </w:p>
    <w:p w14:paraId="2898CF0E" w14:textId="77777777" w:rsidR="007121D5" w:rsidRDefault="007121D5" w:rsidP="007121D5">
      <w:pPr>
        <w:jc w:val="center"/>
        <w:rPr>
          <w:rFonts w:ascii="Garamond" w:hAnsi="Garamond"/>
          <w:b/>
          <w:bCs/>
          <w:sz w:val="60"/>
          <w:szCs w:val="60"/>
        </w:rPr>
      </w:pPr>
    </w:p>
    <w:p w14:paraId="5545A402" w14:textId="77777777" w:rsidR="007121D5" w:rsidRDefault="007121D5" w:rsidP="007121D5">
      <w:pPr>
        <w:jc w:val="center"/>
        <w:rPr>
          <w:rFonts w:ascii="Garamond" w:hAnsi="Garamond"/>
          <w:b/>
          <w:bCs/>
          <w:sz w:val="60"/>
          <w:szCs w:val="60"/>
        </w:rPr>
      </w:pPr>
    </w:p>
    <w:p w14:paraId="1AF91B60" w14:textId="77777777" w:rsidR="007121D5" w:rsidRDefault="007121D5" w:rsidP="007121D5">
      <w:pPr>
        <w:jc w:val="center"/>
        <w:rPr>
          <w:rFonts w:ascii="Garamond" w:hAnsi="Garamond"/>
          <w:b/>
          <w:bCs/>
          <w:sz w:val="60"/>
          <w:szCs w:val="60"/>
        </w:rPr>
      </w:pPr>
    </w:p>
    <w:p w14:paraId="39830846" w14:textId="77777777" w:rsidR="007121D5" w:rsidRDefault="007121D5" w:rsidP="007121D5">
      <w:pPr>
        <w:jc w:val="center"/>
        <w:rPr>
          <w:rFonts w:ascii="Garamond" w:hAnsi="Garamond"/>
          <w:b/>
          <w:bCs/>
          <w:sz w:val="60"/>
          <w:szCs w:val="60"/>
        </w:rPr>
      </w:pPr>
    </w:p>
    <w:p w14:paraId="47927CBC" w14:textId="77777777" w:rsidR="007121D5" w:rsidRDefault="007121D5" w:rsidP="007121D5">
      <w:pPr>
        <w:jc w:val="center"/>
        <w:rPr>
          <w:rFonts w:ascii="Garamond" w:hAnsi="Garamond"/>
          <w:b/>
          <w:bCs/>
          <w:sz w:val="60"/>
          <w:szCs w:val="60"/>
        </w:rPr>
      </w:pPr>
    </w:p>
    <w:p w14:paraId="48DC2C55" w14:textId="4B190477" w:rsidR="007121D5" w:rsidRDefault="007121D5" w:rsidP="007121D5">
      <w:pPr>
        <w:jc w:val="center"/>
        <w:rPr>
          <w:rFonts w:ascii="Garamond" w:hAnsi="Garamond"/>
          <w:sz w:val="60"/>
          <w:szCs w:val="60"/>
        </w:rPr>
      </w:pPr>
      <w:r>
        <w:rPr>
          <w:rFonts w:ascii="Garamond" w:hAnsi="Garamond"/>
          <w:sz w:val="60"/>
          <w:szCs w:val="60"/>
        </w:rPr>
        <w:t>Joe LaRocca</w:t>
      </w:r>
    </w:p>
    <w:p w14:paraId="6E74B777" w14:textId="047D882B" w:rsidR="007121D5" w:rsidRDefault="007121D5" w:rsidP="007121D5">
      <w:pPr>
        <w:jc w:val="center"/>
        <w:rPr>
          <w:rFonts w:ascii="Garamond" w:hAnsi="Garamond"/>
          <w:sz w:val="60"/>
          <w:szCs w:val="60"/>
        </w:rPr>
      </w:pPr>
      <w:r>
        <w:rPr>
          <w:rFonts w:ascii="Garamond" w:hAnsi="Garamond"/>
          <w:sz w:val="60"/>
          <w:szCs w:val="60"/>
        </w:rPr>
        <w:t>Columbia University</w:t>
      </w:r>
    </w:p>
    <w:p w14:paraId="6E84F2AC" w14:textId="3BBEEE91" w:rsidR="007121D5" w:rsidRDefault="007121D5" w:rsidP="007121D5">
      <w:pPr>
        <w:jc w:val="center"/>
        <w:rPr>
          <w:rFonts w:ascii="Garamond" w:hAnsi="Garamond"/>
          <w:sz w:val="60"/>
          <w:szCs w:val="60"/>
        </w:rPr>
      </w:pPr>
      <w:r>
        <w:rPr>
          <w:rFonts w:ascii="Garamond" w:hAnsi="Garamond"/>
          <w:sz w:val="60"/>
          <w:szCs w:val="60"/>
        </w:rPr>
        <w:t>P8109: Statistical Genetic Modeling</w:t>
      </w:r>
    </w:p>
    <w:p w14:paraId="09E274A5" w14:textId="56CEC824" w:rsidR="007121D5" w:rsidRDefault="007121D5" w:rsidP="007121D5">
      <w:pPr>
        <w:jc w:val="center"/>
        <w:rPr>
          <w:rFonts w:ascii="Garamond" w:hAnsi="Garamond"/>
          <w:sz w:val="60"/>
          <w:szCs w:val="60"/>
        </w:rPr>
      </w:pPr>
      <w:r>
        <w:rPr>
          <w:rFonts w:ascii="Garamond" w:hAnsi="Garamond"/>
          <w:sz w:val="60"/>
          <w:szCs w:val="60"/>
        </w:rPr>
        <w:t>Professor Shuang Wang</w:t>
      </w:r>
    </w:p>
    <w:p w14:paraId="0E69E661" w14:textId="463DC096" w:rsidR="007121D5" w:rsidRPr="007121D5" w:rsidRDefault="007121D5" w:rsidP="007121D5">
      <w:pPr>
        <w:jc w:val="center"/>
        <w:rPr>
          <w:rFonts w:ascii="Garamond" w:hAnsi="Garamond"/>
          <w:sz w:val="60"/>
          <w:szCs w:val="60"/>
        </w:rPr>
      </w:pPr>
      <w:r>
        <w:rPr>
          <w:rFonts w:ascii="Garamond" w:hAnsi="Garamond"/>
          <w:sz w:val="60"/>
          <w:szCs w:val="60"/>
        </w:rPr>
        <w:t>May 2, 2025</w:t>
      </w:r>
    </w:p>
    <w:p w14:paraId="75C6243A" w14:textId="77777777" w:rsidR="00A37EF5" w:rsidRDefault="00A37EF5">
      <w:pPr>
        <w:rPr>
          <w:rFonts w:ascii="Garamond" w:hAnsi="Garamond"/>
          <w:b/>
          <w:bCs/>
          <w:sz w:val="28"/>
          <w:szCs w:val="28"/>
          <w:u w:val="single"/>
        </w:rPr>
      </w:pPr>
    </w:p>
    <w:p w14:paraId="453FD8CE" w14:textId="77777777" w:rsidR="00A37EF5" w:rsidRDefault="00A37EF5">
      <w:pPr>
        <w:rPr>
          <w:rFonts w:ascii="Garamond" w:hAnsi="Garamond"/>
          <w:b/>
          <w:bCs/>
          <w:sz w:val="28"/>
          <w:szCs w:val="28"/>
          <w:u w:val="single"/>
        </w:rPr>
      </w:pPr>
    </w:p>
    <w:p w14:paraId="1E19EF3E" w14:textId="77777777" w:rsidR="00A37EF5" w:rsidRDefault="00A37EF5">
      <w:pPr>
        <w:rPr>
          <w:rFonts w:ascii="Garamond" w:hAnsi="Garamond"/>
          <w:b/>
          <w:bCs/>
          <w:sz w:val="28"/>
          <w:szCs w:val="28"/>
          <w:u w:val="single"/>
        </w:rPr>
      </w:pPr>
    </w:p>
    <w:p w14:paraId="4F8213AE" w14:textId="77777777" w:rsidR="00A37EF5" w:rsidRDefault="00A37EF5">
      <w:pPr>
        <w:rPr>
          <w:rFonts w:ascii="Garamond" w:hAnsi="Garamond"/>
          <w:b/>
          <w:bCs/>
          <w:sz w:val="28"/>
          <w:szCs w:val="28"/>
          <w:u w:val="single"/>
        </w:rPr>
      </w:pPr>
    </w:p>
    <w:p w14:paraId="60B6F1D5" w14:textId="77777777" w:rsidR="00A37EF5" w:rsidRDefault="00A37EF5">
      <w:pPr>
        <w:rPr>
          <w:rFonts w:ascii="Garamond" w:hAnsi="Garamond"/>
          <w:b/>
          <w:bCs/>
          <w:sz w:val="28"/>
          <w:szCs w:val="28"/>
          <w:u w:val="single"/>
        </w:rPr>
      </w:pPr>
    </w:p>
    <w:p w14:paraId="72ECA90D" w14:textId="77777777" w:rsidR="00A37EF5" w:rsidRDefault="00A37EF5">
      <w:pPr>
        <w:rPr>
          <w:rFonts w:ascii="Garamond" w:hAnsi="Garamond"/>
          <w:b/>
          <w:bCs/>
          <w:sz w:val="28"/>
          <w:szCs w:val="28"/>
          <w:u w:val="single"/>
        </w:rPr>
      </w:pPr>
    </w:p>
    <w:p w14:paraId="2F4BBCDF" w14:textId="77777777" w:rsidR="00A37EF5" w:rsidRDefault="00A37EF5">
      <w:pPr>
        <w:rPr>
          <w:rFonts w:ascii="Garamond" w:hAnsi="Garamond"/>
          <w:b/>
          <w:bCs/>
          <w:sz w:val="28"/>
          <w:szCs w:val="28"/>
          <w:u w:val="single"/>
        </w:rPr>
      </w:pPr>
    </w:p>
    <w:p w14:paraId="272925F5" w14:textId="77777777" w:rsidR="00A37EF5" w:rsidRDefault="00A37EF5">
      <w:pPr>
        <w:rPr>
          <w:rFonts w:ascii="Garamond" w:hAnsi="Garamond"/>
          <w:b/>
          <w:bCs/>
          <w:sz w:val="28"/>
          <w:szCs w:val="28"/>
          <w:u w:val="single"/>
        </w:rPr>
      </w:pPr>
    </w:p>
    <w:p w14:paraId="11309886" w14:textId="77777777" w:rsidR="00A37EF5" w:rsidRDefault="00A37EF5">
      <w:pPr>
        <w:rPr>
          <w:rFonts w:ascii="Garamond" w:hAnsi="Garamond"/>
          <w:b/>
          <w:bCs/>
          <w:sz w:val="28"/>
          <w:szCs w:val="28"/>
          <w:u w:val="single"/>
        </w:rPr>
      </w:pPr>
    </w:p>
    <w:p w14:paraId="1D9472FA" w14:textId="77777777" w:rsidR="00A37EF5" w:rsidRDefault="00A37EF5">
      <w:pPr>
        <w:rPr>
          <w:rFonts w:ascii="Garamond" w:hAnsi="Garamond"/>
          <w:b/>
          <w:bCs/>
          <w:sz w:val="28"/>
          <w:szCs w:val="28"/>
          <w:u w:val="single"/>
        </w:rPr>
      </w:pPr>
    </w:p>
    <w:p w14:paraId="525B4A35" w14:textId="77777777" w:rsidR="00A37EF5" w:rsidRDefault="00A37EF5">
      <w:pPr>
        <w:rPr>
          <w:rFonts w:ascii="Garamond" w:hAnsi="Garamond"/>
          <w:b/>
          <w:bCs/>
          <w:sz w:val="28"/>
          <w:szCs w:val="28"/>
          <w:u w:val="single"/>
        </w:rPr>
      </w:pPr>
    </w:p>
    <w:p w14:paraId="1B108FC4" w14:textId="630BAF91" w:rsidR="00980469" w:rsidRDefault="00F95402">
      <w:pPr>
        <w:rPr>
          <w:rFonts w:ascii="Garamond" w:hAnsi="Garamond"/>
          <w:b/>
          <w:bCs/>
          <w:sz w:val="22"/>
          <w:szCs w:val="22"/>
          <w:u w:val="single"/>
        </w:rPr>
      </w:pPr>
      <w:r w:rsidRPr="00F95402">
        <w:rPr>
          <w:rFonts w:ascii="Garamond" w:hAnsi="Garamond"/>
          <w:b/>
          <w:bCs/>
          <w:sz w:val="28"/>
          <w:szCs w:val="28"/>
          <w:u w:val="single"/>
        </w:rPr>
        <w:lastRenderedPageBreak/>
        <w:t>Introduction</w:t>
      </w:r>
    </w:p>
    <w:p w14:paraId="18F0ABA7" w14:textId="77777777" w:rsidR="00A37EF5" w:rsidRPr="00A37EF5" w:rsidRDefault="00A37EF5">
      <w:pPr>
        <w:rPr>
          <w:rFonts w:ascii="Garamond" w:hAnsi="Garamond"/>
          <w:b/>
          <w:bCs/>
          <w:sz w:val="22"/>
          <w:szCs w:val="22"/>
          <w:u w:val="single"/>
        </w:rPr>
      </w:pPr>
    </w:p>
    <w:p w14:paraId="12D121C0" w14:textId="07B313A8" w:rsidR="00A86F38" w:rsidRDefault="00A06B23" w:rsidP="00A86F38">
      <w:pPr>
        <w:rPr>
          <w:rFonts w:ascii="Garamond" w:hAnsi="Garamond"/>
          <w:sz w:val="22"/>
          <w:szCs w:val="22"/>
        </w:rPr>
      </w:pPr>
      <w:r>
        <w:rPr>
          <w:rFonts w:ascii="Garamond" w:hAnsi="Garamond"/>
          <w:sz w:val="22"/>
          <w:szCs w:val="22"/>
        </w:rPr>
        <w:t xml:space="preserve">Created </w:t>
      </w:r>
      <w:r w:rsidR="00A86F38" w:rsidRPr="00F95402">
        <w:rPr>
          <w:rFonts w:ascii="Garamond" w:hAnsi="Garamond"/>
          <w:sz w:val="22"/>
          <w:szCs w:val="22"/>
        </w:rPr>
        <w:t xml:space="preserve">in 2005, less than five years after the complete sequencing of the human genome, The Cancer Genome Atlas (TCGA) is a comprehensive database of multi-omic information </w:t>
      </w:r>
      <w:r w:rsidR="00821A62">
        <w:rPr>
          <w:rFonts w:ascii="Garamond" w:hAnsi="Garamond"/>
          <w:sz w:val="22"/>
          <w:szCs w:val="22"/>
        </w:rPr>
        <w:t>synthesized</w:t>
      </w:r>
      <w:r w:rsidR="00A86F38" w:rsidRPr="00F95402">
        <w:rPr>
          <w:rFonts w:ascii="Garamond" w:hAnsi="Garamond"/>
          <w:sz w:val="22"/>
          <w:szCs w:val="22"/>
        </w:rPr>
        <w:t xml:space="preserve"> for the purpose of studying the molecular-level biological mechanisms behind dozens of types of cancer</w:t>
      </w:r>
      <w:r w:rsidR="00A86F38">
        <w:rPr>
          <w:rFonts w:ascii="Garamond" w:hAnsi="Garamond"/>
          <w:sz w:val="22"/>
          <w:szCs w:val="22"/>
        </w:rPr>
        <w:t xml:space="preserve">. </w:t>
      </w:r>
      <w:r w:rsidR="00A86F38" w:rsidRPr="00F95402">
        <w:rPr>
          <w:rFonts w:ascii="Garamond" w:hAnsi="Garamond"/>
          <w:sz w:val="22"/>
          <w:szCs w:val="22"/>
        </w:rPr>
        <w:t>The Cancer Genome Atlas Breast Invasive Carcinoma (TCGA-BRCA) study focuses on breast invasive carcinoma, a subtype of breast cancer</w:t>
      </w:r>
      <w:r w:rsidR="00110390">
        <w:rPr>
          <w:rFonts w:ascii="Garamond" w:hAnsi="Garamond"/>
          <w:sz w:val="22"/>
          <w:szCs w:val="22"/>
        </w:rPr>
        <w:t xml:space="preserve"> in which the cancer has spread from the breast ducts to the surrounding breast tissue</w:t>
      </w:r>
      <w:r w:rsidR="00A86F38" w:rsidRPr="00F95402">
        <w:rPr>
          <w:rFonts w:ascii="Garamond" w:hAnsi="Garamond"/>
          <w:sz w:val="22"/>
          <w:szCs w:val="22"/>
        </w:rPr>
        <w:t>. The study collected a wide variety of data</w:t>
      </w:r>
      <w:r w:rsidR="00306385">
        <w:rPr>
          <w:rFonts w:ascii="Garamond" w:hAnsi="Garamond"/>
          <w:sz w:val="22"/>
          <w:szCs w:val="22"/>
        </w:rPr>
        <w:t xml:space="preserve"> on a total of 1,098 individuals</w:t>
      </w:r>
      <w:r w:rsidR="00A86F38" w:rsidRPr="00F95402">
        <w:rPr>
          <w:rFonts w:ascii="Garamond" w:hAnsi="Garamond"/>
          <w:sz w:val="22"/>
          <w:szCs w:val="22"/>
        </w:rPr>
        <w:t xml:space="preserve">, including but not limited to clinical data (i.e. patients’ age, sex, and medical history), genomic data, transcriptomic data, </w:t>
      </w:r>
      <w:r w:rsidR="00097D60">
        <w:rPr>
          <w:rFonts w:ascii="Garamond" w:hAnsi="Garamond"/>
          <w:sz w:val="22"/>
          <w:szCs w:val="22"/>
        </w:rPr>
        <w:t>and DNA methylation data.</w:t>
      </w:r>
      <w:r w:rsidR="00A16A58">
        <w:rPr>
          <w:rFonts w:ascii="Garamond" w:hAnsi="Garamond"/>
          <w:sz w:val="22"/>
          <w:szCs w:val="22"/>
        </w:rPr>
        <w:t xml:space="preserve"> </w:t>
      </w:r>
    </w:p>
    <w:p w14:paraId="45C09D4F" w14:textId="77777777" w:rsidR="00A37EF5" w:rsidRDefault="00A37EF5" w:rsidP="00A86F38">
      <w:pPr>
        <w:rPr>
          <w:rFonts w:ascii="Garamond" w:hAnsi="Garamond"/>
          <w:sz w:val="22"/>
          <w:szCs w:val="22"/>
        </w:rPr>
      </w:pPr>
    </w:p>
    <w:p w14:paraId="527C3E2F" w14:textId="77777777" w:rsidR="008B6711" w:rsidRDefault="00B71FF0" w:rsidP="008B6711">
      <w:pPr>
        <w:rPr>
          <w:rFonts w:ascii="Garamond" w:hAnsi="Garamond"/>
          <w:sz w:val="22"/>
          <w:szCs w:val="22"/>
        </w:rPr>
      </w:pPr>
      <w:r>
        <w:rPr>
          <w:rFonts w:ascii="Garamond" w:hAnsi="Garamond"/>
          <w:sz w:val="22"/>
          <w:szCs w:val="22"/>
        </w:rPr>
        <w:t>Our scope is limited to DNA methylation data.</w:t>
      </w:r>
      <w:r w:rsidR="008B6711">
        <w:rPr>
          <w:rFonts w:ascii="Garamond" w:hAnsi="Garamond"/>
          <w:sz w:val="22"/>
          <w:szCs w:val="22"/>
        </w:rPr>
        <w:t xml:space="preserve"> DNA is methylated in CpG regions, or sections of DNA where a cytosine nucleotide is directly followed by a guanine nucleotide (the methyl group involved in methylation is attached directly to the cytosine nucleotide). CpG sites are often found in the promoter regions of genes in large clusters known as “CpG islands”.  One common way of quantifying DNA methylation across the genome is by using the beta value, which ranges from 0 to 1. A beta value of 0 represents no methylated DNA, while a beta value of 1 represents fully methylated DNA. Usually, CpG sites in promoter regions with lower beta values are associated with higher gene expression, and vice versa. </w:t>
      </w:r>
    </w:p>
    <w:p w14:paraId="3846B5D7" w14:textId="77777777" w:rsidR="00A37EF5" w:rsidRPr="008661A1" w:rsidRDefault="00A37EF5" w:rsidP="008B6711">
      <w:pPr>
        <w:rPr>
          <w:rFonts w:ascii="Garamond" w:hAnsi="Garamond"/>
          <w:sz w:val="22"/>
          <w:szCs w:val="22"/>
          <w:vertAlign w:val="superscript"/>
        </w:rPr>
      </w:pPr>
    </w:p>
    <w:p w14:paraId="00FF4375" w14:textId="401568B6" w:rsidR="00A86F38" w:rsidRDefault="00564EC2" w:rsidP="00A86F38">
      <w:pPr>
        <w:rPr>
          <w:rFonts w:ascii="Garamond" w:hAnsi="Garamond"/>
          <w:sz w:val="22"/>
          <w:szCs w:val="22"/>
        </w:rPr>
      </w:pPr>
      <w:r>
        <w:rPr>
          <w:rFonts w:ascii="Garamond" w:hAnsi="Garamond"/>
          <w:sz w:val="22"/>
          <w:szCs w:val="22"/>
        </w:rPr>
        <w:t>To conduct our analysis, w</w:t>
      </w:r>
      <w:r w:rsidR="00254DE1">
        <w:rPr>
          <w:rFonts w:ascii="Garamond" w:hAnsi="Garamond"/>
          <w:sz w:val="22"/>
          <w:szCs w:val="22"/>
        </w:rPr>
        <w:t>e used the I</w:t>
      </w:r>
      <w:r w:rsidR="00696E35">
        <w:rPr>
          <w:rFonts w:ascii="Garamond" w:hAnsi="Garamond"/>
          <w:sz w:val="22"/>
          <w:szCs w:val="22"/>
        </w:rPr>
        <w:t>llumina</w:t>
      </w:r>
      <w:r w:rsidR="00254DE1">
        <w:rPr>
          <w:rFonts w:ascii="Garamond" w:hAnsi="Garamond"/>
          <w:sz w:val="22"/>
          <w:szCs w:val="22"/>
        </w:rPr>
        <w:t xml:space="preserve"> </w:t>
      </w:r>
      <w:r w:rsidR="00D86AF5">
        <w:rPr>
          <w:rFonts w:ascii="Garamond" w:hAnsi="Garamond"/>
          <w:sz w:val="22"/>
          <w:szCs w:val="22"/>
        </w:rPr>
        <w:t xml:space="preserve">Infinium </w:t>
      </w:r>
      <w:r w:rsidR="00254DE1">
        <w:rPr>
          <w:rFonts w:ascii="Garamond" w:hAnsi="Garamond"/>
          <w:sz w:val="22"/>
          <w:szCs w:val="22"/>
        </w:rPr>
        <w:t>HumanMethylation27 BeadArray, which contains beta values for over 27,000 CpG sites – nearly 75% of which are on CpG islands – spanning over 14,000 genes. Although there were</w:t>
      </w:r>
      <w:r w:rsidR="00A86F38">
        <w:rPr>
          <w:rFonts w:ascii="Garamond" w:hAnsi="Garamond"/>
          <w:sz w:val="22"/>
          <w:szCs w:val="22"/>
        </w:rPr>
        <w:t xml:space="preserve"> 343 samples for which DNA methylation data </w:t>
      </w:r>
      <w:r w:rsidR="00254DE1">
        <w:rPr>
          <w:rFonts w:ascii="Garamond" w:hAnsi="Garamond"/>
          <w:sz w:val="22"/>
          <w:szCs w:val="22"/>
        </w:rPr>
        <w:t>was</w:t>
      </w:r>
      <w:r w:rsidR="00A86F38">
        <w:rPr>
          <w:rFonts w:ascii="Garamond" w:hAnsi="Garamond"/>
          <w:sz w:val="22"/>
          <w:szCs w:val="22"/>
        </w:rPr>
        <w:t xml:space="preserve"> available</w:t>
      </w:r>
      <w:r w:rsidR="00254DE1">
        <w:rPr>
          <w:rFonts w:ascii="Garamond" w:hAnsi="Garamond"/>
          <w:sz w:val="22"/>
          <w:szCs w:val="22"/>
        </w:rPr>
        <w:t xml:space="preserve">, </w:t>
      </w:r>
      <w:r w:rsidR="00A86F38">
        <w:rPr>
          <w:rFonts w:ascii="Garamond" w:hAnsi="Garamond"/>
          <w:sz w:val="22"/>
          <w:szCs w:val="22"/>
        </w:rPr>
        <w:t>there were only 2</w:t>
      </w:r>
      <w:r w:rsidR="006E0640">
        <w:rPr>
          <w:rFonts w:ascii="Garamond" w:hAnsi="Garamond"/>
          <w:sz w:val="22"/>
          <w:szCs w:val="22"/>
        </w:rPr>
        <w:t>7</w:t>
      </w:r>
      <w:r w:rsidR="00A86F38">
        <w:rPr>
          <w:rFonts w:ascii="Garamond" w:hAnsi="Garamond"/>
          <w:sz w:val="22"/>
          <w:szCs w:val="22"/>
        </w:rPr>
        <w:t xml:space="preserve"> patients for which</w:t>
      </w:r>
      <w:r w:rsidR="006B15F1">
        <w:rPr>
          <w:rFonts w:ascii="Garamond" w:hAnsi="Garamond"/>
          <w:sz w:val="22"/>
          <w:szCs w:val="22"/>
        </w:rPr>
        <w:t xml:space="preserve"> both</w:t>
      </w:r>
      <w:r w:rsidR="006E0640">
        <w:rPr>
          <w:rFonts w:ascii="Garamond" w:hAnsi="Garamond"/>
          <w:sz w:val="22"/>
          <w:szCs w:val="22"/>
        </w:rPr>
        <w:t xml:space="preserve"> primary</w:t>
      </w:r>
      <w:r w:rsidR="00A86F38">
        <w:rPr>
          <w:rFonts w:ascii="Garamond" w:hAnsi="Garamond"/>
          <w:sz w:val="22"/>
          <w:szCs w:val="22"/>
        </w:rPr>
        <w:t xml:space="preserve"> tumor tissue and normal tissue data was available. We therefore used a paired case-control design, in which each of the 2</w:t>
      </w:r>
      <w:r w:rsidR="006E0640">
        <w:rPr>
          <w:rFonts w:ascii="Garamond" w:hAnsi="Garamond"/>
          <w:sz w:val="22"/>
          <w:szCs w:val="22"/>
        </w:rPr>
        <w:t>7</w:t>
      </w:r>
      <w:r w:rsidR="00A86F38">
        <w:rPr>
          <w:rFonts w:ascii="Garamond" w:hAnsi="Garamond"/>
          <w:sz w:val="22"/>
          <w:szCs w:val="22"/>
        </w:rPr>
        <w:t xml:space="preserve"> participants had both a tumor sample and a normal tissue sample. </w:t>
      </w:r>
      <w:r w:rsidR="00E523EC">
        <w:rPr>
          <w:rFonts w:ascii="Garamond" w:hAnsi="Garamond"/>
          <w:sz w:val="22"/>
          <w:szCs w:val="22"/>
        </w:rPr>
        <w:t xml:space="preserve">All 27 of the tumor samples were taken from primary tumors (as opposed to metastatic tumors). </w:t>
      </w:r>
      <w:r w:rsidR="00D906D4">
        <w:rPr>
          <w:rFonts w:ascii="Garamond" w:hAnsi="Garamond"/>
          <w:sz w:val="22"/>
          <w:szCs w:val="22"/>
        </w:rPr>
        <w:t>All 2</w:t>
      </w:r>
      <w:r w:rsidR="006E0640">
        <w:rPr>
          <w:rFonts w:ascii="Garamond" w:hAnsi="Garamond"/>
          <w:sz w:val="22"/>
          <w:szCs w:val="22"/>
        </w:rPr>
        <w:t>7</w:t>
      </w:r>
      <w:r w:rsidR="00D906D4">
        <w:rPr>
          <w:rFonts w:ascii="Garamond" w:hAnsi="Garamond"/>
          <w:sz w:val="22"/>
          <w:szCs w:val="22"/>
        </w:rPr>
        <w:t xml:space="preserve"> of the participants were women, and 2</w:t>
      </w:r>
      <w:r w:rsidR="006E0640">
        <w:rPr>
          <w:rFonts w:ascii="Garamond" w:hAnsi="Garamond"/>
          <w:sz w:val="22"/>
          <w:szCs w:val="22"/>
        </w:rPr>
        <w:t>5</w:t>
      </w:r>
      <w:r w:rsidR="00D906D4">
        <w:rPr>
          <w:rFonts w:ascii="Garamond" w:hAnsi="Garamond"/>
          <w:sz w:val="22"/>
          <w:szCs w:val="22"/>
        </w:rPr>
        <w:t xml:space="preserve"> of them were White (the other 2 were Black). </w:t>
      </w:r>
      <w:r w:rsidR="00E523EC">
        <w:rPr>
          <w:rFonts w:ascii="Garamond" w:hAnsi="Garamond"/>
          <w:sz w:val="22"/>
          <w:szCs w:val="22"/>
        </w:rPr>
        <w:t>T</w:t>
      </w:r>
      <w:r w:rsidR="00D906D4">
        <w:rPr>
          <w:rFonts w:ascii="Garamond" w:hAnsi="Garamond"/>
          <w:sz w:val="22"/>
          <w:szCs w:val="22"/>
        </w:rPr>
        <w:t>he women</w:t>
      </w:r>
      <w:r w:rsidR="00254DE1">
        <w:rPr>
          <w:rFonts w:ascii="Garamond" w:hAnsi="Garamond"/>
          <w:sz w:val="22"/>
          <w:szCs w:val="22"/>
        </w:rPr>
        <w:t xml:space="preserve"> in our analysis</w:t>
      </w:r>
      <w:r w:rsidR="00D906D4">
        <w:rPr>
          <w:rFonts w:ascii="Garamond" w:hAnsi="Garamond"/>
          <w:sz w:val="22"/>
          <w:szCs w:val="22"/>
        </w:rPr>
        <w:t xml:space="preserve"> were initially diagnosed with breast cancer b</w:t>
      </w:r>
      <w:r w:rsidR="00003726">
        <w:rPr>
          <w:rFonts w:ascii="Garamond" w:hAnsi="Garamond"/>
          <w:sz w:val="22"/>
          <w:szCs w:val="22"/>
        </w:rPr>
        <w:t xml:space="preserve">etween 1999 and 2010. </w:t>
      </w:r>
      <w:r w:rsidR="00003726" w:rsidRPr="00F95402">
        <w:rPr>
          <w:rFonts w:ascii="Garamond" w:hAnsi="Garamond"/>
          <w:sz w:val="22"/>
          <w:szCs w:val="22"/>
        </w:rPr>
        <w:t>The patients’ age ranged from 35 to 88, with a mean of 54.1, a median of 50, and a middle 50% range of (43, 64).</w:t>
      </w:r>
      <w:r w:rsidR="00E523EC">
        <w:rPr>
          <w:rFonts w:ascii="Garamond" w:hAnsi="Garamond"/>
          <w:sz w:val="22"/>
          <w:szCs w:val="22"/>
        </w:rPr>
        <w:t xml:space="preserve"> 19 and 21 of the women had progesterone- and estrogen-positive cancers, respectively.</w:t>
      </w:r>
    </w:p>
    <w:p w14:paraId="2F8E9458" w14:textId="77777777" w:rsidR="00A37EF5" w:rsidRDefault="00A37EF5" w:rsidP="00A86F38">
      <w:pPr>
        <w:rPr>
          <w:rFonts w:ascii="Garamond" w:hAnsi="Garamond"/>
          <w:sz w:val="22"/>
          <w:szCs w:val="22"/>
        </w:rPr>
      </w:pPr>
    </w:p>
    <w:p w14:paraId="29FA403C" w14:textId="1064B13A" w:rsidR="004139A3" w:rsidRPr="004139A3" w:rsidRDefault="00444D0A">
      <w:pPr>
        <w:rPr>
          <w:rFonts w:ascii="Garamond" w:hAnsi="Garamond"/>
          <w:sz w:val="22"/>
          <w:szCs w:val="22"/>
        </w:rPr>
      </w:pPr>
      <w:r>
        <w:rPr>
          <w:rFonts w:ascii="Garamond" w:hAnsi="Garamond"/>
          <w:sz w:val="22"/>
          <w:szCs w:val="22"/>
        </w:rPr>
        <w:t>Many past studies have examined the link between DNA methylation and breast cancer. Patients with breast cancer have been observed to have regional hypermethylation and global hypomethylation – that is, more methylation in specific genes that may be associated with cancer, but less methylation elsewhere.</w:t>
      </w:r>
      <w:r>
        <w:rPr>
          <w:rFonts w:ascii="Garamond" w:hAnsi="Garamond"/>
          <w:sz w:val="22"/>
          <w:szCs w:val="22"/>
          <w:vertAlign w:val="superscript"/>
        </w:rPr>
        <w:t>1</w:t>
      </w:r>
      <w:r>
        <w:rPr>
          <w:rFonts w:ascii="Garamond" w:hAnsi="Garamond"/>
          <w:sz w:val="22"/>
          <w:szCs w:val="22"/>
        </w:rPr>
        <w:t xml:space="preserve"> </w:t>
      </w:r>
      <w:r w:rsidR="004139A3">
        <w:rPr>
          <w:rFonts w:ascii="Garamond" w:hAnsi="Garamond"/>
          <w:sz w:val="22"/>
          <w:szCs w:val="22"/>
        </w:rPr>
        <w:t>More recently, the literature has shifted from simply identifying abnormal methylation patterns to identifying specific genes or groups of genes associated with breast cancer and its survival rate.</w:t>
      </w:r>
      <w:r w:rsidR="00300073">
        <w:rPr>
          <w:rFonts w:ascii="Garamond" w:hAnsi="Garamond"/>
          <w:sz w:val="22"/>
          <w:szCs w:val="22"/>
          <w:vertAlign w:val="superscript"/>
        </w:rPr>
        <w:t xml:space="preserve">2 </w:t>
      </w:r>
      <w:r w:rsidR="00300073">
        <w:rPr>
          <w:rFonts w:ascii="Garamond" w:hAnsi="Garamond"/>
          <w:sz w:val="22"/>
          <w:szCs w:val="22"/>
        </w:rPr>
        <w:t xml:space="preserve">Some </w:t>
      </w:r>
      <w:r w:rsidR="0072716B">
        <w:rPr>
          <w:rFonts w:ascii="Garamond" w:hAnsi="Garamond"/>
          <w:sz w:val="22"/>
          <w:szCs w:val="22"/>
        </w:rPr>
        <w:t>studies have isolated genes of interest, such as</w:t>
      </w:r>
      <w:r w:rsidR="00300073">
        <w:rPr>
          <w:rFonts w:ascii="Garamond" w:hAnsi="Garamond"/>
          <w:sz w:val="22"/>
          <w:szCs w:val="22"/>
        </w:rPr>
        <w:t xml:space="preserve"> the</w:t>
      </w:r>
      <w:r w:rsidR="0072716B">
        <w:rPr>
          <w:rFonts w:ascii="Garamond" w:hAnsi="Garamond"/>
          <w:sz w:val="22"/>
          <w:szCs w:val="22"/>
        </w:rPr>
        <w:t xml:space="preserve"> BRCA-1</w:t>
      </w:r>
      <w:r w:rsidR="004139A3">
        <w:rPr>
          <w:rFonts w:ascii="Garamond" w:hAnsi="Garamond"/>
          <w:sz w:val="22"/>
          <w:szCs w:val="22"/>
        </w:rPr>
        <w:t xml:space="preserve"> and BRCA-2</w:t>
      </w:r>
      <w:r w:rsidR="0072716B">
        <w:rPr>
          <w:rFonts w:ascii="Garamond" w:hAnsi="Garamond"/>
          <w:sz w:val="22"/>
          <w:szCs w:val="22"/>
        </w:rPr>
        <w:t xml:space="preserve"> gene</w:t>
      </w:r>
      <w:r w:rsidR="004139A3">
        <w:rPr>
          <w:rFonts w:ascii="Garamond" w:hAnsi="Garamond"/>
          <w:sz w:val="22"/>
          <w:szCs w:val="22"/>
        </w:rPr>
        <w:t>s</w:t>
      </w:r>
      <w:r w:rsidR="0072716B">
        <w:rPr>
          <w:rFonts w:ascii="Garamond" w:hAnsi="Garamond"/>
          <w:sz w:val="22"/>
          <w:szCs w:val="22"/>
        </w:rPr>
        <w:t>, for which hypermethylation has been linked with</w:t>
      </w:r>
      <w:r w:rsidR="00300073">
        <w:rPr>
          <w:rFonts w:ascii="Garamond" w:hAnsi="Garamond"/>
          <w:sz w:val="22"/>
          <w:szCs w:val="22"/>
        </w:rPr>
        <w:t xml:space="preserve"> both downregulation and</w:t>
      </w:r>
      <w:r w:rsidR="0072716B">
        <w:rPr>
          <w:rFonts w:ascii="Garamond" w:hAnsi="Garamond"/>
          <w:sz w:val="22"/>
          <w:szCs w:val="22"/>
        </w:rPr>
        <w:t xml:space="preserve"> breast cancer.</w:t>
      </w:r>
      <w:r w:rsidR="00300073">
        <w:rPr>
          <w:rFonts w:ascii="Garamond" w:hAnsi="Garamond"/>
          <w:sz w:val="22"/>
          <w:szCs w:val="22"/>
          <w:vertAlign w:val="superscript"/>
        </w:rPr>
        <w:t>3,4</w:t>
      </w:r>
      <w:r w:rsidR="0072716B">
        <w:rPr>
          <w:rFonts w:ascii="Garamond" w:hAnsi="Garamond"/>
          <w:sz w:val="22"/>
          <w:szCs w:val="22"/>
        </w:rPr>
        <w:t xml:space="preserve"> </w:t>
      </w:r>
    </w:p>
    <w:p w14:paraId="53957941" w14:textId="77777777" w:rsidR="00A37EF5" w:rsidRDefault="00A37EF5">
      <w:pPr>
        <w:rPr>
          <w:rFonts w:ascii="Garamond" w:hAnsi="Garamond"/>
          <w:sz w:val="22"/>
          <w:szCs w:val="22"/>
        </w:rPr>
      </w:pPr>
    </w:p>
    <w:p w14:paraId="60A40EA8" w14:textId="15A237CD" w:rsidR="005E6B8F" w:rsidRDefault="006B15F1">
      <w:pPr>
        <w:rPr>
          <w:rFonts w:ascii="Garamond" w:hAnsi="Garamond"/>
          <w:sz w:val="22"/>
          <w:szCs w:val="22"/>
        </w:rPr>
      </w:pPr>
      <w:r>
        <w:rPr>
          <w:rFonts w:ascii="Garamond" w:hAnsi="Garamond"/>
          <w:sz w:val="22"/>
          <w:szCs w:val="22"/>
        </w:rPr>
        <w:t xml:space="preserve">The aim of our project </w:t>
      </w:r>
      <w:r w:rsidR="00393053">
        <w:rPr>
          <w:rFonts w:ascii="Garamond" w:hAnsi="Garamond"/>
          <w:sz w:val="22"/>
          <w:szCs w:val="22"/>
        </w:rPr>
        <w:t>was</w:t>
      </w:r>
      <w:r>
        <w:rPr>
          <w:rFonts w:ascii="Garamond" w:hAnsi="Garamond"/>
          <w:sz w:val="22"/>
          <w:szCs w:val="22"/>
        </w:rPr>
        <w:t xml:space="preserve"> to determine whether CpG sites have different methylation patterns in samples taken from tumor tissues compared to adjacent normal tissues</w:t>
      </w:r>
      <w:r w:rsidR="00E523EC">
        <w:rPr>
          <w:rFonts w:ascii="Garamond" w:hAnsi="Garamond"/>
          <w:sz w:val="22"/>
          <w:szCs w:val="22"/>
        </w:rPr>
        <w:t>, and to identify the CpG site(s) most significantly associated with breast cancer</w:t>
      </w:r>
      <w:r>
        <w:rPr>
          <w:rFonts w:ascii="Garamond" w:hAnsi="Garamond"/>
          <w:sz w:val="22"/>
          <w:szCs w:val="22"/>
        </w:rPr>
        <w:t xml:space="preserve">. </w:t>
      </w:r>
      <w:r w:rsidR="00E523EC">
        <w:rPr>
          <w:rFonts w:ascii="Garamond" w:hAnsi="Garamond"/>
          <w:sz w:val="22"/>
          <w:szCs w:val="22"/>
        </w:rPr>
        <w:t>We additionally sought to make conclusions about whether the most important CpG sites</w:t>
      </w:r>
      <w:r w:rsidR="00300073">
        <w:rPr>
          <w:rFonts w:ascii="Garamond" w:hAnsi="Garamond"/>
          <w:sz w:val="22"/>
          <w:szCs w:val="22"/>
        </w:rPr>
        <w:t xml:space="preserve"> have similar location patterns – namely, whether they are on CpG islands,</w:t>
      </w:r>
      <w:r w:rsidR="00E523EC">
        <w:rPr>
          <w:rFonts w:ascii="Garamond" w:hAnsi="Garamond"/>
          <w:sz w:val="22"/>
          <w:szCs w:val="22"/>
        </w:rPr>
        <w:t xml:space="preserve"> are </w:t>
      </w:r>
      <w:r w:rsidR="00300073">
        <w:rPr>
          <w:rFonts w:ascii="Garamond" w:hAnsi="Garamond"/>
          <w:sz w:val="22"/>
          <w:szCs w:val="22"/>
        </w:rPr>
        <w:t xml:space="preserve">found on the same chromosome, </w:t>
      </w:r>
      <w:r w:rsidR="00E523EC">
        <w:rPr>
          <w:rFonts w:ascii="Garamond" w:hAnsi="Garamond"/>
          <w:sz w:val="22"/>
          <w:szCs w:val="22"/>
        </w:rPr>
        <w:t xml:space="preserve">or are connected via a biological pathway. </w:t>
      </w:r>
    </w:p>
    <w:p w14:paraId="76C7D22E" w14:textId="77777777" w:rsidR="000D5BE5" w:rsidRDefault="000D5BE5">
      <w:pPr>
        <w:rPr>
          <w:rFonts w:ascii="Garamond" w:hAnsi="Garamond"/>
          <w:sz w:val="22"/>
          <w:szCs w:val="22"/>
        </w:rPr>
      </w:pPr>
    </w:p>
    <w:p w14:paraId="5A0A9161" w14:textId="77777777" w:rsidR="000D5BE5" w:rsidRDefault="000D5BE5">
      <w:pPr>
        <w:rPr>
          <w:rFonts w:ascii="Garamond" w:hAnsi="Garamond"/>
          <w:sz w:val="22"/>
          <w:szCs w:val="22"/>
        </w:rPr>
      </w:pPr>
    </w:p>
    <w:p w14:paraId="1488FA6C" w14:textId="77777777" w:rsidR="00E523EC" w:rsidRDefault="00E523EC">
      <w:pPr>
        <w:rPr>
          <w:rFonts w:ascii="Garamond" w:hAnsi="Garamond"/>
          <w:sz w:val="22"/>
          <w:szCs w:val="22"/>
        </w:rPr>
      </w:pPr>
    </w:p>
    <w:p w14:paraId="008CC8FF" w14:textId="77777777" w:rsidR="00A37EF5" w:rsidRDefault="00A37EF5">
      <w:pPr>
        <w:rPr>
          <w:rFonts w:ascii="Garamond" w:hAnsi="Garamond"/>
          <w:b/>
          <w:bCs/>
          <w:sz w:val="28"/>
          <w:szCs w:val="28"/>
          <w:u w:val="single"/>
        </w:rPr>
      </w:pPr>
    </w:p>
    <w:p w14:paraId="2304229F" w14:textId="77777777" w:rsidR="00A37EF5" w:rsidRDefault="00A37EF5">
      <w:pPr>
        <w:rPr>
          <w:rFonts w:ascii="Garamond" w:hAnsi="Garamond"/>
          <w:b/>
          <w:bCs/>
          <w:sz w:val="28"/>
          <w:szCs w:val="28"/>
          <w:u w:val="single"/>
        </w:rPr>
      </w:pPr>
    </w:p>
    <w:p w14:paraId="50A495E4" w14:textId="77777777" w:rsidR="00A37EF5" w:rsidRDefault="00A37EF5">
      <w:pPr>
        <w:rPr>
          <w:rFonts w:ascii="Garamond" w:hAnsi="Garamond"/>
          <w:b/>
          <w:bCs/>
          <w:sz w:val="28"/>
          <w:szCs w:val="28"/>
          <w:u w:val="single"/>
        </w:rPr>
      </w:pPr>
    </w:p>
    <w:p w14:paraId="346F62D6" w14:textId="77777777" w:rsidR="00300073" w:rsidRDefault="00300073">
      <w:pPr>
        <w:rPr>
          <w:rFonts w:ascii="Garamond" w:hAnsi="Garamond"/>
          <w:b/>
          <w:bCs/>
          <w:sz w:val="28"/>
          <w:szCs w:val="28"/>
          <w:u w:val="single"/>
        </w:rPr>
      </w:pPr>
    </w:p>
    <w:p w14:paraId="7275BCEE" w14:textId="0B436B13" w:rsidR="00F95402" w:rsidRDefault="00F95402">
      <w:pPr>
        <w:rPr>
          <w:rFonts w:ascii="Garamond" w:hAnsi="Garamond"/>
          <w:b/>
          <w:bCs/>
          <w:sz w:val="28"/>
          <w:szCs w:val="28"/>
          <w:u w:val="single"/>
        </w:rPr>
      </w:pPr>
      <w:r>
        <w:rPr>
          <w:rFonts w:ascii="Garamond" w:hAnsi="Garamond"/>
          <w:b/>
          <w:bCs/>
          <w:sz w:val="28"/>
          <w:szCs w:val="28"/>
          <w:u w:val="single"/>
        </w:rPr>
        <w:lastRenderedPageBreak/>
        <w:t>Methods</w:t>
      </w:r>
    </w:p>
    <w:p w14:paraId="47B82067" w14:textId="77777777" w:rsidR="00A37EF5" w:rsidRPr="00A37EF5" w:rsidRDefault="00A37EF5">
      <w:pPr>
        <w:rPr>
          <w:rFonts w:ascii="Garamond" w:hAnsi="Garamond"/>
          <w:b/>
          <w:bCs/>
          <w:sz w:val="22"/>
          <w:szCs w:val="22"/>
          <w:u w:val="single"/>
        </w:rPr>
      </w:pPr>
    </w:p>
    <w:p w14:paraId="6C02B6BD" w14:textId="492FF69F" w:rsidR="00860904" w:rsidRDefault="00860904">
      <w:pPr>
        <w:rPr>
          <w:rFonts w:ascii="Garamond" w:hAnsi="Garamond"/>
          <w:b/>
          <w:bCs/>
          <w:sz w:val="22"/>
          <w:szCs w:val="22"/>
          <w:u w:val="single"/>
        </w:rPr>
      </w:pPr>
      <w:r>
        <w:rPr>
          <w:rFonts w:ascii="Garamond" w:hAnsi="Garamond"/>
          <w:b/>
          <w:bCs/>
          <w:sz w:val="22"/>
          <w:szCs w:val="22"/>
          <w:u w:val="single"/>
        </w:rPr>
        <w:t>Data Preparation</w:t>
      </w:r>
    </w:p>
    <w:p w14:paraId="46E894B3" w14:textId="77777777" w:rsidR="00A37EF5" w:rsidRPr="00860904" w:rsidRDefault="00A37EF5">
      <w:pPr>
        <w:rPr>
          <w:rFonts w:ascii="Garamond" w:hAnsi="Garamond"/>
          <w:sz w:val="22"/>
          <w:szCs w:val="22"/>
        </w:rPr>
      </w:pPr>
    </w:p>
    <w:p w14:paraId="42DB882B" w14:textId="12014F66" w:rsidR="00910E8C" w:rsidRDefault="00860904">
      <w:pPr>
        <w:rPr>
          <w:rFonts w:ascii="Garamond" w:hAnsi="Garamond"/>
          <w:sz w:val="22"/>
          <w:szCs w:val="22"/>
        </w:rPr>
      </w:pPr>
      <w:r>
        <w:rPr>
          <w:rFonts w:ascii="Garamond" w:hAnsi="Garamond"/>
          <w:sz w:val="22"/>
          <w:szCs w:val="22"/>
        </w:rPr>
        <w:t xml:space="preserve">All of our data, including patient characteristics and CpG site beta values, came from the TCGA database. We obtained our data using the </w:t>
      </w:r>
      <w:r w:rsidR="009D7F95">
        <w:rPr>
          <w:rFonts w:ascii="Garamond" w:hAnsi="Garamond"/>
          <w:sz w:val="22"/>
          <w:szCs w:val="22"/>
        </w:rPr>
        <w:t xml:space="preserve">Bioconductor </w:t>
      </w:r>
      <w:r>
        <w:rPr>
          <w:rFonts w:ascii="Garamond" w:hAnsi="Garamond"/>
          <w:sz w:val="22"/>
          <w:szCs w:val="22"/>
        </w:rPr>
        <w:t>package in R, select</w:t>
      </w:r>
      <w:r w:rsidR="007576DB">
        <w:rPr>
          <w:rFonts w:ascii="Garamond" w:hAnsi="Garamond"/>
          <w:sz w:val="22"/>
          <w:szCs w:val="22"/>
        </w:rPr>
        <w:t>ing</w:t>
      </w:r>
      <w:r>
        <w:rPr>
          <w:rFonts w:ascii="Garamond" w:hAnsi="Garamond"/>
          <w:sz w:val="22"/>
          <w:szCs w:val="22"/>
        </w:rPr>
        <w:t xml:space="preserve"> only the patients for which 1) DNA methylation data was available and 2) data was present for both tumor tissue and normal tissue, and connected their clinical and DNA methylation characteristics </w:t>
      </w:r>
      <w:r w:rsidR="00DA7FC2">
        <w:rPr>
          <w:rFonts w:ascii="Garamond" w:hAnsi="Garamond"/>
          <w:sz w:val="22"/>
          <w:szCs w:val="22"/>
        </w:rPr>
        <w:t>using their unique patient barcodes.</w:t>
      </w:r>
      <w:r w:rsidR="002464E8">
        <w:rPr>
          <w:rFonts w:ascii="Garamond" w:hAnsi="Garamond"/>
          <w:sz w:val="22"/>
          <w:szCs w:val="22"/>
        </w:rPr>
        <w:t xml:space="preserve"> While the Illumina Human Methylation platform contained information on a total of 27,578 CpG sites,</w:t>
      </w:r>
      <w:r w:rsidR="00B06517">
        <w:rPr>
          <w:rFonts w:ascii="Garamond" w:hAnsi="Garamond"/>
          <w:sz w:val="22"/>
          <w:szCs w:val="22"/>
        </w:rPr>
        <w:t xml:space="preserve"> </w:t>
      </w:r>
      <w:r w:rsidR="002F78D7">
        <w:rPr>
          <w:rFonts w:ascii="Garamond" w:hAnsi="Garamond"/>
          <w:sz w:val="22"/>
          <w:szCs w:val="22"/>
        </w:rPr>
        <w:t xml:space="preserve">about 15% </w:t>
      </w:r>
      <w:r w:rsidR="00B06517">
        <w:rPr>
          <w:rFonts w:ascii="Garamond" w:hAnsi="Garamond"/>
          <w:sz w:val="22"/>
          <w:szCs w:val="22"/>
        </w:rPr>
        <w:t xml:space="preserve">of the CpG sites had </w:t>
      </w:r>
      <w:r w:rsidR="002F78D7">
        <w:rPr>
          <w:rFonts w:ascii="Garamond" w:hAnsi="Garamond"/>
          <w:sz w:val="22"/>
          <w:szCs w:val="22"/>
        </w:rPr>
        <w:t>at least some missing data</w:t>
      </w:r>
      <w:r w:rsidR="002464E8">
        <w:rPr>
          <w:rFonts w:ascii="Garamond" w:hAnsi="Garamond"/>
          <w:sz w:val="22"/>
          <w:szCs w:val="22"/>
        </w:rPr>
        <w:t>. Due to concerns about the impact of missing data on our analysis, we decided to keep only the</w:t>
      </w:r>
      <w:r w:rsidR="00B06517">
        <w:rPr>
          <w:rFonts w:ascii="Garamond" w:hAnsi="Garamond"/>
          <w:sz w:val="22"/>
          <w:szCs w:val="22"/>
        </w:rPr>
        <w:t xml:space="preserve"> </w:t>
      </w:r>
      <w:r w:rsidR="007B0464">
        <w:rPr>
          <w:rFonts w:ascii="Garamond" w:hAnsi="Garamond"/>
          <w:sz w:val="22"/>
          <w:szCs w:val="22"/>
        </w:rPr>
        <w:t xml:space="preserve">23,120 </w:t>
      </w:r>
      <w:r w:rsidR="002464E8">
        <w:rPr>
          <w:rFonts w:ascii="Garamond" w:hAnsi="Garamond"/>
          <w:sz w:val="22"/>
          <w:szCs w:val="22"/>
        </w:rPr>
        <w:t xml:space="preserve">CpG sites for which beta values were available for </w:t>
      </w:r>
      <w:r w:rsidR="002F78D7">
        <w:rPr>
          <w:rFonts w:ascii="Garamond" w:hAnsi="Garamond"/>
          <w:sz w:val="22"/>
          <w:szCs w:val="22"/>
        </w:rPr>
        <w:t>all data</w:t>
      </w:r>
      <w:r w:rsidR="002464E8">
        <w:rPr>
          <w:rFonts w:ascii="Garamond" w:hAnsi="Garamond"/>
          <w:sz w:val="22"/>
          <w:szCs w:val="22"/>
        </w:rPr>
        <w:t>.</w:t>
      </w:r>
      <w:r w:rsidR="00910E8C">
        <w:rPr>
          <w:rFonts w:ascii="Garamond" w:hAnsi="Garamond"/>
          <w:sz w:val="22"/>
          <w:szCs w:val="22"/>
        </w:rPr>
        <w:t xml:space="preserve"> We also included several important covariates that we thought could be strongly associated with tissue type: age, race, the type of surgical procedure done (if any), progesterone receptor status, and estrogen receptor status.</w:t>
      </w:r>
    </w:p>
    <w:p w14:paraId="2A44C338" w14:textId="77777777" w:rsidR="00A37EF5" w:rsidRDefault="00A37EF5">
      <w:pPr>
        <w:rPr>
          <w:rFonts w:ascii="Garamond" w:hAnsi="Garamond"/>
          <w:sz w:val="22"/>
          <w:szCs w:val="22"/>
        </w:rPr>
      </w:pPr>
    </w:p>
    <w:p w14:paraId="631D1CCD" w14:textId="1F8C1BF9" w:rsidR="002F78D7" w:rsidRPr="002F78D7" w:rsidRDefault="002F78D7">
      <w:pPr>
        <w:rPr>
          <w:rFonts w:ascii="Garamond" w:hAnsi="Garamond"/>
          <w:sz w:val="22"/>
          <w:szCs w:val="22"/>
        </w:rPr>
      </w:pPr>
      <w:r>
        <w:rPr>
          <w:rFonts w:ascii="Garamond" w:hAnsi="Garamond"/>
          <w:sz w:val="22"/>
          <w:szCs w:val="22"/>
        </w:rPr>
        <w:t xml:space="preserve">For our regression analysis, we transformed the beta values into M-values, where M = </w:t>
      </w:r>
      <w:r w:rsidRPr="004A26A9">
        <w:rPr>
          <w:rFonts w:ascii="Garamond" w:hAnsi="Garamond"/>
          <w:sz w:val="22"/>
          <w:szCs w:val="22"/>
        </w:rPr>
        <w:t>log</w:t>
      </w:r>
      <w:r w:rsidRPr="004A26A9">
        <w:rPr>
          <w:rFonts w:ascii="Garamond" w:hAnsi="Garamond"/>
          <w:sz w:val="22"/>
          <w:szCs w:val="22"/>
          <w:vertAlign w:val="subscript"/>
        </w:rPr>
        <w:t>2</w:t>
      </w:r>
      <w:r w:rsidRPr="004A26A9">
        <w:rPr>
          <w:rFonts w:ascii="Garamond" w:hAnsi="Garamond"/>
          <w:sz w:val="22"/>
          <w:szCs w:val="22"/>
        </w:rPr>
        <w:t>(β/1 - β)</w:t>
      </w:r>
      <w:r>
        <w:rPr>
          <w:rFonts w:ascii="Garamond" w:hAnsi="Garamond"/>
          <w:sz w:val="22"/>
          <w:szCs w:val="22"/>
        </w:rPr>
        <w:t xml:space="preserve">, for two key reasons: first, to stabilize variances, especially near the extremes (i.e. </w:t>
      </w:r>
      <w:r w:rsidRPr="004A26A9">
        <w:rPr>
          <w:rFonts w:ascii="Garamond" w:hAnsi="Garamond"/>
          <w:sz w:val="22"/>
          <w:szCs w:val="22"/>
        </w:rPr>
        <w:t>β</w:t>
      </w:r>
      <w:r>
        <w:rPr>
          <w:rFonts w:ascii="Garamond" w:hAnsi="Garamond"/>
          <w:sz w:val="22"/>
          <w:szCs w:val="22"/>
        </w:rPr>
        <w:t xml:space="preserve"> = 0 or </w:t>
      </w:r>
      <w:r w:rsidRPr="004A26A9">
        <w:rPr>
          <w:rFonts w:ascii="Garamond" w:hAnsi="Garamond"/>
          <w:sz w:val="22"/>
          <w:szCs w:val="22"/>
        </w:rPr>
        <w:t>β</w:t>
      </w:r>
      <w:r>
        <w:rPr>
          <w:rFonts w:ascii="Garamond" w:hAnsi="Garamond"/>
          <w:sz w:val="22"/>
          <w:szCs w:val="22"/>
        </w:rPr>
        <w:t xml:space="preserve"> = 1), and second, to make the predictor variables more Normally distributed, as the assumptions of regression are best satisfied when explanatory variables approximately follow a Normal distribution. For some visuals, such as Figure 1, we decided to present beta values for the sake of interpretability, while for others, such as Figure 2, we used M-values in order to explain other key characteristics of the visual (such as the biological significance of log</w:t>
      </w:r>
      <w:r>
        <w:rPr>
          <w:rFonts w:ascii="Garamond" w:hAnsi="Garamond"/>
          <w:sz w:val="22"/>
          <w:szCs w:val="22"/>
          <w:vertAlign w:val="subscript"/>
        </w:rPr>
        <w:t>2</w:t>
      </w:r>
      <w:r>
        <w:rPr>
          <w:rFonts w:ascii="Garamond" w:hAnsi="Garamond"/>
          <w:sz w:val="22"/>
          <w:szCs w:val="22"/>
        </w:rPr>
        <w:t xml:space="preserve"> fold change).</w:t>
      </w:r>
      <w:r w:rsidR="00373DAF">
        <w:rPr>
          <w:rFonts w:ascii="Garamond" w:hAnsi="Garamond"/>
          <w:sz w:val="22"/>
          <w:szCs w:val="22"/>
        </w:rPr>
        <w:t xml:space="preserve"> </w:t>
      </w:r>
    </w:p>
    <w:p w14:paraId="4F61664C" w14:textId="77777777" w:rsidR="002F78D7" w:rsidRPr="00860904" w:rsidRDefault="002F78D7">
      <w:pPr>
        <w:rPr>
          <w:rFonts w:ascii="Garamond" w:hAnsi="Garamond"/>
          <w:sz w:val="22"/>
          <w:szCs w:val="22"/>
        </w:rPr>
      </w:pPr>
    </w:p>
    <w:p w14:paraId="2B61BA20" w14:textId="3F2960AE" w:rsidR="000D5BE5" w:rsidRDefault="006F7DAE">
      <w:pPr>
        <w:rPr>
          <w:rFonts w:ascii="Garamond" w:hAnsi="Garamond"/>
          <w:b/>
          <w:bCs/>
          <w:sz w:val="22"/>
          <w:szCs w:val="22"/>
          <w:u w:val="single"/>
        </w:rPr>
      </w:pPr>
      <w:r>
        <w:rPr>
          <w:rFonts w:ascii="Garamond" w:hAnsi="Garamond"/>
          <w:b/>
          <w:bCs/>
          <w:sz w:val="22"/>
          <w:szCs w:val="22"/>
          <w:u w:val="single"/>
        </w:rPr>
        <w:t>Exploratory Data Analysis</w:t>
      </w:r>
    </w:p>
    <w:p w14:paraId="068F64CE" w14:textId="77777777" w:rsidR="00A37EF5" w:rsidRDefault="00A37EF5">
      <w:pPr>
        <w:rPr>
          <w:rFonts w:ascii="Garamond" w:hAnsi="Garamond"/>
          <w:sz w:val="22"/>
          <w:szCs w:val="22"/>
        </w:rPr>
      </w:pPr>
    </w:p>
    <w:p w14:paraId="0A65D23C" w14:textId="0B4FF7AF" w:rsidR="006F7DAE" w:rsidRDefault="006F7DAE">
      <w:pPr>
        <w:rPr>
          <w:rFonts w:ascii="Garamond" w:hAnsi="Garamond"/>
          <w:sz w:val="22"/>
          <w:szCs w:val="22"/>
        </w:rPr>
      </w:pPr>
      <w:r>
        <w:rPr>
          <w:rFonts w:ascii="Garamond" w:hAnsi="Garamond"/>
          <w:sz w:val="22"/>
          <w:szCs w:val="22"/>
        </w:rPr>
        <w:t xml:space="preserve">Before </w:t>
      </w:r>
      <w:r w:rsidR="0026070E">
        <w:rPr>
          <w:rFonts w:ascii="Garamond" w:hAnsi="Garamond"/>
          <w:sz w:val="22"/>
          <w:szCs w:val="22"/>
        </w:rPr>
        <w:t>conducting our full analysis, we analyzed the distributions of beta values across all CpG sites for both tumor and normal tissues.</w:t>
      </w:r>
      <w:r w:rsidR="00E706BA">
        <w:rPr>
          <w:rFonts w:ascii="Garamond" w:hAnsi="Garamond"/>
          <w:sz w:val="22"/>
          <w:szCs w:val="22"/>
        </w:rPr>
        <w:t xml:space="preserve"> We also created a volcano plot that examined whether, and to what degree, certain CpG sites were either hypomethylated or hypermethylated in tumor tissue compared to normal tissue</w:t>
      </w:r>
      <w:r w:rsidR="00391E2A">
        <w:rPr>
          <w:rFonts w:ascii="Garamond" w:hAnsi="Garamond"/>
          <w:sz w:val="22"/>
          <w:szCs w:val="22"/>
        </w:rPr>
        <w:t>, and classified points that had both a false discovery rate-adjusted P-value less than 0.05 and a log</w:t>
      </w:r>
      <w:r w:rsidR="00391E2A">
        <w:rPr>
          <w:rFonts w:ascii="Garamond" w:hAnsi="Garamond"/>
          <w:sz w:val="22"/>
          <w:szCs w:val="22"/>
          <w:vertAlign w:val="subscript"/>
        </w:rPr>
        <w:t>2</w:t>
      </w:r>
      <w:r w:rsidR="00391E2A">
        <w:rPr>
          <w:rFonts w:ascii="Garamond" w:hAnsi="Garamond"/>
          <w:sz w:val="22"/>
          <w:szCs w:val="22"/>
        </w:rPr>
        <w:t xml:space="preserve"> fold change either less than -2 (corresponding to hypomethylation) or greater than 2 (corresponding to hypermethylation)</w:t>
      </w:r>
      <w:r w:rsidR="00E706BA">
        <w:rPr>
          <w:rFonts w:ascii="Garamond" w:hAnsi="Garamond"/>
          <w:sz w:val="22"/>
          <w:szCs w:val="22"/>
        </w:rPr>
        <w:t xml:space="preserve">. </w:t>
      </w:r>
      <w:r w:rsidR="00464462">
        <w:rPr>
          <w:rFonts w:ascii="Garamond" w:hAnsi="Garamond"/>
          <w:sz w:val="22"/>
          <w:szCs w:val="22"/>
        </w:rPr>
        <w:t>Though different log</w:t>
      </w:r>
      <w:r w:rsidR="00464462">
        <w:rPr>
          <w:rFonts w:ascii="Garamond" w:hAnsi="Garamond"/>
          <w:sz w:val="22"/>
          <w:szCs w:val="22"/>
          <w:vertAlign w:val="subscript"/>
        </w:rPr>
        <w:t>2</w:t>
      </w:r>
      <w:r w:rsidR="00464462">
        <w:rPr>
          <w:rFonts w:ascii="Garamond" w:hAnsi="Garamond"/>
          <w:sz w:val="22"/>
          <w:szCs w:val="22"/>
        </w:rPr>
        <w:t xml:space="preserve"> fold change thresholds are often used by bioinformaticians, we chose a cutoff of 2 (among the highest cutoffs frequently found in the literature) in order to isolate a small fraction of the CpG sites used for our analysis.</w:t>
      </w:r>
      <w:r w:rsidR="00464462">
        <w:rPr>
          <w:rFonts w:ascii="Garamond" w:hAnsi="Garamond"/>
          <w:sz w:val="22"/>
          <w:szCs w:val="22"/>
          <w:vertAlign w:val="superscript"/>
        </w:rPr>
        <w:t>5</w:t>
      </w:r>
      <w:r w:rsidR="00464462">
        <w:rPr>
          <w:rFonts w:ascii="Garamond" w:hAnsi="Garamond"/>
          <w:sz w:val="22"/>
          <w:szCs w:val="22"/>
        </w:rPr>
        <w:t xml:space="preserve"> </w:t>
      </w:r>
      <w:r w:rsidR="00E706BA">
        <w:rPr>
          <w:rFonts w:ascii="Garamond" w:hAnsi="Garamond"/>
          <w:sz w:val="22"/>
          <w:szCs w:val="22"/>
        </w:rPr>
        <w:t xml:space="preserve">Finally, we used principal component analysis in order to </w:t>
      </w:r>
      <w:r w:rsidR="00020B6D">
        <w:rPr>
          <w:rFonts w:ascii="Garamond" w:hAnsi="Garamond"/>
          <w:sz w:val="22"/>
          <w:szCs w:val="22"/>
        </w:rPr>
        <w:t xml:space="preserve">determine whether there were </w:t>
      </w:r>
      <w:r w:rsidR="00E706BA">
        <w:rPr>
          <w:rFonts w:ascii="Garamond" w:hAnsi="Garamond"/>
          <w:sz w:val="22"/>
          <w:szCs w:val="22"/>
        </w:rPr>
        <w:t>clear separations between tumor tissue and normal tissue</w:t>
      </w:r>
      <w:r w:rsidR="00020B6D">
        <w:rPr>
          <w:rFonts w:ascii="Garamond" w:hAnsi="Garamond"/>
          <w:sz w:val="22"/>
          <w:szCs w:val="22"/>
        </w:rPr>
        <w:t xml:space="preserve"> based on the first two principal components</w:t>
      </w:r>
      <w:r w:rsidR="00E706BA">
        <w:rPr>
          <w:rFonts w:ascii="Garamond" w:hAnsi="Garamond"/>
          <w:sz w:val="22"/>
          <w:szCs w:val="22"/>
        </w:rPr>
        <w:t>.</w:t>
      </w:r>
    </w:p>
    <w:p w14:paraId="137AC049" w14:textId="77777777" w:rsidR="00A37EF5" w:rsidRDefault="00A37EF5">
      <w:pPr>
        <w:rPr>
          <w:rFonts w:ascii="Garamond" w:hAnsi="Garamond"/>
          <w:sz w:val="22"/>
          <w:szCs w:val="22"/>
        </w:rPr>
      </w:pPr>
    </w:p>
    <w:p w14:paraId="06C62187" w14:textId="2D00600D" w:rsidR="006F7DAE" w:rsidRDefault="006F7DAE">
      <w:pPr>
        <w:rPr>
          <w:rFonts w:ascii="Garamond" w:hAnsi="Garamond"/>
          <w:b/>
          <w:bCs/>
          <w:sz w:val="22"/>
          <w:szCs w:val="22"/>
          <w:u w:val="single"/>
        </w:rPr>
      </w:pPr>
      <w:r>
        <w:rPr>
          <w:rFonts w:ascii="Garamond" w:hAnsi="Garamond"/>
          <w:b/>
          <w:bCs/>
          <w:sz w:val="22"/>
          <w:szCs w:val="22"/>
          <w:u w:val="single"/>
        </w:rPr>
        <w:t>Regression Analysis</w:t>
      </w:r>
    </w:p>
    <w:p w14:paraId="3F2A72F2" w14:textId="77777777" w:rsidR="00E706BA" w:rsidRDefault="00E706BA">
      <w:pPr>
        <w:rPr>
          <w:rFonts w:ascii="Garamond" w:hAnsi="Garamond"/>
          <w:sz w:val="22"/>
          <w:szCs w:val="22"/>
        </w:rPr>
      </w:pPr>
    </w:p>
    <w:p w14:paraId="10A6BCC7" w14:textId="1E8165CE" w:rsidR="009F5B21" w:rsidRPr="00E706BA" w:rsidRDefault="009F5B21">
      <w:pPr>
        <w:rPr>
          <w:rFonts w:ascii="Garamond" w:hAnsi="Garamond"/>
          <w:sz w:val="22"/>
          <w:szCs w:val="22"/>
        </w:rPr>
      </w:pPr>
      <w:r w:rsidRPr="00E706BA">
        <w:rPr>
          <w:rFonts w:ascii="Garamond" w:hAnsi="Garamond"/>
          <w:sz w:val="22"/>
          <w:szCs w:val="22"/>
        </w:rPr>
        <w:t>Since there were over 2</w:t>
      </w:r>
      <w:r w:rsidR="00E706BA" w:rsidRPr="00E706BA">
        <w:rPr>
          <w:rFonts w:ascii="Garamond" w:hAnsi="Garamond"/>
          <w:sz w:val="22"/>
          <w:szCs w:val="22"/>
        </w:rPr>
        <w:t xml:space="preserve">3,000 </w:t>
      </w:r>
      <w:r w:rsidR="00DC178F" w:rsidRPr="00E706BA">
        <w:rPr>
          <w:rFonts w:ascii="Garamond" w:hAnsi="Garamond"/>
          <w:sz w:val="22"/>
          <w:szCs w:val="22"/>
        </w:rPr>
        <w:t xml:space="preserve">CpG sites for which data were available, </w:t>
      </w:r>
      <w:r w:rsidR="000218B7" w:rsidRPr="00E706BA">
        <w:rPr>
          <w:rFonts w:ascii="Garamond" w:hAnsi="Garamond"/>
          <w:sz w:val="22"/>
          <w:szCs w:val="22"/>
        </w:rPr>
        <w:t xml:space="preserve">we decided against using ordinary least squares regression, since </w:t>
      </w:r>
      <w:r w:rsidR="006E4E59" w:rsidRPr="00E706BA">
        <w:rPr>
          <w:rFonts w:ascii="Garamond" w:hAnsi="Garamond"/>
          <w:sz w:val="22"/>
          <w:szCs w:val="22"/>
        </w:rPr>
        <w:t>the results would be difficult to interpret</w:t>
      </w:r>
      <w:r w:rsidR="0085231B">
        <w:rPr>
          <w:rFonts w:ascii="Garamond" w:hAnsi="Garamond"/>
          <w:sz w:val="22"/>
          <w:szCs w:val="22"/>
        </w:rPr>
        <w:t xml:space="preserve"> and the model would be at severe risk of overfitting</w:t>
      </w:r>
      <w:r w:rsidR="006E4E59" w:rsidRPr="00E706BA">
        <w:rPr>
          <w:rFonts w:ascii="Garamond" w:hAnsi="Garamond"/>
          <w:sz w:val="22"/>
          <w:szCs w:val="22"/>
        </w:rPr>
        <w:t xml:space="preserve">. As a result, we opted to use elastic net regression, which combines the shrinkage effect of Ridge regression and the selection effect of LASSO regression to create a model that </w:t>
      </w:r>
      <w:r w:rsidR="00DB2499" w:rsidRPr="00E706BA">
        <w:rPr>
          <w:rFonts w:ascii="Garamond" w:hAnsi="Garamond"/>
          <w:sz w:val="22"/>
          <w:szCs w:val="22"/>
        </w:rPr>
        <w:t>only uses CpG sites for which a strong association is present</w:t>
      </w:r>
      <w:r w:rsidR="00CB3FD0">
        <w:rPr>
          <w:rFonts w:ascii="Garamond" w:hAnsi="Garamond"/>
          <w:sz w:val="22"/>
          <w:szCs w:val="22"/>
        </w:rPr>
        <w:t xml:space="preserve"> and shrinks coefficients that are included in the model but are not particularly important</w:t>
      </w:r>
      <w:r w:rsidR="00DB2499" w:rsidRPr="00E706BA">
        <w:rPr>
          <w:rFonts w:ascii="Garamond" w:hAnsi="Garamond"/>
          <w:sz w:val="22"/>
          <w:szCs w:val="22"/>
        </w:rPr>
        <w:t>.</w:t>
      </w:r>
      <w:r w:rsidR="006E4E59" w:rsidRPr="00E706BA">
        <w:rPr>
          <w:rFonts w:ascii="Garamond" w:hAnsi="Garamond"/>
          <w:sz w:val="22"/>
          <w:szCs w:val="22"/>
        </w:rPr>
        <w:t xml:space="preserve"> </w:t>
      </w:r>
      <w:r w:rsidR="00CB3FD0">
        <w:rPr>
          <w:rFonts w:ascii="Garamond" w:hAnsi="Garamond"/>
          <w:sz w:val="22"/>
          <w:szCs w:val="22"/>
        </w:rPr>
        <w:t>Additionally</w:t>
      </w:r>
      <w:r w:rsidR="006E4E59" w:rsidRPr="00E706BA">
        <w:rPr>
          <w:rFonts w:ascii="Garamond" w:hAnsi="Garamond"/>
          <w:sz w:val="22"/>
          <w:szCs w:val="22"/>
        </w:rPr>
        <w:t xml:space="preserve">, since our primary response variable (tissue type) was binary, we decided to </w:t>
      </w:r>
      <w:r w:rsidR="00DB2499" w:rsidRPr="00E706BA">
        <w:rPr>
          <w:rFonts w:ascii="Garamond" w:hAnsi="Garamond"/>
          <w:sz w:val="22"/>
          <w:szCs w:val="22"/>
        </w:rPr>
        <w:t xml:space="preserve">use </w:t>
      </w:r>
      <w:r w:rsidR="00182D70" w:rsidRPr="00E706BA">
        <w:rPr>
          <w:rFonts w:ascii="Garamond" w:hAnsi="Garamond"/>
          <w:sz w:val="22"/>
          <w:szCs w:val="22"/>
        </w:rPr>
        <w:t>logistic regression instead of linear regression</w:t>
      </w:r>
      <w:r w:rsidR="00860904" w:rsidRPr="00E706BA">
        <w:rPr>
          <w:rFonts w:ascii="Garamond" w:hAnsi="Garamond"/>
          <w:sz w:val="22"/>
          <w:szCs w:val="22"/>
        </w:rPr>
        <w:t>.</w:t>
      </w:r>
    </w:p>
    <w:p w14:paraId="42261049" w14:textId="77777777" w:rsidR="00E706BA" w:rsidRPr="00E706BA" w:rsidRDefault="00E706BA">
      <w:pPr>
        <w:rPr>
          <w:rFonts w:ascii="Garamond" w:hAnsi="Garamond"/>
          <w:sz w:val="22"/>
          <w:szCs w:val="22"/>
        </w:rPr>
      </w:pPr>
    </w:p>
    <w:p w14:paraId="75AF7E9B" w14:textId="63E31BFD" w:rsidR="00E706BA" w:rsidRPr="00E706BA" w:rsidRDefault="00E706BA">
      <w:pPr>
        <w:rPr>
          <w:rFonts w:ascii="Garamond" w:hAnsi="Garamond"/>
          <w:sz w:val="22"/>
          <w:szCs w:val="22"/>
        </w:rPr>
      </w:pPr>
      <w:r w:rsidRPr="00E706BA">
        <w:rPr>
          <w:rFonts w:ascii="Garamond" w:hAnsi="Garamond"/>
          <w:sz w:val="22"/>
          <w:szCs w:val="22"/>
        </w:rPr>
        <w:t xml:space="preserve">For our elastic net model, we selected </w:t>
      </w:r>
      <w:r w:rsidRPr="00E706BA">
        <w:rPr>
          <w:rFonts w:ascii="Garamond" w:hAnsi="Garamond"/>
          <w:color w:val="000000" w:themeColor="text1"/>
          <w:sz w:val="22"/>
          <w:szCs w:val="22"/>
          <w:shd w:val="clear" w:color="auto" w:fill="FFFFFF"/>
        </w:rPr>
        <w:t>α</w:t>
      </w:r>
      <w:r w:rsidRPr="00E706BA">
        <w:rPr>
          <w:rFonts w:ascii="Garamond" w:hAnsi="Garamond"/>
          <w:color w:val="000000" w:themeColor="text1"/>
          <w:sz w:val="22"/>
          <w:szCs w:val="22"/>
        </w:rPr>
        <w:t xml:space="preserve"> = 0.5 to achieve a balance between the effects of Ridge and LASSO regression. We then selected the regularization parameter </w:t>
      </w:r>
      <w:r w:rsidRPr="00E706BA">
        <w:rPr>
          <w:rFonts w:ascii="Garamond" w:hAnsi="Garamond"/>
          <w:color w:val="1F1F1F"/>
          <w:sz w:val="22"/>
          <w:szCs w:val="22"/>
          <w:shd w:val="clear" w:color="auto" w:fill="FFFFFF"/>
        </w:rPr>
        <w:t>λ</w:t>
      </w:r>
      <w:r>
        <w:rPr>
          <w:rFonts w:ascii="Garamond" w:hAnsi="Garamond"/>
          <w:color w:val="1F1F1F"/>
          <w:sz w:val="22"/>
          <w:szCs w:val="22"/>
          <w:shd w:val="clear" w:color="auto" w:fill="FFFFFF"/>
        </w:rPr>
        <w:t xml:space="preserve"> using cross-validation and </w:t>
      </w:r>
      <w:r w:rsidR="00706839">
        <w:rPr>
          <w:rFonts w:ascii="Garamond" w:hAnsi="Garamond"/>
          <w:color w:val="1F1F1F"/>
          <w:sz w:val="22"/>
          <w:szCs w:val="22"/>
          <w:shd w:val="clear" w:color="auto" w:fill="FFFFFF"/>
        </w:rPr>
        <w:t xml:space="preserve">used </w:t>
      </w:r>
      <w:r>
        <w:rPr>
          <w:rFonts w:ascii="Garamond" w:hAnsi="Garamond"/>
          <w:color w:val="1F1F1F"/>
          <w:sz w:val="22"/>
          <w:szCs w:val="22"/>
          <w:shd w:val="clear" w:color="auto" w:fill="FFFFFF"/>
        </w:rPr>
        <w:t xml:space="preserve">the </w:t>
      </w:r>
      <w:r w:rsidRPr="00E706BA">
        <w:rPr>
          <w:rFonts w:ascii="Garamond" w:hAnsi="Garamond"/>
          <w:color w:val="1F1F1F"/>
          <w:sz w:val="22"/>
          <w:szCs w:val="22"/>
          <w:shd w:val="clear" w:color="auto" w:fill="FFFFFF"/>
        </w:rPr>
        <w:t>λ</w:t>
      </w:r>
      <w:r>
        <w:rPr>
          <w:rFonts w:ascii="Garamond" w:hAnsi="Garamond"/>
          <w:color w:val="1F1F1F"/>
          <w:sz w:val="22"/>
          <w:szCs w:val="22"/>
          <w:shd w:val="clear" w:color="auto" w:fill="FFFFFF"/>
          <w:vertAlign w:val="subscript"/>
        </w:rPr>
        <w:t>1SE</w:t>
      </w:r>
      <w:r>
        <w:rPr>
          <w:rFonts w:ascii="Garamond" w:hAnsi="Garamond"/>
          <w:color w:val="1F1F1F"/>
          <w:sz w:val="22"/>
          <w:szCs w:val="22"/>
          <w:shd w:val="clear" w:color="auto" w:fill="FFFFFF"/>
        </w:rPr>
        <w:t xml:space="preserve"> coefficient instead of the </w:t>
      </w:r>
      <w:r w:rsidRPr="00E706BA">
        <w:rPr>
          <w:rFonts w:ascii="Garamond" w:hAnsi="Garamond"/>
          <w:color w:val="1F1F1F"/>
          <w:sz w:val="22"/>
          <w:szCs w:val="22"/>
          <w:shd w:val="clear" w:color="auto" w:fill="FFFFFF"/>
        </w:rPr>
        <w:t>λ</w:t>
      </w:r>
      <w:r>
        <w:rPr>
          <w:rFonts w:ascii="Garamond" w:hAnsi="Garamond"/>
          <w:color w:val="1F1F1F"/>
          <w:sz w:val="22"/>
          <w:szCs w:val="22"/>
          <w:shd w:val="clear" w:color="auto" w:fill="FFFFFF"/>
          <w:vertAlign w:val="subscript"/>
        </w:rPr>
        <w:t>min</w:t>
      </w:r>
      <w:r>
        <w:rPr>
          <w:rFonts w:ascii="Garamond" w:hAnsi="Garamond"/>
          <w:color w:val="1F1F1F"/>
          <w:sz w:val="22"/>
          <w:szCs w:val="22"/>
          <w:shd w:val="clear" w:color="auto" w:fill="FFFFFF"/>
        </w:rPr>
        <w:t xml:space="preserve"> coefficient</w:t>
      </w:r>
      <w:r w:rsidR="00706839">
        <w:rPr>
          <w:rFonts w:ascii="Garamond" w:hAnsi="Garamond"/>
          <w:color w:val="1F1F1F"/>
          <w:sz w:val="22"/>
          <w:szCs w:val="22"/>
          <w:shd w:val="clear" w:color="auto" w:fill="FFFFFF"/>
        </w:rPr>
        <w:t xml:space="preserve"> for our final model</w:t>
      </w:r>
      <w:r>
        <w:rPr>
          <w:rFonts w:ascii="Garamond" w:hAnsi="Garamond"/>
          <w:color w:val="1F1F1F"/>
          <w:sz w:val="22"/>
          <w:szCs w:val="22"/>
          <w:shd w:val="clear" w:color="auto" w:fill="FFFFFF"/>
        </w:rPr>
        <w:t xml:space="preserve"> since we aimed for </w:t>
      </w:r>
      <w:r w:rsidR="00706839">
        <w:rPr>
          <w:rFonts w:ascii="Garamond" w:hAnsi="Garamond"/>
          <w:color w:val="1F1F1F"/>
          <w:sz w:val="22"/>
          <w:szCs w:val="22"/>
          <w:shd w:val="clear" w:color="auto" w:fill="FFFFFF"/>
        </w:rPr>
        <w:t xml:space="preserve">sparsity </w:t>
      </w:r>
      <w:r>
        <w:rPr>
          <w:rFonts w:ascii="Garamond" w:hAnsi="Garamond"/>
          <w:color w:val="1F1F1F"/>
          <w:sz w:val="22"/>
          <w:szCs w:val="22"/>
          <w:shd w:val="clear" w:color="auto" w:fill="FFFFFF"/>
        </w:rPr>
        <w:t xml:space="preserve">(i.e. </w:t>
      </w:r>
      <w:r w:rsidR="00706839">
        <w:rPr>
          <w:rFonts w:ascii="Garamond" w:hAnsi="Garamond"/>
          <w:color w:val="1F1F1F"/>
          <w:sz w:val="22"/>
          <w:szCs w:val="22"/>
          <w:shd w:val="clear" w:color="auto" w:fill="FFFFFF"/>
        </w:rPr>
        <w:t>a model</w:t>
      </w:r>
      <w:r>
        <w:rPr>
          <w:rFonts w:ascii="Garamond" w:hAnsi="Garamond"/>
          <w:color w:val="1F1F1F"/>
          <w:sz w:val="22"/>
          <w:szCs w:val="22"/>
          <w:shd w:val="clear" w:color="auto" w:fill="FFFFFF"/>
        </w:rPr>
        <w:t xml:space="preserve"> in which more predictors are removed through L1-regularization). </w:t>
      </w:r>
      <w:r w:rsidR="009A3676">
        <w:rPr>
          <w:rFonts w:ascii="Garamond" w:hAnsi="Garamond"/>
          <w:color w:val="1F1F1F"/>
          <w:sz w:val="22"/>
          <w:szCs w:val="22"/>
          <w:shd w:val="clear" w:color="auto" w:fill="FFFFFF"/>
        </w:rPr>
        <w:t>We then analyzed the significant CpG sites from our regression analysis</w:t>
      </w:r>
      <w:r w:rsidR="00464462">
        <w:rPr>
          <w:rFonts w:ascii="Garamond" w:hAnsi="Garamond"/>
          <w:color w:val="1F1F1F"/>
          <w:sz w:val="22"/>
          <w:szCs w:val="22"/>
          <w:shd w:val="clear" w:color="auto" w:fill="FFFFFF"/>
        </w:rPr>
        <w:t xml:space="preserve"> and determined whether there were any clear patterns in the location of these CpG sites within the human genome.</w:t>
      </w:r>
    </w:p>
    <w:p w14:paraId="486600E3" w14:textId="77777777" w:rsidR="00464462" w:rsidRDefault="00464462">
      <w:pPr>
        <w:rPr>
          <w:rFonts w:ascii="Garamond" w:hAnsi="Garamond"/>
          <w:sz w:val="22"/>
          <w:szCs w:val="22"/>
        </w:rPr>
      </w:pPr>
    </w:p>
    <w:p w14:paraId="5D369E90" w14:textId="1AB5B824" w:rsidR="00F95402" w:rsidRDefault="00F95402">
      <w:pPr>
        <w:rPr>
          <w:rFonts w:ascii="Garamond" w:hAnsi="Garamond"/>
          <w:b/>
          <w:bCs/>
          <w:sz w:val="22"/>
          <w:szCs w:val="22"/>
          <w:u w:val="single"/>
        </w:rPr>
      </w:pPr>
      <w:r>
        <w:rPr>
          <w:rFonts w:ascii="Garamond" w:hAnsi="Garamond"/>
          <w:b/>
          <w:bCs/>
          <w:sz w:val="28"/>
          <w:szCs w:val="28"/>
          <w:u w:val="single"/>
        </w:rPr>
        <w:lastRenderedPageBreak/>
        <w:t>Results</w:t>
      </w:r>
    </w:p>
    <w:p w14:paraId="17A76C7D" w14:textId="77777777" w:rsidR="00A37EF5" w:rsidRPr="00A37EF5" w:rsidRDefault="00A37EF5">
      <w:pPr>
        <w:rPr>
          <w:rFonts w:ascii="Garamond" w:hAnsi="Garamond"/>
          <w:b/>
          <w:bCs/>
          <w:sz w:val="22"/>
          <w:szCs w:val="22"/>
          <w:u w:val="single"/>
        </w:rPr>
      </w:pPr>
    </w:p>
    <w:p w14:paraId="5BC7124F" w14:textId="45E944B6" w:rsidR="00F1609F" w:rsidRDefault="00F1609F">
      <w:pPr>
        <w:rPr>
          <w:rFonts w:ascii="Garamond" w:hAnsi="Garamond"/>
          <w:b/>
          <w:bCs/>
          <w:sz w:val="22"/>
          <w:szCs w:val="22"/>
          <w:u w:val="single"/>
        </w:rPr>
      </w:pPr>
      <w:r>
        <w:rPr>
          <w:rFonts w:ascii="Garamond" w:hAnsi="Garamond"/>
          <w:b/>
          <w:bCs/>
          <w:sz w:val="22"/>
          <w:szCs w:val="22"/>
          <w:u w:val="single"/>
        </w:rPr>
        <w:t>Exploratory Data Analysis</w:t>
      </w:r>
    </w:p>
    <w:p w14:paraId="5D132ED1" w14:textId="77777777" w:rsidR="008924FA" w:rsidRDefault="008924FA">
      <w:pPr>
        <w:rPr>
          <w:rFonts w:ascii="Garamond" w:hAnsi="Garamond"/>
          <w:b/>
          <w:bCs/>
          <w:sz w:val="22"/>
          <w:szCs w:val="22"/>
          <w:u w:val="single"/>
        </w:rPr>
      </w:pPr>
    </w:p>
    <w:p w14:paraId="74F0F506" w14:textId="79187000" w:rsidR="0004213C" w:rsidRDefault="0004213C">
      <w:pPr>
        <w:rPr>
          <w:rFonts w:ascii="Garamond" w:hAnsi="Garamond"/>
          <w:sz w:val="22"/>
          <w:szCs w:val="22"/>
        </w:rPr>
      </w:pPr>
      <w:r>
        <w:rPr>
          <w:rFonts w:ascii="Garamond" w:hAnsi="Garamond"/>
          <w:sz w:val="22"/>
          <w:szCs w:val="22"/>
        </w:rPr>
        <w:t>We found that the distribution</w:t>
      </w:r>
      <w:r w:rsidR="00712043">
        <w:rPr>
          <w:rFonts w:ascii="Garamond" w:hAnsi="Garamond"/>
          <w:sz w:val="22"/>
          <w:szCs w:val="22"/>
        </w:rPr>
        <w:t>s</w:t>
      </w:r>
      <w:r>
        <w:rPr>
          <w:rFonts w:ascii="Garamond" w:hAnsi="Garamond"/>
          <w:sz w:val="22"/>
          <w:szCs w:val="22"/>
        </w:rPr>
        <w:t xml:space="preserve"> of beta values </w:t>
      </w:r>
      <w:r w:rsidR="00712043">
        <w:rPr>
          <w:rFonts w:ascii="Garamond" w:hAnsi="Garamond"/>
          <w:sz w:val="22"/>
          <w:szCs w:val="22"/>
        </w:rPr>
        <w:t xml:space="preserve">from tumor tissue and normal tissue among all 27 patients throughout all CpG sites were remarkably similar (Figure 1). Both distributions were heavily right-skewed, with a mode beta value of approximately 0.05 and a small increase in frequency for beta values between 0.9 and 0.95. </w:t>
      </w:r>
    </w:p>
    <w:p w14:paraId="29EF4E4F" w14:textId="77777777" w:rsidR="00492160" w:rsidRDefault="00492160">
      <w:pPr>
        <w:rPr>
          <w:rFonts w:ascii="Garamond" w:hAnsi="Garamond"/>
          <w:sz w:val="22"/>
          <w:szCs w:val="22"/>
        </w:rPr>
      </w:pPr>
    </w:p>
    <w:p w14:paraId="63C00B66" w14:textId="77777777" w:rsidR="00492160" w:rsidRDefault="00492160" w:rsidP="00492160">
      <w:pPr>
        <w:rPr>
          <w:rFonts w:ascii="Garamond" w:hAnsi="Garamond"/>
          <w:b/>
          <w:bCs/>
          <w:sz w:val="22"/>
          <w:szCs w:val="22"/>
          <w:u w:val="single"/>
        </w:rPr>
      </w:pPr>
      <w:r w:rsidRPr="00BE1853">
        <w:rPr>
          <w:rFonts w:ascii="Garamond" w:hAnsi="Garamond"/>
          <w:b/>
          <w:bCs/>
          <w:noProof/>
          <w:sz w:val="22"/>
          <w:szCs w:val="22"/>
        </w:rPr>
        <w:drawing>
          <wp:inline distT="0" distB="0" distL="0" distR="0" wp14:anchorId="70949D46" wp14:editId="1062807E">
            <wp:extent cx="5934075" cy="2695575"/>
            <wp:effectExtent l="0" t="0" r="0" b="0"/>
            <wp:docPr id="1320039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2695575"/>
                    </a:xfrm>
                    <a:prstGeom prst="rect">
                      <a:avLst/>
                    </a:prstGeom>
                    <a:noFill/>
                    <a:ln>
                      <a:noFill/>
                    </a:ln>
                  </pic:spPr>
                </pic:pic>
              </a:graphicData>
            </a:graphic>
          </wp:inline>
        </w:drawing>
      </w:r>
    </w:p>
    <w:p w14:paraId="69184947" w14:textId="2DE81134" w:rsidR="00492160" w:rsidRDefault="00492160">
      <w:pPr>
        <w:rPr>
          <w:rFonts w:ascii="Garamond" w:hAnsi="Garamond"/>
          <w:sz w:val="22"/>
          <w:szCs w:val="22"/>
        </w:rPr>
      </w:pPr>
      <w:r>
        <w:rPr>
          <w:rFonts w:ascii="Garamond" w:hAnsi="Garamond"/>
          <w:b/>
          <w:bCs/>
          <w:sz w:val="22"/>
          <w:szCs w:val="22"/>
        </w:rPr>
        <w:t>Figure 1: Histograms of Beta Values for Tumor Tissue and Normal Tissue</w:t>
      </w:r>
      <w:r>
        <w:rPr>
          <w:rFonts w:ascii="Garamond" w:hAnsi="Garamond"/>
          <w:sz w:val="22"/>
          <w:szCs w:val="22"/>
        </w:rPr>
        <w:t>. Methylation beta values are calculated for the 24,342 of the 27,578 CpG sites for which data was available; n = 27 subjects for both tumor tissue and normal tissue.</w:t>
      </w:r>
    </w:p>
    <w:p w14:paraId="5350537E" w14:textId="77777777" w:rsidR="00675785" w:rsidRDefault="00675785">
      <w:pPr>
        <w:rPr>
          <w:rFonts w:ascii="Garamond" w:hAnsi="Garamond"/>
          <w:sz w:val="22"/>
          <w:szCs w:val="22"/>
        </w:rPr>
      </w:pPr>
    </w:p>
    <w:p w14:paraId="2F44497F" w14:textId="77777777" w:rsidR="00675785" w:rsidRDefault="00675785" w:rsidP="00675785">
      <w:pPr>
        <w:rPr>
          <w:rFonts w:ascii="Garamond" w:hAnsi="Garamond"/>
          <w:sz w:val="22"/>
          <w:szCs w:val="22"/>
        </w:rPr>
      </w:pPr>
      <w:r>
        <w:rPr>
          <w:rFonts w:ascii="Garamond" w:hAnsi="Garamond"/>
          <w:noProof/>
          <w:sz w:val="22"/>
          <w:szCs w:val="22"/>
        </w:rPr>
        <w:drawing>
          <wp:inline distT="0" distB="0" distL="0" distR="0" wp14:anchorId="2D99CBD4" wp14:editId="002D582A">
            <wp:extent cx="5934075" cy="2695575"/>
            <wp:effectExtent l="0" t="0" r="0" b="0"/>
            <wp:docPr id="1161112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695575"/>
                    </a:xfrm>
                    <a:prstGeom prst="rect">
                      <a:avLst/>
                    </a:prstGeom>
                    <a:noFill/>
                    <a:ln>
                      <a:noFill/>
                    </a:ln>
                  </pic:spPr>
                </pic:pic>
              </a:graphicData>
            </a:graphic>
          </wp:inline>
        </w:drawing>
      </w:r>
    </w:p>
    <w:p w14:paraId="3B00EEDD" w14:textId="77777777" w:rsidR="00097669" w:rsidRDefault="00675785">
      <w:pPr>
        <w:rPr>
          <w:rFonts w:ascii="Garamond" w:hAnsi="Garamond"/>
          <w:sz w:val="22"/>
          <w:szCs w:val="22"/>
        </w:rPr>
      </w:pPr>
      <w:r w:rsidRPr="009C1F95">
        <w:rPr>
          <w:rFonts w:ascii="Garamond" w:hAnsi="Garamond"/>
          <w:b/>
          <w:bCs/>
          <w:sz w:val="22"/>
          <w:szCs w:val="22"/>
        </w:rPr>
        <w:t>Figure 2: Volcano Plot of Log</w:t>
      </w:r>
      <w:r w:rsidRPr="009C1F95">
        <w:rPr>
          <w:rFonts w:ascii="Garamond" w:hAnsi="Garamond"/>
          <w:b/>
          <w:bCs/>
          <w:sz w:val="22"/>
          <w:szCs w:val="22"/>
          <w:vertAlign w:val="subscript"/>
        </w:rPr>
        <w:t>10</w:t>
      </w:r>
      <w:r w:rsidRPr="009C1F95">
        <w:rPr>
          <w:rFonts w:ascii="Garamond" w:hAnsi="Garamond"/>
          <w:b/>
          <w:bCs/>
          <w:sz w:val="22"/>
          <w:szCs w:val="22"/>
        </w:rPr>
        <w:t xml:space="preserve"> P-Value Against Log</w:t>
      </w:r>
      <w:r w:rsidRPr="009C1F95">
        <w:rPr>
          <w:rFonts w:ascii="Garamond" w:hAnsi="Garamond"/>
          <w:b/>
          <w:bCs/>
          <w:sz w:val="22"/>
          <w:szCs w:val="22"/>
          <w:vertAlign w:val="subscript"/>
        </w:rPr>
        <w:t>2</w:t>
      </w:r>
      <w:r w:rsidRPr="009C1F95">
        <w:rPr>
          <w:rFonts w:ascii="Garamond" w:hAnsi="Garamond"/>
          <w:b/>
          <w:bCs/>
          <w:sz w:val="22"/>
          <w:szCs w:val="22"/>
        </w:rPr>
        <w:t xml:space="preserve"> Fold Change.</w:t>
      </w:r>
      <w:r w:rsidRPr="009C1F95">
        <w:rPr>
          <w:rFonts w:ascii="Garamond" w:hAnsi="Garamond"/>
          <w:sz w:val="22"/>
          <w:szCs w:val="22"/>
        </w:rPr>
        <w:t xml:space="preserve"> M-values are transformed beta values, in which M = log</w:t>
      </w:r>
      <w:r w:rsidRPr="009C1F95">
        <w:rPr>
          <w:rFonts w:ascii="Garamond" w:hAnsi="Garamond"/>
          <w:sz w:val="22"/>
          <w:szCs w:val="22"/>
          <w:vertAlign w:val="subscript"/>
        </w:rPr>
        <w:t>2</w:t>
      </w:r>
      <w:r w:rsidRPr="009C1F95">
        <w:rPr>
          <w:rFonts w:ascii="Garamond" w:hAnsi="Garamond"/>
          <w:sz w:val="22"/>
          <w:szCs w:val="22"/>
        </w:rPr>
        <w:t>(</w:t>
      </w:r>
      <w:r w:rsidRPr="004A26A9">
        <w:rPr>
          <w:rFonts w:ascii="Garamond" w:hAnsi="Garamond"/>
          <w:sz w:val="22"/>
          <w:szCs w:val="22"/>
        </w:rPr>
        <w:t>β</w:t>
      </w:r>
      <w:r w:rsidRPr="009C1F95">
        <w:rPr>
          <w:rFonts w:ascii="Garamond" w:hAnsi="Garamond"/>
          <w:sz w:val="22"/>
          <w:szCs w:val="22"/>
        </w:rPr>
        <w:t xml:space="preserve">/1 - </w:t>
      </w:r>
      <w:r w:rsidRPr="004A26A9">
        <w:rPr>
          <w:rFonts w:ascii="Garamond" w:hAnsi="Garamond"/>
          <w:sz w:val="22"/>
          <w:szCs w:val="22"/>
        </w:rPr>
        <w:t>β</w:t>
      </w:r>
      <w:r w:rsidRPr="009C1F95">
        <w:rPr>
          <w:rFonts w:ascii="Garamond" w:hAnsi="Garamond"/>
          <w:sz w:val="22"/>
          <w:szCs w:val="22"/>
        </w:rPr>
        <w:t>). Points that have both an FDR-adjusted P-value &lt; 0.05 and</w:t>
      </w:r>
      <w:r w:rsidRPr="009C1F95">
        <w:rPr>
          <w:rFonts w:ascii="Garamond" w:hAnsi="Garamond"/>
          <w:b/>
          <w:bCs/>
          <w:sz w:val="22"/>
          <w:szCs w:val="22"/>
        </w:rPr>
        <w:t xml:space="preserve"> </w:t>
      </w:r>
      <w:r w:rsidRPr="009C1F95">
        <w:rPr>
          <w:rFonts w:ascii="Garamond" w:hAnsi="Garamond"/>
          <w:sz w:val="22"/>
          <w:szCs w:val="22"/>
        </w:rPr>
        <w:t>Log</w:t>
      </w:r>
      <w:r w:rsidRPr="009C1F95">
        <w:rPr>
          <w:rFonts w:ascii="Garamond" w:hAnsi="Garamond"/>
          <w:sz w:val="22"/>
          <w:szCs w:val="22"/>
          <w:vertAlign w:val="subscript"/>
        </w:rPr>
        <w:t>2</w:t>
      </w:r>
      <w:r w:rsidRPr="009C1F95">
        <w:rPr>
          <w:rFonts w:ascii="Garamond" w:hAnsi="Garamond"/>
          <w:sz w:val="22"/>
          <w:szCs w:val="22"/>
        </w:rPr>
        <w:t xml:space="preserve"> Fold Change</w:t>
      </w:r>
      <w:r w:rsidR="00EA255B">
        <w:rPr>
          <w:rFonts w:ascii="Garamond" w:hAnsi="Garamond"/>
          <w:sz w:val="22"/>
          <w:szCs w:val="22"/>
        </w:rPr>
        <w:t xml:space="preserve"> with magnitude</w:t>
      </w:r>
      <w:r w:rsidRPr="009C1F95">
        <w:rPr>
          <w:rFonts w:ascii="Garamond" w:hAnsi="Garamond"/>
          <w:sz w:val="22"/>
          <w:szCs w:val="22"/>
        </w:rPr>
        <w:t xml:space="preserve"> &gt; 2 are considered significant. Blue points represent CpG sites hypomethylated in tumor tissue, while red points represent CpG sites hypermethylated in tumor tissue.</w:t>
      </w:r>
      <w:hyperlink r:id="rId9" w:history="1"/>
    </w:p>
    <w:p w14:paraId="0707BAFE" w14:textId="5319F885" w:rsidR="00492160" w:rsidRDefault="00706839">
      <w:pPr>
        <w:rPr>
          <w:rFonts w:ascii="Garamond" w:hAnsi="Garamond"/>
          <w:sz w:val="22"/>
          <w:szCs w:val="22"/>
        </w:rPr>
      </w:pPr>
      <w:r>
        <w:rPr>
          <w:rFonts w:ascii="Garamond" w:hAnsi="Garamond"/>
          <w:sz w:val="22"/>
          <w:szCs w:val="22"/>
        </w:rPr>
        <w:lastRenderedPageBreak/>
        <w:t>From the volcano plot, we can see that while most CpG sites did not have significant under- or over-methylation in cancer tissue, there were 503 CpG sites with a log</w:t>
      </w:r>
      <w:r>
        <w:rPr>
          <w:rFonts w:ascii="Garamond" w:hAnsi="Garamond"/>
          <w:sz w:val="22"/>
          <w:szCs w:val="22"/>
          <w:vertAlign w:val="subscript"/>
        </w:rPr>
        <w:t xml:space="preserve">2 </w:t>
      </w:r>
      <w:r>
        <w:rPr>
          <w:rFonts w:ascii="Garamond" w:hAnsi="Garamond"/>
          <w:sz w:val="22"/>
          <w:szCs w:val="22"/>
        </w:rPr>
        <w:t>fold change value under -2, indicating hypomethylation, and 146 CpG sites with a log</w:t>
      </w:r>
      <w:r>
        <w:rPr>
          <w:rFonts w:ascii="Garamond" w:hAnsi="Garamond"/>
          <w:sz w:val="22"/>
          <w:szCs w:val="22"/>
          <w:vertAlign w:val="subscript"/>
        </w:rPr>
        <w:t xml:space="preserve">2 </w:t>
      </w:r>
      <w:r>
        <w:rPr>
          <w:rFonts w:ascii="Garamond" w:hAnsi="Garamond"/>
          <w:sz w:val="22"/>
          <w:szCs w:val="22"/>
        </w:rPr>
        <w:t>fold change value over 2, indicating hypermethylation</w:t>
      </w:r>
      <w:r w:rsidR="00910E8C">
        <w:rPr>
          <w:rFonts w:ascii="Garamond" w:hAnsi="Garamond"/>
          <w:sz w:val="22"/>
          <w:szCs w:val="22"/>
        </w:rPr>
        <w:t xml:space="preserve"> (Figure 2)</w:t>
      </w:r>
      <w:r>
        <w:rPr>
          <w:rFonts w:ascii="Garamond" w:hAnsi="Garamond"/>
          <w:sz w:val="22"/>
          <w:szCs w:val="22"/>
        </w:rPr>
        <w:t>.</w:t>
      </w:r>
      <w:r w:rsidR="00910E8C">
        <w:rPr>
          <w:rFonts w:ascii="Garamond" w:hAnsi="Garamond"/>
          <w:sz w:val="22"/>
          <w:szCs w:val="22"/>
        </w:rPr>
        <w:t xml:space="preserve"> </w:t>
      </w:r>
      <w:r w:rsidR="00097669">
        <w:rPr>
          <w:rFonts w:ascii="Garamond" w:hAnsi="Garamond"/>
          <w:sz w:val="22"/>
          <w:szCs w:val="22"/>
        </w:rPr>
        <w:t>Specifically, given the base 2 log structure, a log</w:t>
      </w:r>
      <w:r w:rsidR="00097669">
        <w:rPr>
          <w:rFonts w:ascii="Garamond" w:hAnsi="Garamond"/>
          <w:sz w:val="22"/>
          <w:szCs w:val="22"/>
          <w:vertAlign w:val="subscript"/>
        </w:rPr>
        <w:t>2</w:t>
      </w:r>
      <w:r w:rsidR="00097669">
        <w:rPr>
          <w:rFonts w:ascii="Garamond" w:hAnsi="Garamond"/>
          <w:sz w:val="22"/>
          <w:szCs w:val="22"/>
        </w:rPr>
        <w:t xml:space="preserve"> fold change of +2 represents 2</w:t>
      </w:r>
      <w:r w:rsidR="00097669">
        <w:rPr>
          <w:rFonts w:ascii="Garamond" w:hAnsi="Garamond"/>
          <w:sz w:val="22"/>
          <w:szCs w:val="22"/>
          <w:vertAlign w:val="superscript"/>
        </w:rPr>
        <w:t>2</w:t>
      </w:r>
      <w:r w:rsidR="00097669">
        <w:rPr>
          <w:rFonts w:ascii="Garamond" w:hAnsi="Garamond"/>
          <w:sz w:val="22"/>
          <w:szCs w:val="22"/>
        </w:rPr>
        <w:t xml:space="preserve"> = 4 times as much methylation in tumor tissue, while a log</w:t>
      </w:r>
      <w:r w:rsidR="00097669">
        <w:rPr>
          <w:rFonts w:ascii="Garamond" w:hAnsi="Garamond"/>
          <w:sz w:val="22"/>
          <w:szCs w:val="22"/>
          <w:vertAlign w:val="subscript"/>
        </w:rPr>
        <w:t>2</w:t>
      </w:r>
      <w:r w:rsidR="00097669">
        <w:rPr>
          <w:rFonts w:ascii="Garamond" w:hAnsi="Garamond"/>
          <w:sz w:val="22"/>
          <w:szCs w:val="22"/>
        </w:rPr>
        <w:t xml:space="preserve"> fold change of -2 represents 2</w:t>
      </w:r>
      <w:r w:rsidR="00097669">
        <w:rPr>
          <w:rFonts w:ascii="Garamond" w:hAnsi="Garamond"/>
          <w:sz w:val="22"/>
          <w:szCs w:val="22"/>
          <w:vertAlign w:val="superscript"/>
        </w:rPr>
        <w:t>-2</w:t>
      </w:r>
      <w:r w:rsidR="00097669">
        <w:rPr>
          <w:rFonts w:ascii="Garamond" w:hAnsi="Garamond"/>
          <w:sz w:val="22"/>
          <w:szCs w:val="22"/>
        </w:rPr>
        <w:t xml:space="preserve"> = ¼ as much methylation in tumor tissue (i.e. 4 times as much methylation in normal tissue). </w:t>
      </w:r>
      <w:r w:rsidR="00464462">
        <w:rPr>
          <w:rFonts w:ascii="Garamond" w:hAnsi="Garamond"/>
          <w:sz w:val="22"/>
          <w:szCs w:val="22"/>
        </w:rPr>
        <w:t xml:space="preserve">We chose a threshold </w:t>
      </w:r>
      <w:r w:rsidR="00910E8C">
        <w:rPr>
          <w:rFonts w:ascii="Garamond" w:hAnsi="Garamond"/>
          <w:sz w:val="22"/>
          <w:szCs w:val="22"/>
        </w:rPr>
        <w:t xml:space="preserve">Our results are </w:t>
      </w:r>
      <w:r w:rsidR="00F128C7">
        <w:rPr>
          <w:rFonts w:ascii="Garamond" w:hAnsi="Garamond"/>
          <w:sz w:val="22"/>
          <w:szCs w:val="22"/>
        </w:rPr>
        <w:t xml:space="preserve">potentially </w:t>
      </w:r>
      <w:r w:rsidR="00910E8C">
        <w:rPr>
          <w:rFonts w:ascii="Garamond" w:hAnsi="Garamond"/>
          <w:sz w:val="22"/>
          <w:szCs w:val="22"/>
        </w:rPr>
        <w:t>consistent with the observation made by Szyf et al. (2004) that while some regions may be hypermethylated in tumor tissue, global hypomethylation can also occur</w:t>
      </w:r>
      <w:r w:rsidR="0094582F">
        <w:rPr>
          <w:rFonts w:ascii="Garamond" w:hAnsi="Garamond"/>
          <w:sz w:val="22"/>
          <w:szCs w:val="22"/>
        </w:rPr>
        <w:t xml:space="preserve"> (we would need more information about the specific location of the CpG sites in each category to confirm this observation)</w:t>
      </w:r>
      <w:r w:rsidR="00910E8C">
        <w:rPr>
          <w:rFonts w:ascii="Garamond" w:hAnsi="Garamond"/>
          <w:sz w:val="22"/>
          <w:szCs w:val="22"/>
        </w:rPr>
        <w:t xml:space="preserve">. </w:t>
      </w:r>
    </w:p>
    <w:p w14:paraId="0AC09CDF" w14:textId="77777777" w:rsidR="00675785" w:rsidRDefault="00675785">
      <w:pPr>
        <w:rPr>
          <w:rFonts w:ascii="Garamond" w:hAnsi="Garamond"/>
          <w:sz w:val="22"/>
          <w:szCs w:val="22"/>
        </w:rPr>
      </w:pPr>
    </w:p>
    <w:p w14:paraId="5B161A70" w14:textId="3AF78A49" w:rsidR="009C1F95" w:rsidRDefault="009C1F95">
      <w:pPr>
        <w:rPr>
          <w:rFonts w:ascii="Garamond" w:hAnsi="Garamond"/>
          <w:sz w:val="22"/>
          <w:szCs w:val="22"/>
        </w:rPr>
      </w:pPr>
      <w:r>
        <w:rPr>
          <w:rFonts w:ascii="Garamond" w:hAnsi="Garamond"/>
          <w:sz w:val="22"/>
          <w:szCs w:val="22"/>
        </w:rPr>
        <w:t>Our principal component plot shows a clear separation between tumor tissue and normal tissue (Figure 3). The first two principal components explain 13.5% and 8.9% of the variance, respectively. Normal tissue had lower values for PC1 than tumor tissue, and the variance for tumor tissue was much larger than that of normal tissue, indicating potential differences in the DNA methylation structure of tumors between the 27 patients in the study.</w:t>
      </w:r>
    </w:p>
    <w:p w14:paraId="0B638DB0" w14:textId="77777777" w:rsidR="00492160" w:rsidRDefault="00492160">
      <w:pPr>
        <w:rPr>
          <w:rFonts w:ascii="Garamond" w:hAnsi="Garamond"/>
          <w:sz w:val="22"/>
          <w:szCs w:val="22"/>
        </w:rPr>
      </w:pPr>
    </w:p>
    <w:p w14:paraId="689A176C" w14:textId="77777777" w:rsidR="00492160" w:rsidRPr="009C1F95" w:rsidRDefault="00492160" w:rsidP="00492160">
      <w:pPr>
        <w:ind w:right="180"/>
        <w:textAlignment w:val="center"/>
        <w:rPr>
          <w:rFonts w:ascii="Garamond" w:hAnsi="Garamond"/>
          <w:sz w:val="22"/>
          <w:szCs w:val="22"/>
        </w:rPr>
      </w:pPr>
      <w:r w:rsidRPr="009C1F95">
        <w:rPr>
          <w:rFonts w:ascii="Garamond" w:hAnsi="Garamond"/>
          <w:noProof/>
          <w:sz w:val="22"/>
          <w:szCs w:val="22"/>
        </w:rPr>
        <w:drawing>
          <wp:inline distT="0" distB="0" distL="0" distR="0" wp14:anchorId="1C5C0869" wp14:editId="11BB5440">
            <wp:extent cx="5934075" cy="2695575"/>
            <wp:effectExtent l="0" t="0" r="0" b="0"/>
            <wp:docPr id="1667621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695575"/>
                    </a:xfrm>
                    <a:prstGeom prst="rect">
                      <a:avLst/>
                    </a:prstGeom>
                    <a:noFill/>
                    <a:ln>
                      <a:noFill/>
                    </a:ln>
                  </pic:spPr>
                </pic:pic>
              </a:graphicData>
            </a:graphic>
          </wp:inline>
        </w:drawing>
      </w:r>
    </w:p>
    <w:p w14:paraId="7A818C15" w14:textId="77777777" w:rsidR="00492160" w:rsidRPr="004A26A9" w:rsidRDefault="00492160" w:rsidP="00492160">
      <w:pPr>
        <w:rPr>
          <w:rFonts w:ascii="Garamond" w:hAnsi="Garamond"/>
          <w:sz w:val="22"/>
          <w:szCs w:val="22"/>
        </w:rPr>
      </w:pPr>
      <w:r w:rsidRPr="009C1F95">
        <w:rPr>
          <w:rFonts w:ascii="Garamond" w:hAnsi="Garamond"/>
          <w:b/>
          <w:bCs/>
          <w:sz w:val="22"/>
          <w:szCs w:val="22"/>
        </w:rPr>
        <w:t xml:space="preserve">Figure </w:t>
      </w:r>
      <w:r>
        <w:rPr>
          <w:rFonts w:ascii="Garamond" w:hAnsi="Garamond"/>
          <w:b/>
          <w:bCs/>
          <w:sz w:val="22"/>
          <w:szCs w:val="22"/>
        </w:rPr>
        <w:t>3</w:t>
      </w:r>
      <w:r w:rsidRPr="009C1F95">
        <w:rPr>
          <w:rFonts w:ascii="Garamond" w:hAnsi="Garamond"/>
          <w:b/>
          <w:bCs/>
          <w:sz w:val="22"/>
          <w:szCs w:val="22"/>
        </w:rPr>
        <w:t>:</w:t>
      </w:r>
      <w:r>
        <w:rPr>
          <w:rFonts w:ascii="Garamond" w:hAnsi="Garamond"/>
          <w:b/>
          <w:bCs/>
          <w:sz w:val="22"/>
          <w:szCs w:val="22"/>
        </w:rPr>
        <w:t xml:space="preserve"> PC1 vs. PC2 plot</w:t>
      </w:r>
      <w:r w:rsidRPr="009C1F95">
        <w:rPr>
          <w:rFonts w:ascii="Garamond" w:hAnsi="Garamond"/>
          <w:b/>
          <w:bCs/>
          <w:sz w:val="22"/>
          <w:szCs w:val="22"/>
        </w:rPr>
        <w:t>.</w:t>
      </w:r>
      <w:r w:rsidRPr="009C1F95">
        <w:rPr>
          <w:rFonts w:ascii="Garamond" w:hAnsi="Garamond"/>
          <w:sz w:val="22"/>
          <w:szCs w:val="22"/>
        </w:rPr>
        <w:t xml:space="preserve"> </w:t>
      </w:r>
      <w:r>
        <w:rPr>
          <w:rFonts w:ascii="Garamond" w:hAnsi="Garamond"/>
          <w:sz w:val="22"/>
          <w:szCs w:val="22"/>
        </w:rPr>
        <w:t>Principal components were created using all predictor variables, including CpG sites and relevant covariates (age, race, surgical procedure, estrogen/progesterone receptor status).</w:t>
      </w:r>
      <w:r w:rsidRPr="004A26A9">
        <w:rPr>
          <w:rFonts w:ascii="Garamond" w:hAnsi="Garamond"/>
          <w:sz w:val="22"/>
          <w:szCs w:val="22"/>
        </w:rPr>
        <w:fldChar w:fldCharType="begin"/>
      </w:r>
      <w:r w:rsidRPr="009C1F95">
        <w:rPr>
          <w:rFonts w:ascii="Garamond" w:hAnsi="Garamond"/>
          <w:sz w:val="22"/>
          <w:szCs w:val="22"/>
        </w:rPr>
        <w:instrText>HYPERLINK "https://graphemica.com/%CE%B2"</w:instrText>
      </w:r>
      <w:r w:rsidRPr="004A26A9">
        <w:rPr>
          <w:rFonts w:ascii="Garamond" w:hAnsi="Garamond"/>
          <w:sz w:val="22"/>
          <w:szCs w:val="22"/>
        </w:rPr>
      </w:r>
      <w:r w:rsidRPr="004A26A9">
        <w:rPr>
          <w:rFonts w:ascii="Garamond" w:hAnsi="Garamond"/>
          <w:sz w:val="22"/>
          <w:szCs w:val="22"/>
        </w:rPr>
        <w:fldChar w:fldCharType="separate"/>
      </w:r>
    </w:p>
    <w:p w14:paraId="67A2B8D8" w14:textId="56E7F983" w:rsidR="00492160" w:rsidRDefault="00492160" w:rsidP="00492160">
      <w:pPr>
        <w:rPr>
          <w:rFonts w:ascii="Garamond" w:hAnsi="Garamond"/>
          <w:sz w:val="22"/>
          <w:szCs w:val="22"/>
        </w:rPr>
      </w:pPr>
      <w:r w:rsidRPr="004A26A9">
        <w:rPr>
          <w:rFonts w:ascii="Garamond" w:hAnsi="Garamond"/>
          <w:sz w:val="22"/>
          <w:szCs w:val="22"/>
        </w:rPr>
        <w:fldChar w:fldCharType="end"/>
      </w:r>
    </w:p>
    <w:p w14:paraId="29DD1EA3" w14:textId="77777777" w:rsidR="00492160" w:rsidRDefault="00492160" w:rsidP="00492160">
      <w:pPr>
        <w:rPr>
          <w:rFonts w:ascii="Garamond" w:hAnsi="Garamond"/>
          <w:sz w:val="22"/>
          <w:szCs w:val="22"/>
        </w:rPr>
      </w:pPr>
    </w:p>
    <w:p w14:paraId="3FDE88F8" w14:textId="77777777" w:rsidR="00844C8D" w:rsidRDefault="00844C8D" w:rsidP="00492160">
      <w:pPr>
        <w:rPr>
          <w:rFonts w:ascii="Garamond" w:hAnsi="Garamond"/>
          <w:sz w:val="22"/>
          <w:szCs w:val="22"/>
        </w:rPr>
      </w:pPr>
    </w:p>
    <w:p w14:paraId="4F64B337" w14:textId="77777777" w:rsidR="00844C8D" w:rsidRDefault="00844C8D" w:rsidP="00492160">
      <w:pPr>
        <w:rPr>
          <w:rFonts w:ascii="Garamond" w:hAnsi="Garamond"/>
          <w:sz w:val="22"/>
          <w:szCs w:val="22"/>
        </w:rPr>
      </w:pPr>
    </w:p>
    <w:p w14:paraId="4CC5237D" w14:textId="77777777" w:rsidR="00844C8D" w:rsidRDefault="00844C8D" w:rsidP="00492160">
      <w:pPr>
        <w:rPr>
          <w:rFonts w:ascii="Garamond" w:hAnsi="Garamond"/>
          <w:sz w:val="22"/>
          <w:szCs w:val="22"/>
        </w:rPr>
      </w:pPr>
    </w:p>
    <w:p w14:paraId="15809716" w14:textId="77777777" w:rsidR="00844C8D" w:rsidRDefault="00844C8D" w:rsidP="00492160">
      <w:pPr>
        <w:rPr>
          <w:rFonts w:ascii="Garamond" w:hAnsi="Garamond"/>
          <w:sz w:val="22"/>
          <w:szCs w:val="22"/>
        </w:rPr>
      </w:pPr>
    </w:p>
    <w:p w14:paraId="4D113E8C" w14:textId="77777777" w:rsidR="00844C8D" w:rsidRDefault="00844C8D" w:rsidP="00492160">
      <w:pPr>
        <w:rPr>
          <w:rFonts w:ascii="Garamond" w:hAnsi="Garamond"/>
          <w:sz w:val="22"/>
          <w:szCs w:val="22"/>
        </w:rPr>
      </w:pPr>
    </w:p>
    <w:p w14:paraId="7A228EB4" w14:textId="77777777" w:rsidR="00844C8D" w:rsidRDefault="00844C8D" w:rsidP="00492160">
      <w:pPr>
        <w:rPr>
          <w:rFonts w:ascii="Garamond" w:hAnsi="Garamond"/>
          <w:sz w:val="22"/>
          <w:szCs w:val="22"/>
        </w:rPr>
      </w:pPr>
    </w:p>
    <w:p w14:paraId="42BBBEC6" w14:textId="77777777" w:rsidR="00844C8D" w:rsidRDefault="00844C8D" w:rsidP="00492160">
      <w:pPr>
        <w:rPr>
          <w:rFonts w:ascii="Garamond" w:hAnsi="Garamond"/>
          <w:sz w:val="22"/>
          <w:szCs w:val="22"/>
        </w:rPr>
      </w:pPr>
    </w:p>
    <w:p w14:paraId="0D422825" w14:textId="77777777" w:rsidR="00844C8D" w:rsidRDefault="00844C8D" w:rsidP="00492160">
      <w:pPr>
        <w:rPr>
          <w:rFonts w:ascii="Garamond" w:hAnsi="Garamond"/>
          <w:sz w:val="22"/>
          <w:szCs w:val="22"/>
        </w:rPr>
      </w:pPr>
    </w:p>
    <w:p w14:paraId="4019048D" w14:textId="77777777" w:rsidR="00844C8D" w:rsidRDefault="00844C8D" w:rsidP="00492160">
      <w:pPr>
        <w:rPr>
          <w:rFonts w:ascii="Garamond" w:hAnsi="Garamond"/>
          <w:sz w:val="22"/>
          <w:szCs w:val="22"/>
        </w:rPr>
      </w:pPr>
    </w:p>
    <w:p w14:paraId="471C832F" w14:textId="77777777" w:rsidR="00844C8D" w:rsidRDefault="00844C8D" w:rsidP="00492160">
      <w:pPr>
        <w:rPr>
          <w:rFonts w:ascii="Garamond" w:hAnsi="Garamond"/>
          <w:sz w:val="22"/>
          <w:szCs w:val="22"/>
        </w:rPr>
      </w:pPr>
    </w:p>
    <w:p w14:paraId="07441030" w14:textId="77777777" w:rsidR="00844C8D" w:rsidRDefault="00844C8D" w:rsidP="00492160">
      <w:pPr>
        <w:rPr>
          <w:rFonts w:ascii="Garamond" w:hAnsi="Garamond"/>
          <w:sz w:val="22"/>
          <w:szCs w:val="22"/>
        </w:rPr>
      </w:pPr>
    </w:p>
    <w:p w14:paraId="4A769BB0" w14:textId="77777777" w:rsidR="00844C8D" w:rsidRDefault="00844C8D" w:rsidP="00492160">
      <w:pPr>
        <w:rPr>
          <w:rFonts w:ascii="Garamond" w:hAnsi="Garamond"/>
          <w:sz w:val="22"/>
          <w:szCs w:val="22"/>
        </w:rPr>
      </w:pPr>
    </w:p>
    <w:p w14:paraId="769D3567" w14:textId="77777777" w:rsidR="00844C8D" w:rsidRDefault="00844C8D" w:rsidP="00492160">
      <w:pPr>
        <w:rPr>
          <w:rFonts w:ascii="Garamond" w:hAnsi="Garamond"/>
          <w:sz w:val="22"/>
          <w:szCs w:val="22"/>
        </w:rPr>
      </w:pPr>
    </w:p>
    <w:p w14:paraId="688880AF" w14:textId="77777777" w:rsidR="00844C8D" w:rsidRDefault="00844C8D" w:rsidP="00492160">
      <w:pPr>
        <w:rPr>
          <w:rFonts w:ascii="Garamond" w:hAnsi="Garamond"/>
          <w:sz w:val="22"/>
          <w:szCs w:val="22"/>
        </w:rPr>
      </w:pPr>
    </w:p>
    <w:p w14:paraId="760811F3" w14:textId="77777777" w:rsidR="00F25A7B" w:rsidRDefault="00F25A7B">
      <w:pPr>
        <w:rPr>
          <w:rFonts w:ascii="Garamond" w:hAnsi="Garamond"/>
          <w:sz w:val="22"/>
          <w:szCs w:val="22"/>
        </w:rPr>
      </w:pPr>
    </w:p>
    <w:p w14:paraId="5295E495" w14:textId="7A5A51FB" w:rsidR="00F1609F" w:rsidRDefault="00F1609F">
      <w:pPr>
        <w:rPr>
          <w:rFonts w:ascii="Garamond" w:hAnsi="Garamond"/>
          <w:b/>
          <w:bCs/>
          <w:sz w:val="22"/>
          <w:szCs w:val="22"/>
          <w:u w:val="single"/>
        </w:rPr>
      </w:pPr>
      <w:r>
        <w:rPr>
          <w:rFonts w:ascii="Garamond" w:hAnsi="Garamond"/>
          <w:b/>
          <w:bCs/>
          <w:sz w:val="22"/>
          <w:szCs w:val="22"/>
          <w:u w:val="single"/>
        </w:rPr>
        <w:lastRenderedPageBreak/>
        <w:t>Regression Analysis</w:t>
      </w:r>
    </w:p>
    <w:p w14:paraId="79A622D6" w14:textId="77777777" w:rsidR="00E459C8" w:rsidRDefault="00E459C8">
      <w:pPr>
        <w:rPr>
          <w:rFonts w:ascii="Garamond" w:hAnsi="Garamond"/>
          <w:sz w:val="22"/>
          <w:szCs w:val="22"/>
        </w:rPr>
      </w:pPr>
    </w:p>
    <w:p w14:paraId="7BA1F4E6" w14:textId="454650D9" w:rsidR="00492160" w:rsidRDefault="009C1F95">
      <w:pPr>
        <w:rPr>
          <w:rFonts w:ascii="Garamond" w:hAnsi="Garamond"/>
          <w:color w:val="1F1F1F"/>
          <w:sz w:val="22"/>
          <w:szCs w:val="22"/>
          <w:shd w:val="clear" w:color="auto" w:fill="FFFFFF"/>
        </w:rPr>
      </w:pPr>
      <w:r>
        <w:rPr>
          <w:rFonts w:ascii="Garamond" w:hAnsi="Garamond"/>
          <w:sz w:val="22"/>
          <w:szCs w:val="22"/>
        </w:rPr>
        <w:t xml:space="preserve">We chose a </w:t>
      </w:r>
      <w:r w:rsidR="005C2C3E">
        <w:rPr>
          <w:rFonts w:ascii="Garamond" w:hAnsi="Garamond"/>
          <w:sz w:val="22"/>
          <w:szCs w:val="22"/>
        </w:rPr>
        <w:t xml:space="preserve">regularized </w:t>
      </w:r>
      <w:r>
        <w:rPr>
          <w:rFonts w:ascii="Garamond" w:hAnsi="Garamond"/>
          <w:sz w:val="22"/>
          <w:szCs w:val="22"/>
        </w:rPr>
        <w:t>logistic regression model</w:t>
      </w:r>
      <w:r w:rsidR="005C2C3E">
        <w:rPr>
          <w:rFonts w:ascii="Garamond" w:hAnsi="Garamond"/>
          <w:sz w:val="22"/>
          <w:szCs w:val="22"/>
        </w:rPr>
        <w:t xml:space="preserve"> with </w:t>
      </w:r>
      <w:r w:rsidR="005C2C3E" w:rsidRPr="00E706BA">
        <w:rPr>
          <w:rFonts w:ascii="Garamond" w:hAnsi="Garamond"/>
          <w:color w:val="000000" w:themeColor="text1"/>
          <w:sz w:val="22"/>
          <w:szCs w:val="22"/>
          <w:shd w:val="clear" w:color="auto" w:fill="FFFFFF"/>
        </w:rPr>
        <w:t>α</w:t>
      </w:r>
      <w:r w:rsidR="005C2C3E" w:rsidRPr="00E706BA">
        <w:rPr>
          <w:rFonts w:ascii="Garamond" w:hAnsi="Garamond"/>
          <w:color w:val="000000" w:themeColor="text1"/>
          <w:sz w:val="22"/>
          <w:szCs w:val="22"/>
        </w:rPr>
        <w:t xml:space="preserve"> = 0.5</w:t>
      </w:r>
      <w:r>
        <w:rPr>
          <w:rFonts w:ascii="Garamond" w:hAnsi="Garamond"/>
          <w:sz w:val="22"/>
          <w:szCs w:val="22"/>
        </w:rPr>
        <w:t>, using</w:t>
      </w:r>
      <w:r w:rsidR="00DC15FE">
        <w:rPr>
          <w:rFonts w:ascii="Garamond" w:hAnsi="Garamond"/>
          <w:sz w:val="22"/>
          <w:szCs w:val="22"/>
        </w:rPr>
        <w:t xml:space="preserve"> the M-values for</w:t>
      </w:r>
      <w:r>
        <w:rPr>
          <w:rFonts w:ascii="Garamond" w:hAnsi="Garamond"/>
          <w:sz w:val="22"/>
          <w:szCs w:val="22"/>
        </w:rPr>
        <w:t xml:space="preserve"> each of the CpG sites as well as a selected group of covariates </w:t>
      </w:r>
      <w:r>
        <w:rPr>
          <w:rFonts w:ascii="Garamond" w:hAnsi="Garamond"/>
          <w:color w:val="1F1F1F"/>
          <w:sz w:val="22"/>
          <w:szCs w:val="22"/>
          <w:shd w:val="clear" w:color="auto" w:fill="FFFFFF"/>
        </w:rPr>
        <w:t xml:space="preserve">(age, race, surgical procedure, and progesterone/estrogen receptor status) as predictor variables. </w:t>
      </w:r>
      <w:r w:rsidR="00391E2A">
        <w:rPr>
          <w:rFonts w:ascii="Garamond" w:hAnsi="Garamond"/>
          <w:sz w:val="22"/>
          <w:szCs w:val="22"/>
        </w:rPr>
        <w:t xml:space="preserve">Through cross-validation, we found the value of </w:t>
      </w:r>
      <w:r w:rsidR="00391E2A" w:rsidRPr="00E706BA">
        <w:rPr>
          <w:rFonts w:ascii="Garamond" w:hAnsi="Garamond"/>
          <w:color w:val="1F1F1F"/>
          <w:sz w:val="22"/>
          <w:szCs w:val="22"/>
          <w:shd w:val="clear" w:color="auto" w:fill="FFFFFF"/>
        </w:rPr>
        <w:t>λ</w:t>
      </w:r>
      <w:r w:rsidR="00391E2A">
        <w:rPr>
          <w:rFonts w:ascii="Garamond" w:hAnsi="Garamond"/>
          <w:color w:val="1F1F1F"/>
          <w:sz w:val="22"/>
          <w:szCs w:val="22"/>
          <w:shd w:val="clear" w:color="auto" w:fill="FFFFFF"/>
          <w:vertAlign w:val="subscript"/>
        </w:rPr>
        <w:t>1SE</w:t>
      </w:r>
      <w:r w:rsidR="00391E2A">
        <w:rPr>
          <w:rFonts w:ascii="Garamond" w:hAnsi="Garamond"/>
          <w:color w:val="1F1F1F"/>
          <w:sz w:val="22"/>
          <w:szCs w:val="22"/>
          <w:shd w:val="clear" w:color="auto" w:fill="FFFFFF"/>
        </w:rPr>
        <w:t xml:space="preserve"> to be approximately 0.0304</w:t>
      </w:r>
      <w:r w:rsidR="005C2C3E">
        <w:rPr>
          <w:rFonts w:ascii="Garamond" w:hAnsi="Garamond"/>
          <w:color w:val="1F1F1F"/>
          <w:sz w:val="22"/>
          <w:szCs w:val="22"/>
          <w:shd w:val="clear" w:color="auto" w:fill="FFFFFF"/>
        </w:rPr>
        <w:t>, with a standard error of about 0.0533</w:t>
      </w:r>
      <w:r w:rsidR="00391E2A">
        <w:rPr>
          <w:rFonts w:ascii="Garamond" w:hAnsi="Garamond"/>
          <w:color w:val="1F1F1F"/>
          <w:sz w:val="22"/>
          <w:szCs w:val="22"/>
          <w:shd w:val="clear" w:color="auto" w:fill="FFFFFF"/>
        </w:rPr>
        <w:t xml:space="preserve">. Out of the 23,120 possible CpG sites, our final elastic net model kept 109 </w:t>
      </w:r>
      <w:r w:rsidR="00576291">
        <w:rPr>
          <w:rFonts w:ascii="Garamond" w:hAnsi="Garamond"/>
          <w:color w:val="1F1F1F"/>
          <w:sz w:val="22"/>
          <w:szCs w:val="22"/>
          <w:shd w:val="clear" w:color="auto" w:fill="FFFFFF"/>
        </w:rPr>
        <w:t>CpG sites as predictors</w:t>
      </w:r>
      <w:r w:rsidR="005C2C3E">
        <w:rPr>
          <w:rFonts w:ascii="Garamond" w:hAnsi="Garamond"/>
          <w:color w:val="1F1F1F"/>
          <w:sz w:val="22"/>
          <w:szCs w:val="22"/>
          <w:shd w:val="clear" w:color="auto" w:fill="FFFFFF"/>
        </w:rPr>
        <w:t xml:space="preserve"> (using an alternative model chosen by </w:t>
      </w:r>
      <w:r w:rsidR="005C2C3E" w:rsidRPr="00E706BA">
        <w:rPr>
          <w:rFonts w:ascii="Garamond" w:hAnsi="Garamond"/>
          <w:color w:val="1F1F1F"/>
          <w:sz w:val="22"/>
          <w:szCs w:val="22"/>
          <w:shd w:val="clear" w:color="auto" w:fill="FFFFFF"/>
        </w:rPr>
        <w:t>λ</w:t>
      </w:r>
      <w:r w:rsidR="005C2C3E">
        <w:rPr>
          <w:rFonts w:ascii="Garamond" w:hAnsi="Garamond"/>
          <w:color w:val="1F1F1F"/>
          <w:sz w:val="22"/>
          <w:szCs w:val="22"/>
          <w:shd w:val="clear" w:color="auto" w:fill="FFFFFF"/>
        </w:rPr>
        <w:t xml:space="preserve"> = </w:t>
      </w:r>
      <w:r w:rsidR="005C2C3E" w:rsidRPr="00E706BA">
        <w:rPr>
          <w:rFonts w:ascii="Garamond" w:hAnsi="Garamond"/>
          <w:color w:val="1F1F1F"/>
          <w:sz w:val="22"/>
          <w:szCs w:val="22"/>
          <w:shd w:val="clear" w:color="auto" w:fill="FFFFFF"/>
        </w:rPr>
        <w:t>λ</w:t>
      </w:r>
      <w:r w:rsidR="005C2C3E">
        <w:rPr>
          <w:rFonts w:ascii="Garamond" w:hAnsi="Garamond"/>
          <w:color w:val="1F1F1F"/>
          <w:sz w:val="22"/>
          <w:szCs w:val="22"/>
          <w:shd w:val="clear" w:color="auto" w:fill="FFFFFF"/>
          <w:vertAlign w:val="subscript"/>
        </w:rPr>
        <w:t>min</w:t>
      </w:r>
      <w:r w:rsidR="005C2C3E">
        <w:rPr>
          <w:rFonts w:ascii="Garamond" w:hAnsi="Garamond"/>
          <w:color w:val="1F1F1F"/>
          <w:sz w:val="22"/>
          <w:szCs w:val="22"/>
          <w:shd w:val="clear" w:color="auto" w:fill="FFFFFF"/>
        </w:rPr>
        <w:t xml:space="preserve"> would have yielded 128 predictors instead)</w:t>
      </w:r>
      <w:r w:rsidR="00576291">
        <w:rPr>
          <w:rFonts w:ascii="Garamond" w:hAnsi="Garamond"/>
          <w:color w:val="1F1F1F"/>
          <w:sz w:val="22"/>
          <w:szCs w:val="22"/>
          <w:shd w:val="clear" w:color="auto" w:fill="FFFFFF"/>
        </w:rPr>
        <w:t xml:space="preserve">. </w:t>
      </w:r>
      <w:r w:rsidR="007D3F44">
        <w:rPr>
          <w:rFonts w:ascii="Garamond" w:hAnsi="Garamond"/>
          <w:color w:val="1F1F1F"/>
          <w:sz w:val="22"/>
          <w:szCs w:val="22"/>
          <w:shd w:val="clear" w:color="auto" w:fill="FFFFFF"/>
        </w:rPr>
        <w:t>A</w:t>
      </w:r>
      <w:r>
        <w:rPr>
          <w:rFonts w:ascii="Garamond" w:hAnsi="Garamond"/>
          <w:color w:val="1F1F1F"/>
          <w:sz w:val="22"/>
          <w:szCs w:val="22"/>
          <w:shd w:val="clear" w:color="auto" w:fill="FFFFFF"/>
        </w:rPr>
        <w:t>ll of the predictors the model selected were CpG sites, meaning that when adjusting for CpG site, none of the relevant covariates were significantly associated with tissue type according to our model.</w:t>
      </w:r>
      <w:r w:rsidR="00CB3FD0">
        <w:rPr>
          <w:rFonts w:ascii="Garamond" w:hAnsi="Garamond"/>
          <w:color w:val="1F1F1F"/>
          <w:sz w:val="22"/>
          <w:szCs w:val="22"/>
          <w:shd w:val="clear" w:color="auto" w:fill="FFFFFF"/>
        </w:rPr>
        <w:t xml:space="preserve"> </w:t>
      </w:r>
      <w:r w:rsidR="00576291">
        <w:rPr>
          <w:rFonts w:ascii="Garamond" w:hAnsi="Garamond"/>
          <w:color w:val="1F1F1F"/>
          <w:sz w:val="22"/>
          <w:szCs w:val="22"/>
          <w:shd w:val="clear" w:color="auto" w:fill="FFFFFF"/>
        </w:rPr>
        <w:t>Using a probability threshold of 0.5, the model correctly classified all 54 samples as tumor tissue or normal tissue</w:t>
      </w:r>
      <w:r w:rsidR="005C2C3E">
        <w:rPr>
          <w:rFonts w:ascii="Garamond" w:hAnsi="Garamond"/>
          <w:color w:val="1F1F1F"/>
          <w:sz w:val="22"/>
          <w:szCs w:val="22"/>
          <w:shd w:val="clear" w:color="auto" w:fill="FFFFFF"/>
        </w:rPr>
        <w:t>; all of the probabilities for tumor tissue were greater than 0.9, while all of the probabilities for normal tissue were less than 0.1.</w:t>
      </w:r>
    </w:p>
    <w:p w14:paraId="69DDA465" w14:textId="77777777" w:rsidR="00492160" w:rsidRPr="00543545" w:rsidRDefault="00492160" w:rsidP="00492160">
      <w:pPr>
        <w:ind w:right="180"/>
        <w:textAlignment w:val="center"/>
      </w:pPr>
      <w:r>
        <w:rPr>
          <w:noProof/>
        </w:rPr>
        <w:drawing>
          <wp:inline distT="0" distB="0" distL="0" distR="0" wp14:anchorId="39BC1858" wp14:editId="7FFEC4A7">
            <wp:extent cx="5934075" cy="2695575"/>
            <wp:effectExtent l="0" t="0" r="0" b="0"/>
            <wp:docPr id="7892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695575"/>
                    </a:xfrm>
                    <a:prstGeom prst="rect">
                      <a:avLst/>
                    </a:prstGeom>
                    <a:noFill/>
                    <a:ln>
                      <a:noFill/>
                    </a:ln>
                  </pic:spPr>
                </pic:pic>
              </a:graphicData>
            </a:graphic>
          </wp:inline>
        </w:drawing>
      </w:r>
    </w:p>
    <w:p w14:paraId="76F896BF" w14:textId="77777777" w:rsidR="00492160" w:rsidRDefault="00492160" w:rsidP="00492160">
      <w:pPr>
        <w:jc w:val="both"/>
        <w:rPr>
          <w:rFonts w:ascii="Garamond" w:hAnsi="Garamond"/>
          <w:color w:val="001D35"/>
          <w:sz w:val="22"/>
          <w:szCs w:val="22"/>
          <w:shd w:val="clear" w:color="auto" w:fill="FFFFFF"/>
        </w:rPr>
      </w:pPr>
      <w:r w:rsidRPr="00BF4FB8">
        <w:rPr>
          <w:rFonts w:ascii="Garamond" w:hAnsi="Garamond"/>
          <w:b/>
          <w:bCs/>
          <w:sz w:val="22"/>
          <w:szCs w:val="22"/>
        </w:rPr>
        <w:t xml:space="preserve">Figure </w:t>
      </w:r>
      <w:r>
        <w:rPr>
          <w:rFonts w:ascii="Garamond" w:hAnsi="Garamond"/>
          <w:b/>
          <w:bCs/>
          <w:sz w:val="22"/>
          <w:szCs w:val="22"/>
        </w:rPr>
        <w:t>4</w:t>
      </w:r>
      <w:r w:rsidRPr="00BF4FB8">
        <w:rPr>
          <w:rFonts w:ascii="Garamond" w:hAnsi="Garamond"/>
          <w:b/>
          <w:bCs/>
          <w:sz w:val="22"/>
          <w:szCs w:val="22"/>
        </w:rPr>
        <w:t xml:space="preserve">: Plot of Optimal </w:t>
      </w:r>
      <w:r w:rsidRPr="00BF4FB8">
        <w:rPr>
          <w:rFonts w:ascii="Garamond" w:hAnsi="Garamond"/>
          <w:b/>
          <w:bCs/>
          <w:color w:val="001D35"/>
          <w:sz w:val="22"/>
          <w:szCs w:val="22"/>
          <w:shd w:val="clear" w:color="auto" w:fill="FFFFFF"/>
        </w:rPr>
        <w:t>λ</w:t>
      </w:r>
      <w:r>
        <w:rPr>
          <w:rFonts w:ascii="Garamond" w:hAnsi="Garamond"/>
          <w:color w:val="001D35"/>
          <w:sz w:val="22"/>
          <w:szCs w:val="22"/>
          <w:shd w:val="clear" w:color="auto" w:fill="FFFFFF"/>
        </w:rPr>
        <w:t xml:space="preserve"> </w:t>
      </w:r>
      <w:r>
        <w:rPr>
          <w:rFonts w:ascii="Garamond" w:hAnsi="Garamond"/>
          <w:b/>
          <w:bCs/>
          <w:color w:val="001D35"/>
          <w:sz w:val="22"/>
          <w:szCs w:val="22"/>
          <w:shd w:val="clear" w:color="auto" w:fill="FFFFFF"/>
        </w:rPr>
        <w:t>Values</w:t>
      </w:r>
      <w:r w:rsidRPr="00BF4FB8">
        <w:rPr>
          <w:rFonts w:ascii="Garamond" w:hAnsi="Garamond"/>
          <w:color w:val="001D35"/>
          <w:sz w:val="22"/>
          <w:szCs w:val="22"/>
          <w:shd w:val="clear" w:color="auto" w:fill="FFFFFF"/>
        </w:rPr>
        <w:t xml:space="preserve"> </w:t>
      </w:r>
      <w:r w:rsidRPr="00BF4FB8">
        <w:rPr>
          <w:rFonts w:ascii="Garamond" w:hAnsi="Garamond"/>
          <w:b/>
          <w:bCs/>
          <w:sz w:val="22"/>
          <w:szCs w:val="22"/>
        </w:rPr>
        <w:t>for Elastic Net Regression Model.</w:t>
      </w:r>
      <w:r w:rsidRPr="00BF4FB8">
        <w:rPr>
          <w:rFonts w:ascii="Garamond" w:hAnsi="Garamond"/>
          <w:sz w:val="22"/>
          <w:szCs w:val="22"/>
        </w:rPr>
        <w:t xml:space="preserve"> Lower values of </w:t>
      </w:r>
      <w:r w:rsidRPr="00BF4FB8">
        <w:rPr>
          <w:rFonts w:ascii="Garamond" w:hAnsi="Garamond"/>
          <w:color w:val="001D35"/>
          <w:sz w:val="22"/>
          <w:szCs w:val="22"/>
          <w:shd w:val="clear" w:color="auto" w:fill="FFFFFF"/>
        </w:rPr>
        <w:t>λ</w:t>
      </w:r>
      <w:r>
        <w:rPr>
          <w:rFonts w:ascii="Garamond" w:hAnsi="Garamond"/>
          <w:color w:val="001D35"/>
          <w:sz w:val="22"/>
          <w:szCs w:val="22"/>
          <w:shd w:val="clear" w:color="auto" w:fill="FFFFFF"/>
        </w:rPr>
        <w:t xml:space="preserve"> generally have lower residual deviance. For the purpose of sparsity, </w:t>
      </w:r>
      <w:r w:rsidRPr="00BF4FB8">
        <w:rPr>
          <w:rFonts w:ascii="Garamond" w:hAnsi="Garamond"/>
          <w:color w:val="001D35"/>
          <w:sz w:val="22"/>
          <w:szCs w:val="22"/>
          <w:shd w:val="clear" w:color="auto" w:fill="FFFFFF"/>
        </w:rPr>
        <w:t>λ</w:t>
      </w:r>
      <w:r>
        <w:rPr>
          <w:rFonts w:ascii="Garamond" w:hAnsi="Garamond"/>
          <w:color w:val="001D35"/>
          <w:sz w:val="22"/>
          <w:szCs w:val="22"/>
          <w:shd w:val="clear" w:color="auto" w:fill="FFFFFF"/>
          <w:vertAlign w:val="subscript"/>
        </w:rPr>
        <w:t>1SE</w:t>
      </w:r>
      <w:r>
        <w:rPr>
          <w:rFonts w:ascii="Garamond" w:hAnsi="Garamond"/>
          <w:color w:val="001D35"/>
          <w:sz w:val="22"/>
          <w:szCs w:val="22"/>
          <w:shd w:val="clear" w:color="auto" w:fill="FFFFFF"/>
        </w:rPr>
        <w:t xml:space="preserve"> was used to fit the final model instead of </w:t>
      </w:r>
      <w:r w:rsidRPr="00BF4FB8">
        <w:rPr>
          <w:rFonts w:ascii="Garamond" w:hAnsi="Garamond"/>
          <w:color w:val="001D35"/>
          <w:sz w:val="22"/>
          <w:szCs w:val="22"/>
          <w:shd w:val="clear" w:color="auto" w:fill="FFFFFF"/>
        </w:rPr>
        <w:t>λ</w:t>
      </w:r>
      <w:r>
        <w:rPr>
          <w:rFonts w:ascii="Garamond" w:hAnsi="Garamond"/>
          <w:color w:val="001D35"/>
          <w:sz w:val="22"/>
          <w:szCs w:val="22"/>
          <w:shd w:val="clear" w:color="auto" w:fill="FFFFFF"/>
          <w:vertAlign w:val="subscript"/>
        </w:rPr>
        <w:t>min</w:t>
      </w:r>
      <w:r>
        <w:rPr>
          <w:rFonts w:ascii="Garamond" w:hAnsi="Garamond"/>
          <w:color w:val="001D35"/>
          <w:sz w:val="22"/>
          <w:szCs w:val="22"/>
          <w:shd w:val="clear" w:color="auto" w:fill="FFFFFF"/>
        </w:rPr>
        <w:t>.</w:t>
      </w:r>
    </w:p>
    <w:p w14:paraId="70938061" w14:textId="29232F14" w:rsidR="0023044A" w:rsidRDefault="0023044A" w:rsidP="00AE7A59">
      <w:pPr>
        <w:rPr>
          <w:rFonts w:ascii="Garamond" w:hAnsi="Garamond"/>
          <w:color w:val="001D35"/>
          <w:sz w:val="22"/>
          <w:szCs w:val="22"/>
          <w:shd w:val="clear" w:color="auto" w:fill="FFFFFF"/>
        </w:rPr>
      </w:pPr>
    </w:p>
    <w:p w14:paraId="24893F98" w14:textId="77777777" w:rsidR="00AE7A59" w:rsidRDefault="00AE7A59" w:rsidP="00AE7A59">
      <w:pPr>
        <w:jc w:val="center"/>
        <w:rPr>
          <w:rFonts w:ascii="Garamond" w:hAnsi="Garamond"/>
          <w:sz w:val="22"/>
          <w:szCs w:val="22"/>
        </w:rPr>
      </w:pPr>
      <w:r>
        <w:rPr>
          <w:rFonts w:ascii="Garamond" w:hAnsi="Garamond"/>
          <w:noProof/>
          <w:sz w:val="22"/>
          <w:szCs w:val="22"/>
        </w:rPr>
        <w:drawing>
          <wp:inline distT="0" distB="0" distL="0" distR="0" wp14:anchorId="19FCCD65" wp14:editId="06B0EF17">
            <wp:extent cx="5552451" cy="2522220"/>
            <wp:effectExtent l="0" t="0" r="0" b="5080"/>
            <wp:docPr id="17498595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431" cy="2531296"/>
                    </a:xfrm>
                    <a:prstGeom prst="rect">
                      <a:avLst/>
                    </a:prstGeom>
                    <a:noFill/>
                    <a:ln>
                      <a:noFill/>
                    </a:ln>
                  </pic:spPr>
                </pic:pic>
              </a:graphicData>
            </a:graphic>
          </wp:inline>
        </w:drawing>
      </w:r>
    </w:p>
    <w:p w14:paraId="40596FAD" w14:textId="77777777" w:rsidR="00AE7A59" w:rsidRDefault="00AE7A59" w:rsidP="00AE7A59">
      <w:pPr>
        <w:jc w:val="both"/>
        <w:rPr>
          <w:rFonts w:ascii="Garamond" w:hAnsi="Garamond"/>
          <w:b/>
          <w:bCs/>
          <w:sz w:val="22"/>
          <w:szCs w:val="22"/>
        </w:rPr>
      </w:pPr>
    </w:p>
    <w:p w14:paraId="421E284C" w14:textId="77777777" w:rsidR="00AE7A59" w:rsidRDefault="00AE7A59" w:rsidP="00AE7A59">
      <w:pPr>
        <w:jc w:val="both"/>
        <w:rPr>
          <w:rFonts w:ascii="Garamond" w:hAnsi="Garamond"/>
          <w:sz w:val="22"/>
          <w:szCs w:val="22"/>
        </w:rPr>
      </w:pPr>
      <w:r>
        <w:rPr>
          <w:rFonts w:ascii="Garamond" w:hAnsi="Garamond"/>
          <w:b/>
          <w:bCs/>
          <w:sz w:val="22"/>
          <w:szCs w:val="22"/>
        </w:rPr>
        <w:t>Figure 5: Plots of Top 20 CpG Sites by Positive and Negative Effects.</w:t>
      </w:r>
      <w:r>
        <w:rPr>
          <w:rFonts w:ascii="Garamond" w:hAnsi="Garamond"/>
          <w:sz w:val="22"/>
          <w:szCs w:val="22"/>
        </w:rPr>
        <w:t xml:space="preserve"> Our final elastic net model had a total of 109 predictors. </w:t>
      </w:r>
    </w:p>
    <w:p w14:paraId="2179C20F" w14:textId="211D45B1" w:rsidR="00CB3FD0" w:rsidRDefault="00CB3FD0" w:rsidP="00AE7A59">
      <w:pPr>
        <w:rPr>
          <w:rFonts w:ascii="Garamond" w:hAnsi="Garamond"/>
          <w:color w:val="001D35"/>
          <w:sz w:val="22"/>
          <w:szCs w:val="22"/>
          <w:shd w:val="clear" w:color="auto" w:fill="FFFFFF"/>
        </w:rPr>
      </w:pPr>
    </w:p>
    <w:p w14:paraId="2DE28612" w14:textId="4E89C3CA" w:rsidR="00D558CB" w:rsidRDefault="0023044A">
      <w:pPr>
        <w:rPr>
          <w:rFonts w:ascii="Garamond" w:hAnsi="Garamond"/>
          <w:color w:val="1F1F1F"/>
          <w:sz w:val="22"/>
          <w:szCs w:val="22"/>
          <w:shd w:val="clear" w:color="auto" w:fill="FFFFFF"/>
        </w:rPr>
      </w:pPr>
      <w:r>
        <w:rPr>
          <w:rFonts w:ascii="Garamond" w:hAnsi="Garamond"/>
          <w:color w:val="1F1F1F"/>
          <w:sz w:val="22"/>
          <w:szCs w:val="22"/>
          <w:shd w:val="clear" w:color="auto" w:fill="FFFFFF"/>
        </w:rPr>
        <w:lastRenderedPageBreak/>
        <w:t>We then ordered the coefficients by largest positive and largest negative effect size in order to see which CpG sites were most strongly associated with breast cancer (Figure 5). The cg24930915 site, which is on a CpG island on chromosome 16, had the largest positive effect size, while the cg13982661 site, which is located on a CpG island on chromosome 11, had the largest negative effect size.</w:t>
      </w:r>
      <w:r w:rsidR="00256CBF">
        <w:rPr>
          <w:rFonts w:ascii="Garamond" w:hAnsi="Garamond"/>
          <w:color w:val="1F1F1F"/>
          <w:sz w:val="22"/>
          <w:szCs w:val="22"/>
          <w:shd w:val="clear" w:color="auto" w:fill="FFFFFF"/>
        </w:rPr>
        <w:t xml:space="preserve"> Given that both the CpG sites with the strongest positive and negative effect sizes were on CpG islands, </w:t>
      </w:r>
      <w:r w:rsidR="00AE7A59">
        <w:rPr>
          <w:rFonts w:ascii="Garamond" w:hAnsi="Garamond"/>
          <w:color w:val="1F1F1F"/>
          <w:sz w:val="22"/>
          <w:szCs w:val="22"/>
          <w:shd w:val="clear" w:color="auto" w:fill="FFFFFF"/>
        </w:rPr>
        <w:t>it seemed plausible that a large portion of the CpG sites selected by our model would reside on CpG islands, therefore suggesting a link between methylation of CpG sites on CpG islands and breast cancer.</w:t>
      </w:r>
    </w:p>
    <w:p w14:paraId="7B9A752F" w14:textId="77777777" w:rsidR="00D558CB" w:rsidRDefault="00D558CB">
      <w:pPr>
        <w:rPr>
          <w:rFonts w:ascii="Garamond" w:hAnsi="Garamond"/>
          <w:color w:val="1F1F1F"/>
          <w:sz w:val="22"/>
          <w:szCs w:val="22"/>
          <w:shd w:val="clear" w:color="auto" w:fill="FFFFFF"/>
        </w:rPr>
      </w:pPr>
    </w:p>
    <w:p w14:paraId="5909A99B" w14:textId="5C4A5270" w:rsidR="00E301C6" w:rsidRDefault="00AE7A59">
      <w:pPr>
        <w:rPr>
          <w:rFonts w:ascii="Garamond" w:hAnsi="Garamond"/>
          <w:color w:val="1F1F1F"/>
          <w:sz w:val="22"/>
          <w:szCs w:val="22"/>
          <w:shd w:val="clear" w:color="auto" w:fill="FFFFFF"/>
        </w:rPr>
      </w:pPr>
      <w:r>
        <w:rPr>
          <w:rFonts w:ascii="Garamond" w:hAnsi="Garamond"/>
          <w:color w:val="1F1F1F"/>
          <w:sz w:val="22"/>
          <w:szCs w:val="22"/>
          <w:shd w:val="clear" w:color="auto" w:fill="FFFFFF"/>
        </w:rPr>
        <w:t>However, using the Bioconductor package’s annotation feature, we were able to determine the genomic locations of the CpG sites selected by our regression model, and b</w:t>
      </w:r>
      <w:r w:rsidR="00CB3FD0">
        <w:rPr>
          <w:rFonts w:ascii="Garamond" w:hAnsi="Garamond"/>
          <w:color w:val="1F1F1F"/>
          <w:sz w:val="22"/>
          <w:szCs w:val="22"/>
          <w:shd w:val="clear" w:color="auto" w:fill="FFFFFF"/>
        </w:rPr>
        <w:t xml:space="preserve">y examining the locations of the CpG sites that represented the top </w:t>
      </w:r>
      <w:r w:rsidR="00E301C6">
        <w:rPr>
          <w:rFonts w:ascii="Garamond" w:hAnsi="Garamond"/>
          <w:color w:val="1F1F1F"/>
          <w:sz w:val="22"/>
          <w:szCs w:val="22"/>
          <w:shd w:val="clear" w:color="auto" w:fill="FFFFFF"/>
        </w:rPr>
        <w:t>ten</w:t>
      </w:r>
      <w:r w:rsidR="00CB3FD0">
        <w:rPr>
          <w:rFonts w:ascii="Garamond" w:hAnsi="Garamond"/>
          <w:color w:val="1F1F1F"/>
          <w:sz w:val="22"/>
          <w:szCs w:val="22"/>
          <w:shd w:val="clear" w:color="auto" w:fill="FFFFFF"/>
        </w:rPr>
        <w:t xml:space="preserve"> predictors by positive effect size, we found no clear association between chromosomal location, whether the CpG was located on a CpG island, </w:t>
      </w:r>
      <w:r w:rsidR="00E301C6">
        <w:rPr>
          <w:rFonts w:ascii="Garamond" w:hAnsi="Garamond"/>
          <w:color w:val="1F1F1F"/>
          <w:sz w:val="22"/>
          <w:szCs w:val="22"/>
          <w:shd w:val="clear" w:color="auto" w:fill="FFFFFF"/>
        </w:rPr>
        <w:t>and effect size</w:t>
      </w:r>
      <w:r>
        <w:rPr>
          <w:rFonts w:ascii="Garamond" w:hAnsi="Garamond"/>
          <w:color w:val="1F1F1F"/>
          <w:sz w:val="22"/>
          <w:szCs w:val="22"/>
          <w:shd w:val="clear" w:color="auto" w:fill="FFFFFF"/>
        </w:rPr>
        <w:t xml:space="preserve"> (Table 1)</w:t>
      </w:r>
      <w:r w:rsidR="00E301C6">
        <w:rPr>
          <w:rFonts w:ascii="Garamond" w:hAnsi="Garamond"/>
          <w:color w:val="1F1F1F"/>
          <w:sz w:val="22"/>
          <w:szCs w:val="22"/>
          <w:shd w:val="clear" w:color="auto" w:fill="FFFFFF"/>
        </w:rPr>
        <w:t>. Each of the top ten predictors by positive effect size was located on a different chromosome, six were on the “–“ strand while four were on the “+” strand, and only three out of the ten were categorized as being on a CpG island</w:t>
      </w:r>
      <w:r w:rsidR="00BA41DC">
        <w:rPr>
          <w:rFonts w:ascii="Garamond" w:hAnsi="Garamond"/>
          <w:color w:val="1F1F1F"/>
          <w:sz w:val="22"/>
          <w:szCs w:val="22"/>
          <w:shd w:val="clear" w:color="auto" w:fill="FFFFFF"/>
        </w:rPr>
        <w:t>. T</w:t>
      </w:r>
      <w:r w:rsidR="00E301C6">
        <w:rPr>
          <w:rFonts w:ascii="Garamond" w:hAnsi="Garamond"/>
          <w:color w:val="1F1F1F"/>
          <w:sz w:val="22"/>
          <w:szCs w:val="22"/>
          <w:shd w:val="clear" w:color="auto" w:fill="FFFFFF"/>
        </w:rPr>
        <w:t>hree were</w:t>
      </w:r>
      <w:r w:rsidR="003A592A">
        <w:rPr>
          <w:rFonts w:ascii="Garamond" w:hAnsi="Garamond"/>
          <w:color w:val="1F1F1F"/>
          <w:sz w:val="22"/>
          <w:szCs w:val="22"/>
          <w:shd w:val="clear" w:color="auto" w:fill="FFFFFF"/>
        </w:rPr>
        <w:t xml:space="preserve"> on a “south shore”</w:t>
      </w:r>
      <w:r w:rsidR="00E301C6">
        <w:rPr>
          <w:rFonts w:ascii="Garamond" w:hAnsi="Garamond"/>
          <w:color w:val="1F1F1F"/>
          <w:sz w:val="22"/>
          <w:szCs w:val="22"/>
          <w:shd w:val="clear" w:color="auto" w:fill="FFFFFF"/>
        </w:rPr>
        <w:t>,</w:t>
      </w:r>
      <w:r w:rsidR="003A592A">
        <w:rPr>
          <w:rFonts w:ascii="Garamond" w:hAnsi="Garamond"/>
          <w:color w:val="1F1F1F"/>
          <w:sz w:val="22"/>
          <w:szCs w:val="22"/>
          <w:shd w:val="clear" w:color="auto" w:fill="FFFFFF"/>
        </w:rPr>
        <w:t xml:space="preserve"> meaning less than 2 kilobases (kb) downstream of the nearest CpG island,</w:t>
      </w:r>
      <w:r w:rsidR="00E301C6">
        <w:rPr>
          <w:rFonts w:ascii="Garamond" w:hAnsi="Garamond"/>
          <w:color w:val="1F1F1F"/>
          <w:sz w:val="22"/>
          <w:szCs w:val="22"/>
          <w:shd w:val="clear" w:color="auto" w:fill="FFFFFF"/>
        </w:rPr>
        <w:t xml:space="preserve"> two </w:t>
      </w:r>
      <w:r w:rsidR="003A592A">
        <w:rPr>
          <w:rFonts w:ascii="Garamond" w:hAnsi="Garamond"/>
          <w:color w:val="1F1F1F"/>
          <w:sz w:val="22"/>
          <w:szCs w:val="22"/>
          <w:shd w:val="clear" w:color="auto" w:fill="FFFFFF"/>
        </w:rPr>
        <w:t xml:space="preserve">were on a “north shore”, meaning less than 2 kb upstream of the nearest island, </w:t>
      </w:r>
      <w:r w:rsidR="00E301C6">
        <w:rPr>
          <w:rFonts w:ascii="Garamond" w:hAnsi="Garamond"/>
          <w:color w:val="1F1F1F"/>
          <w:sz w:val="22"/>
          <w:szCs w:val="22"/>
          <w:shd w:val="clear" w:color="auto" w:fill="FFFFFF"/>
        </w:rPr>
        <w:t>and the remaining two were in the “open sea”</w:t>
      </w:r>
      <w:r w:rsidR="00BA41DC">
        <w:rPr>
          <w:rFonts w:ascii="Garamond" w:hAnsi="Garamond"/>
          <w:color w:val="1F1F1F"/>
          <w:sz w:val="22"/>
          <w:szCs w:val="22"/>
          <w:shd w:val="clear" w:color="auto" w:fill="FFFFFF"/>
        </w:rPr>
        <w:t>, meaning more than 4 kilobases (kb) away from the nearest island</w:t>
      </w:r>
      <w:r w:rsidR="00E301C6">
        <w:rPr>
          <w:rFonts w:ascii="Garamond" w:hAnsi="Garamond"/>
          <w:color w:val="1F1F1F"/>
          <w:sz w:val="22"/>
          <w:szCs w:val="22"/>
          <w:shd w:val="clear" w:color="auto" w:fill="FFFFFF"/>
        </w:rPr>
        <w:t>.</w:t>
      </w:r>
      <w:r w:rsidR="00DA6FBC">
        <w:rPr>
          <w:rFonts w:ascii="Garamond" w:hAnsi="Garamond"/>
          <w:color w:val="1F1F1F"/>
          <w:sz w:val="22"/>
          <w:szCs w:val="22"/>
          <w:shd w:val="clear" w:color="auto" w:fill="FFFFFF"/>
          <w:vertAlign w:val="superscript"/>
        </w:rPr>
        <w:t>6</w:t>
      </w:r>
      <w:r w:rsidR="00E301C6">
        <w:rPr>
          <w:rFonts w:ascii="Garamond" w:hAnsi="Garamond"/>
          <w:color w:val="1F1F1F"/>
          <w:sz w:val="22"/>
          <w:szCs w:val="22"/>
          <w:shd w:val="clear" w:color="auto" w:fill="FFFFFF"/>
        </w:rPr>
        <w:t xml:space="preserve"> </w:t>
      </w:r>
    </w:p>
    <w:p w14:paraId="74832CD6" w14:textId="77777777" w:rsidR="00E301C6" w:rsidRDefault="00E301C6">
      <w:pPr>
        <w:rPr>
          <w:rFonts w:ascii="Garamond" w:hAnsi="Garamond"/>
          <w:color w:val="1F1F1F"/>
          <w:sz w:val="22"/>
          <w:szCs w:val="22"/>
          <w:shd w:val="clear" w:color="auto" w:fill="FFFFFF"/>
        </w:rPr>
      </w:pPr>
    </w:p>
    <w:p w14:paraId="162EE5CD" w14:textId="29DEBB52" w:rsidR="00CB3FD0" w:rsidRDefault="00E301C6">
      <w:pPr>
        <w:rPr>
          <w:rFonts w:ascii="Garamond" w:hAnsi="Garamond"/>
          <w:color w:val="1F1F1F"/>
          <w:sz w:val="22"/>
          <w:szCs w:val="22"/>
          <w:shd w:val="clear" w:color="auto" w:fill="FFFFFF"/>
        </w:rPr>
      </w:pPr>
      <w:r>
        <w:rPr>
          <w:rFonts w:ascii="Garamond" w:hAnsi="Garamond"/>
          <w:color w:val="1F1F1F"/>
          <w:sz w:val="22"/>
          <w:szCs w:val="22"/>
          <w:shd w:val="clear" w:color="auto" w:fill="FFFFFF"/>
        </w:rPr>
        <w:t xml:space="preserve">While there was a slightly more noticeable pattern for the top ten predictors by negative effect size, there still were no clear and conclusive associations. Three of these CpG sites were located on chromosome 11 and two were located on chromosome 8, with the other five being located on distinct chromosomes. Five CpG sites were on each of the “-“ and “+” strands. Four of the CpG sites were located on CpG islands, one was located upstream of an island, and the remaining five were in the open sea. </w:t>
      </w:r>
    </w:p>
    <w:p w14:paraId="352ECB4B" w14:textId="77777777" w:rsidR="004A56AB" w:rsidRDefault="004A56AB">
      <w:pPr>
        <w:rPr>
          <w:rFonts w:ascii="Garamond" w:hAnsi="Garamond"/>
          <w:color w:val="1F1F1F"/>
          <w:sz w:val="22"/>
          <w:szCs w:val="22"/>
          <w:shd w:val="clear" w:color="auto" w:fill="FFFFFF"/>
        </w:rPr>
      </w:pPr>
    </w:p>
    <w:p w14:paraId="7D02D158" w14:textId="449F0A73" w:rsidR="0023044A" w:rsidRDefault="004A56AB">
      <w:pPr>
        <w:rPr>
          <w:rFonts w:ascii="Garamond" w:hAnsi="Garamond"/>
          <w:color w:val="1F1F1F"/>
          <w:sz w:val="22"/>
          <w:szCs w:val="22"/>
          <w:shd w:val="clear" w:color="auto" w:fill="FFFFFF"/>
        </w:rPr>
      </w:pPr>
      <w:r>
        <w:rPr>
          <w:rFonts w:ascii="Garamond" w:hAnsi="Garamond"/>
          <w:color w:val="1F1F1F"/>
          <w:sz w:val="22"/>
          <w:szCs w:val="22"/>
          <w:shd w:val="clear" w:color="auto" w:fill="FFFFFF"/>
        </w:rPr>
        <w:t>Out of the 108 CpG sites</w:t>
      </w:r>
      <w:r w:rsidR="00DC15FE">
        <w:rPr>
          <w:rFonts w:ascii="Garamond" w:hAnsi="Garamond"/>
          <w:color w:val="1F1F1F"/>
          <w:sz w:val="22"/>
          <w:szCs w:val="22"/>
          <w:shd w:val="clear" w:color="auto" w:fill="FFFFFF"/>
        </w:rPr>
        <w:t xml:space="preserve"> selected by the model</w:t>
      </w:r>
      <w:r>
        <w:rPr>
          <w:rFonts w:ascii="Garamond" w:hAnsi="Garamond"/>
          <w:color w:val="1F1F1F"/>
          <w:sz w:val="22"/>
          <w:szCs w:val="22"/>
          <w:shd w:val="clear" w:color="auto" w:fill="FFFFFF"/>
        </w:rPr>
        <w:t xml:space="preserve"> for which annotation data was available, 41 were located on CpG islands, followed by 32 in the open sea</w:t>
      </w:r>
      <w:r w:rsidR="00B75D0A">
        <w:rPr>
          <w:rFonts w:ascii="Garamond" w:hAnsi="Garamond"/>
          <w:color w:val="1F1F1F"/>
          <w:sz w:val="22"/>
          <w:szCs w:val="22"/>
          <w:shd w:val="clear" w:color="auto" w:fill="FFFFFF"/>
        </w:rPr>
        <w:t>,</w:t>
      </w:r>
      <w:r>
        <w:rPr>
          <w:rFonts w:ascii="Garamond" w:hAnsi="Garamond"/>
          <w:color w:val="1F1F1F"/>
          <w:sz w:val="22"/>
          <w:szCs w:val="22"/>
          <w:shd w:val="clear" w:color="auto" w:fill="FFFFFF"/>
        </w:rPr>
        <w:t xml:space="preserve"> 20 located </w:t>
      </w:r>
      <w:r w:rsidR="00B75D0A">
        <w:rPr>
          <w:rFonts w:ascii="Garamond" w:hAnsi="Garamond"/>
          <w:color w:val="1F1F1F"/>
          <w:sz w:val="22"/>
          <w:szCs w:val="22"/>
          <w:shd w:val="clear" w:color="auto" w:fill="FFFFFF"/>
        </w:rPr>
        <w:t>on a south shore</w:t>
      </w:r>
      <w:r>
        <w:rPr>
          <w:rFonts w:ascii="Garamond" w:hAnsi="Garamond"/>
          <w:color w:val="1F1F1F"/>
          <w:sz w:val="22"/>
          <w:szCs w:val="22"/>
          <w:shd w:val="clear" w:color="auto" w:fill="FFFFFF"/>
        </w:rPr>
        <w:t xml:space="preserve">, </w:t>
      </w:r>
      <w:r w:rsidR="00B75D0A">
        <w:rPr>
          <w:rFonts w:ascii="Garamond" w:hAnsi="Garamond"/>
          <w:color w:val="1F1F1F"/>
          <w:sz w:val="22"/>
          <w:szCs w:val="22"/>
          <w:shd w:val="clear" w:color="auto" w:fill="FFFFFF"/>
        </w:rPr>
        <w:t xml:space="preserve">and </w:t>
      </w:r>
      <w:r>
        <w:rPr>
          <w:rFonts w:ascii="Garamond" w:hAnsi="Garamond"/>
          <w:color w:val="1F1F1F"/>
          <w:sz w:val="22"/>
          <w:szCs w:val="22"/>
          <w:shd w:val="clear" w:color="auto" w:fill="FFFFFF"/>
        </w:rPr>
        <w:t>12</w:t>
      </w:r>
      <w:r w:rsidR="00B75D0A">
        <w:rPr>
          <w:rFonts w:ascii="Garamond" w:hAnsi="Garamond"/>
          <w:color w:val="1F1F1F"/>
          <w:sz w:val="22"/>
          <w:szCs w:val="22"/>
          <w:shd w:val="clear" w:color="auto" w:fill="FFFFFF"/>
        </w:rPr>
        <w:t xml:space="preserve"> on a north shore.</w:t>
      </w:r>
      <w:r>
        <w:rPr>
          <w:rFonts w:ascii="Garamond" w:hAnsi="Garamond"/>
          <w:color w:val="1F1F1F"/>
          <w:sz w:val="22"/>
          <w:szCs w:val="22"/>
          <w:shd w:val="clear" w:color="auto" w:fill="FFFFFF"/>
        </w:rPr>
        <w:t xml:space="preserve"> </w:t>
      </w:r>
      <w:r w:rsidR="00B75D0A">
        <w:rPr>
          <w:rFonts w:ascii="Garamond" w:hAnsi="Garamond"/>
          <w:color w:val="1F1F1F"/>
          <w:sz w:val="22"/>
          <w:szCs w:val="22"/>
          <w:shd w:val="clear" w:color="auto" w:fill="FFFFFF"/>
        </w:rPr>
        <w:t>T</w:t>
      </w:r>
      <w:r>
        <w:rPr>
          <w:rFonts w:ascii="Garamond" w:hAnsi="Garamond"/>
          <w:color w:val="1F1F1F"/>
          <w:sz w:val="22"/>
          <w:szCs w:val="22"/>
          <w:shd w:val="clear" w:color="auto" w:fill="FFFFFF"/>
        </w:rPr>
        <w:t xml:space="preserve">he remaining </w:t>
      </w:r>
      <w:r w:rsidR="00B75D0A">
        <w:rPr>
          <w:rFonts w:ascii="Garamond" w:hAnsi="Garamond"/>
          <w:color w:val="1F1F1F"/>
          <w:sz w:val="22"/>
          <w:szCs w:val="22"/>
          <w:shd w:val="clear" w:color="auto" w:fill="FFFFFF"/>
        </w:rPr>
        <w:t>three CpG sites</w:t>
      </w:r>
      <w:r>
        <w:rPr>
          <w:rFonts w:ascii="Garamond" w:hAnsi="Garamond"/>
          <w:color w:val="1F1F1F"/>
          <w:sz w:val="22"/>
          <w:szCs w:val="22"/>
          <w:shd w:val="clear" w:color="auto" w:fill="FFFFFF"/>
        </w:rPr>
        <w:t xml:space="preserve"> were on the “shelves” of a CpG islan</w:t>
      </w:r>
      <w:r w:rsidR="0023044A">
        <w:rPr>
          <w:rFonts w:ascii="Garamond" w:hAnsi="Garamond"/>
          <w:color w:val="1F1F1F"/>
          <w:sz w:val="22"/>
          <w:szCs w:val="22"/>
          <w:shd w:val="clear" w:color="auto" w:fill="FFFFFF"/>
        </w:rPr>
        <w:t>d</w:t>
      </w:r>
      <w:r w:rsidR="00BA41DC">
        <w:rPr>
          <w:rFonts w:ascii="Garamond" w:hAnsi="Garamond"/>
          <w:color w:val="1F1F1F"/>
          <w:sz w:val="22"/>
          <w:szCs w:val="22"/>
          <w:shd w:val="clear" w:color="auto" w:fill="FFFFFF"/>
        </w:rPr>
        <w:t>, meaning that they were between 2 kb and 4 kb from the nearest CpG island</w:t>
      </w:r>
      <w:r w:rsidR="0023044A">
        <w:rPr>
          <w:rFonts w:ascii="Garamond" w:hAnsi="Garamond"/>
          <w:color w:val="1F1F1F"/>
          <w:sz w:val="22"/>
          <w:szCs w:val="22"/>
          <w:shd w:val="clear" w:color="auto" w:fill="FFFFFF"/>
        </w:rPr>
        <w:t>.</w:t>
      </w:r>
    </w:p>
    <w:p w14:paraId="787CAB68" w14:textId="6DEA8C21" w:rsidR="00CB1EDC" w:rsidRDefault="00CB1EDC" w:rsidP="007124D1">
      <w:pPr>
        <w:rPr>
          <w:rFonts w:ascii="Garamond" w:hAnsi="Garamond"/>
          <w:sz w:val="22"/>
          <w:szCs w:val="22"/>
        </w:rPr>
      </w:pPr>
      <w:r w:rsidRPr="00CB1EDC">
        <w:rPr>
          <w:rFonts w:ascii="Garamond" w:hAnsi="Garamond"/>
          <w:noProof/>
          <w:sz w:val="22"/>
          <w:szCs w:val="22"/>
        </w:rPr>
        <w:drawing>
          <wp:inline distT="0" distB="0" distL="0" distR="0" wp14:anchorId="5A0ECE44" wp14:editId="7B311745">
            <wp:extent cx="5943600" cy="1682115"/>
            <wp:effectExtent l="0" t="0" r="0" b="0"/>
            <wp:docPr id="4453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40802" name=""/>
                    <pic:cNvPicPr/>
                  </pic:nvPicPr>
                  <pic:blipFill>
                    <a:blip r:embed="rId13"/>
                    <a:stretch>
                      <a:fillRect/>
                    </a:stretch>
                  </pic:blipFill>
                  <pic:spPr>
                    <a:xfrm>
                      <a:off x="0" y="0"/>
                      <a:ext cx="5943600" cy="1682115"/>
                    </a:xfrm>
                    <a:prstGeom prst="rect">
                      <a:avLst/>
                    </a:prstGeom>
                  </pic:spPr>
                </pic:pic>
              </a:graphicData>
            </a:graphic>
          </wp:inline>
        </w:drawing>
      </w:r>
    </w:p>
    <w:p w14:paraId="53225FFC" w14:textId="77777777" w:rsidR="007124D1" w:rsidRPr="003A592A" w:rsidRDefault="007124D1" w:rsidP="007124D1">
      <w:pPr>
        <w:jc w:val="both"/>
        <w:rPr>
          <w:rFonts w:ascii="Garamond" w:hAnsi="Garamond"/>
          <w:sz w:val="22"/>
          <w:szCs w:val="22"/>
        </w:rPr>
      </w:pPr>
      <w:r>
        <w:rPr>
          <w:rFonts w:ascii="Garamond" w:hAnsi="Garamond"/>
          <w:b/>
          <w:bCs/>
          <w:sz w:val="22"/>
          <w:szCs w:val="22"/>
        </w:rPr>
        <w:t>Table 1. List of Locations of CpG Sites included in Elastic Net Regression Model (n = 108).</w:t>
      </w:r>
      <w:r>
        <w:rPr>
          <w:rFonts w:ascii="Garamond" w:hAnsi="Garamond"/>
          <w:sz w:val="22"/>
          <w:szCs w:val="22"/>
        </w:rPr>
        <w:t xml:space="preserve"> “Shores” are within 2 kilobases (kb) of the nearest CpG island, “shelves” are between 2 kb and 4 kb from the nearest CpG island, and the “open sea” is more than 4 kb away from the nearest CpG island.</w:t>
      </w:r>
    </w:p>
    <w:p w14:paraId="760EE663" w14:textId="77777777" w:rsidR="0023044A" w:rsidRDefault="0023044A">
      <w:pPr>
        <w:rPr>
          <w:rFonts w:ascii="Garamond" w:hAnsi="Garamond"/>
          <w:color w:val="1F1F1F"/>
          <w:sz w:val="22"/>
          <w:szCs w:val="22"/>
          <w:shd w:val="clear" w:color="auto" w:fill="FFFFFF"/>
        </w:rPr>
      </w:pPr>
    </w:p>
    <w:p w14:paraId="6F24EF6B" w14:textId="77777777" w:rsidR="0023044A" w:rsidRDefault="0023044A">
      <w:pPr>
        <w:rPr>
          <w:rFonts w:ascii="Garamond" w:hAnsi="Garamond"/>
          <w:color w:val="1F1F1F"/>
          <w:sz w:val="22"/>
          <w:szCs w:val="22"/>
          <w:shd w:val="clear" w:color="auto" w:fill="FFFFFF"/>
        </w:rPr>
      </w:pPr>
    </w:p>
    <w:p w14:paraId="3079E9A5" w14:textId="77777777" w:rsidR="00675785" w:rsidRDefault="00675785">
      <w:pPr>
        <w:rPr>
          <w:rFonts w:ascii="Garamond" w:hAnsi="Garamond"/>
          <w:color w:val="1F1F1F"/>
          <w:sz w:val="22"/>
          <w:szCs w:val="22"/>
          <w:shd w:val="clear" w:color="auto" w:fill="FFFFFF"/>
        </w:rPr>
      </w:pPr>
    </w:p>
    <w:p w14:paraId="6FFC0962" w14:textId="77777777" w:rsidR="00675785" w:rsidRDefault="00675785">
      <w:pPr>
        <w:rPr>
          <w:rFonts w:ascii="Garamond" w:hAnsi="Garamond"/>
          <w:color w:val="1F1F1F"/>
          <w:sz w:val="22"/>
          <w:szCs w:val="22"/>
          <w:shd w:val="clear" w:color="auto" w:fill="FFFFFF"/>
        </w:rPr>
      </w:pPr>
    </w:p>
    <w:p w14:paraId="4374FA59" w14:textId="77777777" w:rsidR="00675785" w:rsidRDefault="00675785">
      <w:pPr>
        <w:rPr>
          <w:rFonts w:ascii="Garamond" w:hAnsi="Garamond"/>
          <w:color w:val="1F1F1F"/>
          <w:sz w:val="22"/>
          <w:szCs w:val="22"/>
          <w:shd w:val="clear" w:color="auto" w:fill="FFFFFF"/>
        </w:rPr>
      </w:pPr>
    </w:p>
    <w:p w14:paraId="2D77E24F" w14:textId="77777777" w:rsidR="00675785" w:rsidRDefault="00675785">
      <w:pPr>
        <w:rPr>
          <w:rFonts w:ascii="Garamond" w:hAnsi="Garamond"/>
          <w:color w:val="1F1F1F"/>
          <w:sz w:val="22"/>
          <w:szCs w:val="22"/>
          <w:shd w:val="clear" w:color="auto" w:fill="FFFFFF"/>
        </w:rPr>
      </w:pPr>
    </w:p>
    <w:p w14:paraId="6D094646" w14:textId="77777777" w:rsidR="00675785" w:rsidRDefault="00675785">
      <w:pPr>
        <w:rPr>
          <w:rFonts w:ascii="Garamond" w:hAnsi="Garamond"/>
          <w:color w:val="1F1F1F"/>
          <w:sz w:val="22"/>
          <w:szCs w:val="22"/>
          <w:shd w:val="clear" w:color="auto" w:fill="FFFFFF"/>
        </w:rPr>
      </w:pPr>
    </w:p>
    <w:p w14:paraId="1A0FA731" w14:textId="77777777" w:rsidR="00675785" w:rsidRDefault="00675785">
      <w:pPr>
        <w:rPr>
          <w:rFonts w:ascii="Garamond" w:hAnsi="Garamond"/>
          <w:color w:val="1F1F1F"/>
          <w:sz w:val="22"/>
          <w:szCs w:val="22"/>
          <w:shd w:val="clear" w:color="auto" w:fill="FFFFFF"/>
        </w:rPr>
      </w:pPr>
    </w:p>
    <w:p w14:paraId="0C9E850A" w14:textId="77777777" w:rsidR="00675785" w:rsidRDefault="00675785">
      <w:pPr>
        <w:rPr>
          <w:rFonts w:ascii="Garamond" w:hAnsi="Garamond"/>
          <w:color w:val="1F1F1F"/>
          <w:sz w:val="22"/>
          <w:szCs w:val="22"/>
          <w:shd w:val="clear" w:color="auto" w:fill="FFFFFF"/>
        </w:rPr>
      </w:pPr>
    </w:p>
    <w:p w14:paraId="27E7AB47" w14:textId="77777777" w:rsidR="009B4277" w:rsidRDefault="009B4277">
      <w:pPr>
        <w:rPr>
          <w:rFonts w:ascii="Garamond" w:hAnsi="Garamond"/>
          <w:color w:val="1F1F1F"/>
          <w:sz w:val="22"/>
          <w:szCs w:val="22"/>
          <w:shd w:val="clear" w:color="auto" w:fill="FFFFFF"/>
        </w:rPr>
      </w:pPr>
    </w:p>
    <w:p w14:paraId="6001DE7C" w14:textId="203EE519" w:rsidR="00F95402" w:rsidRPr="00543545" w:rsidRDefault="00F95402">
      <w:pPr>
        <w:rPr>
          <w:rFonts w:ascii="Garamond" w:hAnsi="Garamond"/>
          <w:color w:val="1F1F1F"/>
          <w:sz w:val="22"/>
          <w:szCs w:val="22"/>
          <w:shd w:val="clear" w:color="auto" w:fill="FFFFFF"/>
        </w:rPr>
      </w:pPr>
      <w:r>
        <w:rPr>
          <w:rFonts w:ascii="Garamond" w:hAnsi="Garamond"/>
          <w:b/>
          <w:bCs/>
          <w:sz w:val="28"/>
          <w:szCs w:val="28"/>
          <w:u w:val="single"/>
        </w:rPr>
        <w:lastRenderedPageBreak/>
        <w:t>Conclusion</w:t>
      </w:r>
    </w:p>
    <w:p w14:paraId="20EE2C19" w14:textId="77777777" w:rsidR="009C7244" w:rsidRDefault="009C7244">
      <w:pPr>
        <w:rPr>
          <w:rFonts w:ascii="Garamond" w:hAnsi="Garamond"/>
          <w:b/>
          <w:bCs/>
          <w:sz w:val="22"/>
          <w:szCs w:val="22"/>
          <w:u w:val="single"/>
        </w:rPr>
      </w:pPr>
    </w:p>
    <w:p w14:paraId="2FB58D5A" w14:textId="6A497E56" w:rsidR="009C7244" w:rsidRDefault="009C7244">
      <w:pPr>
        <w:rPr>
          <w:rFonts w:ascii="Garamond" w:hAnsi="Garamond"/>
          <w:b/>
          <w:bCs/>
          <w:sz w:val="22"/>
          <w:szCs w:val="22"/>
          <w:u w:val="single"/>
        </w:rPr>
      </w:pPr>
      <w:r>
        <w:rPr>
          <w:rFonts w:ascii="Garamond" w:hAnsi="Garamond"/>
          <w:b/>
          <w:bCs/>
          <w:sz w:val="22"/>
          <w:szCs w:val="22"/>
          <w:u w:val="single"/>
        </w:rPr>
        <w:t>Findings</w:t>
      </w:r>
    </w:p>
    <w:p w14:paraId="781A7DC3" w14:textId="77777777" w:rsidR="009C1F95" w:rsidRDefault="009C1F95">
      <w:pPr>
        <w:rPr>
          <w:rFonts w:ascii="Garamond" w:hAnsi="Garamond"/>
          <w:b/>
          <w:bCs/>
          <w:sz w:val="22"/>
          <w:szCs w:val="22"/>
          <w:u w:val="single"/>
        </w:rPr>
      </w:pPr>
    </w:p>
    <w:p w14:paraId="312318E9" w14:textId="27EE9044" w:rsidR="00E301C6" w:rsidRPr="00AE1160" w:rsidRDefault="009C1F95">
      <w:pPr>
        <w:rPr>
          <w:rFonts w:ascii="Garamond" w:hAnsi="Garamond"/>
          <w:sz w:val="22"/>
          <w:szCs w:val="22"/>
        </w:rPr>
      </w:pPr>
      <w:r>
        <w:rPr>
          <w:rFonts w:ascii="Garamond" w:hAnsi="Garamond"/>
          <w:sz w:val="22"/>
          <w:szCs w:val="22"/>
        </w:rPr>
        <w:t xml:space="preserve">The objective of our analysis was to determine DNA methylation patterns between tumor tissue and normal tissue in a cohort of 27 patients from the TCGA-BRCA study, which used a paired case-control design that </w:t>
      </w:r>
      <w:r w:rsidR="0085231B">
        <w:rPr>
          <w:rFonts w:ascii="Garamond" w:hAnsi="Garamond"/>
          <w:sz w:val="22"/>
          <w:szCs w:val="22"/>
        </w:rPr>
        <w:t xml:space="preserve">allowed us to compare the two types of tissue in the same individuals. </w:t>
      </w:r>
      <w:r>
        <w:rPr>
          <w:rFonts w:ascii="Garamond" w:hAnsi="Garamond"/>
          <w:sz w:val="22"/>
          <w:szCs w:val="22"/>
        </w:rPr>
        <w:t xml:space="preserve">From both our exploratory analysis and regression model, </w:t>
      </w:r>
      <w:r w:rsidR="0085231B">
        <w:rPr>
          <w:rFonts w:ascii="Garamond" w:hAnsi="Garamond"/>
          <w:sz w:val="22"/>
          <w:szCs w:val="22"/>
        </w:rPr>
        <w:t>we found</w:t>
      </w:r>
      <w:r>
        <w:rPr>
          <w:rFonts w:ascii="Garamond" w:hAnsi="Garamond"/>
          <w:sz w:val="22"/>
          <w:szCs w:val="22"/>
        </w:rPr>
        <w:t xml:space="preserve"> a clear association between DNA methylation and </w:t>
      </w:r>
      <w:r w:rsidR="0085231B">
        <w:rPr>
          <w:rFonts w:ascii="Garamond" w:hAnsi="Garamond"/>
          <w:sz w:val="22"/>
          <w:szCs w:val="22"/>
        </w:rPr>
        <w:t xml:space="preserve">tissue type; while the volcano plot showed that there are hundreds of CpG sites that were either hypo- or hypermethylated in tumor tissue, the principal component plot showed that the first two principal components effectively separated tumor tissue and normal tissue. </w:t>
      </w:r>
      <w:r w:rsidR="00AE1160">
        <w:rPr>
          <w:rFonts w:ascii="Garamond" w:hAnsi="Garamond"/>
          <w:sz w:val="22"/>
          <w:szCs w:val="22"/>
        </w:rPr>
        <w:t>With respect to the associations found in the volcano plot, over 600 CpG sites had a log</w:t>
      </w:r>
      <w:r w:rsidR="00AE1160">
        <w:rPr>
          <w:rFonts w:ascii="Garamond" w:hAnsi="Garamond"/>
          <w:sz w:val="22"/>
          <w:szCs w:val="22"/>
          <w:vertAlign w:val="subscript"/>
        </w:rPr>
        <w:t>2</w:t>
      </w:r>
      <w:r w:rsidR="00AE1160">
        <w:rPr>
          <w:rFonts w:ascii="Garamond" w:hAnsi="Garamond"/>
          <w:sz w:val="22"/>
          <w:szCs w:val="22"/>
        </w:rPr>
        <w:t xml:space="preserve"> fold change score with a magnitude greater than 2, even after adjusting for multiple comparisons using false discovery rate.</w:t>
      </w:r>
    </w:p>
    <w:p w14:paraId="78B1E8E3" w14:textId="77777777" w:rsidR="00E301C6" w:rsidRDefault="00E301C6">
      <w:pPr>
        <w:rPr>
          <w:rFonts w:ascii="Garamond" w:hAnsi="Garamond"/>
          <w:sz w:val="22"/>
          <w:szCs w:val="22"/>
        </w:rPr>
      </w:pPr>
    </w:p>
    <w:p w14:paraId="7F0EB8D4" w14:textId="3A6E0809" w:rsidR="009C7244" w:rsidRDefault="00E301C6">
      <w:pPr>
        <w:rPr>
          <w:rFonts w:ascii="Garamond" w:hAnsi="Garamond"/>
          <w:sz w:val="22"/>
          <w:szCs w:val="22"/>
        </w:rPr>
      </w:pPr>
      <w:r>
        <w:rPr>
          <w:rFonts w:ascii="Garamond" w:hAnsi="Garamond"/>
          <w:sz w:val="22"/>
          <w:szCs w:val="22"/>
        </w:rPr>
        <w:t xml:space="preserve">Our </w:t>
      </w:r>
      <w:r w:rsidR="004A56AB">
        <w:rPr>
          <w:rFonts w:ascii="Garamond" w:hAnsi="Garamond"/>
          <w:sz w:val="22"/>
          <w:szCs w:val="22"/>
        </w:rPr>
        <w:t xml:space="preserve">regularized logistic regression model </w:t>
      </w:r>
      <w:r w:rsidR="00D2249F">
        <w:rPr>
          <w:rFonts w:ascii="Garamond" w:hAnsi="Garamond"/>
          <w:sz w:val="22"/>
          <w:szCs w:val="22"/>
        </w:rPr>
        <w:t>gave us key insight into which CpG sites were most strongly associated with breast can</w:t>
      </w:r>
      <w:r w:rsidR="007D3F44">
        <w:rPr>
          <w:rFonts w:ascii="Garamond" w:hAnsi="Garamond"/>
          <w:sz w:val="22"/>
          <w:szCs w:val="22"/>
        </w:rPr>
        <w:t>cer, but we did not see any clear patterns among the CpG sites selected in our model with respect to their location in the human genome. The model also eliminated any clinical covariates such as age and race, which makes sense given the paired format of our data.</w:t>
      </w:r>
    </w:p>
    <w:p w14:paraId="28C75982" w14:textId="77777777" w:rsidR="00E301C6" w:rsidRDefault="00E301C6">
      <w:pPr>
        <w:rPr>
          <w:rFonts w:ascii="Garamond" w:hAnsi="Garamond"/>
          <w:b/>
          <w:bCs/>
          <w:sz w:val="22"/>
          <w:szCs w:val="22"/>
          <w:u w:val="single"/>
        </w:rPr>
      </w:pPr>
    </w:p>
    <w:p w14:paraId="08E334C0" w14:textId="16E51C57" w:rsidR="009C7244" w:rsidRDefault="009C7244">
      <w:pPr>
        <w:rPr>
          <w:rFonts w:ascii="Garamond" w:hAnsi="Garamond"/>
          <w:b/>
          <w:bCs/>
          <w:sz w:val="22"/>
          <w:szCs w:val="22"/>
          <w:u w:val="single"/>
        </w:rPr>
      </w:pPr>
      <w:r>
        <w:rPr>
          <w:rFonts w:ascii="Garamond" w:hAnsi="Garamond"/>
          <w:b/>
          <w:bCs/>
          <w:sz w:val="22"/>
          <w:szCs w:val="22"/>
          <w:u w:val="single"/>
        </w:rPr>
        <w:t>Limitations</w:t>
      </w:r>
      <w:r w:rsidR="00B3785A">
        <w:rPr>
          <w:rFonts w:ascii="Garamond" w:hAnsi="Garamond"/>
          <w:b/>
          <w:bCs/>
          <w:sz w:val="22"/>
          <w:szCs w:val="22"/>
          <w:u w:val="single"/>
        </w:rPr>
        <w:t xml:space="preserve"> and Next Steps</w:t>
      </w:r>
    </w:p>
    <w:p w14:paraId="60291188" w14:textId="77777777" w:rsidR="009C7244" w:rsidRDefault="009C7244">
      <w:pPr>
        <w:rPr>
          <w:rFonts w:ascii="Garamond" w:hAnsi="Garamond"/>
          <w:b/>
          <w:bCs/>
          <w:sz w:val="22"/>
          <w:szCs w:val="22"/>
          <w:u w:val="single"/>
        </w:rPr>
      </w:pPr>
    </w:p>
    <w:p w14:paraId="6753F7EF" w14:textId="46AF255D" w:rsidR="009C7244" w:rsidRPr="009C7244" w:rsidRDefault="009C7244">
      <w:pPr>
        <w:rPr>
          <w:rFonts w:ascii="Garamond" w:hAnsi="Garamond"/>
          <w:sz w:val="22"/>
          <w:szCs w:val="22"/>
        </w:rPr>
      </w:pPr>
      <w:r>
        <w:rPr>
          <w:rFonts w:ascii="Garamond" w:hAnsi="Garamond"/>
          <w:sz w:val="22"/>
          <w:szCs w:val="22"/>
        </w:rPr>
        <w:t xml:space="preserve">Even though we worked with over 20,000 CpG sites for our analysis, there are </w:t>
      </w:r>
      <w:r w:rsidR="00F345A3">
        <w:rPr>
          <w:rFonts w:ascii="Garamond" w:hAnsi="Garamond"/>
          <w:sz w:val="22"/>
          <w:szCs w:val="22"/>
        </w:rPr>
        <w:t>estimated</w:t>
      </w:r>
      <w:r>
        <w:rPr>
          <w:rFonts w:ascii="Garamond" w:hAnsi="Garamond"/>
          <w:sz w:val="22"/>
          <w:szCs w:val="22"/>
        </w:rPr>
        <w:t xml:space="preserve"> to be between 28-30 </w:t>
      </w:r>
      <w:r>
        <w:rPr>
          <w:rFonts w:ascii="Garamond" w:hAnsi="Garamond"/>
          <w:i/>
          <w:iCs/>
          <w:sz w:val="22"/>
          <w:szCs w:val="22"/>
        </w:rPr>
        <w:t>million</w:t>
      </w:r>
      <w:r>
        <w:rPr>
          <w:rFonts w:ascii="Garamond" w:hAnsi="Garamond"/>
          <w:sz w:val="22"/>
          <w:szCs w:val="22"/>
        </w:rPr>
        <w:t xml:space="preserve"> CpG sites in the human genome, meaning that we used less than 0.1% of human CpG sites for our analysis, limiting our scope. From a model fit standpoint, </w:t>
      </w:r>
      <w:r w:rsidR="00064562">
        <w:rPr>
          <w:rFonts w:ascii="Garamond" w:hAnsi="Garamond"/>
          <w:sz w:val="22"/>
          <w:szCs w:val="22"/>
        </w:rPr>
        <w:t xml:space="preserve">given that our </w:t>
      </w:r>
      <w:r>
        <w:rPr>
          <w:rFonts w:ascii="Garamond" w:hAnsi="Garamond"/>
          <w:sz w:val="22"/>
          <w:szCs w:val="22"/>
        </w:rPr>
        <w:t xml:space="preserve">elastic net model predicted all 54 tissue types correctly on </w:t>
      </w:r>
      <w:r w:rsidR="00B3785A">
        <w:rPr>
          <w:rFonts w:ascii="Garamond" w:hAnsi="Garamond"/>
          <w:sz w:val="22"/>
          <w:szCs w:val="22"/>
        </w:rPr>
        <w:t xml:space="preserve">the training data, </w:t>
      </w:r>
      <w:r w:rsidR="00064562">
        <w:rPr>
          <w:rFonts w:ascii="Garamond" w:hAnsi="Garamond"/>
          <w:sz w:val="22"/>
          <w:szCs w:val="22"/>
        </w:rPr>
        <w:t>f</w:t>
      </w:r>
      <w:r w:rsidR="00576291">
        <w:rPr>
          <w:rFonts w:ascii="Garamond" w:hAnsi="Garamond"/>
          <w:sz w:val="22"/>
          <w:szCs w:val="22"/>
        </w:rPr>
        <w:t>uture analysis could determine whether the model generalizes well to novel testing data</w:t>
      </w:r>
      <w:r w:rsidR="00064562">
        <w:rPr>
          <w:rFonts w:ascii="Garamond" w:hAnsi="Garamond"/>
          <w:sz w:val="22"/>
          <w:szCs w:val="22"/>
        </w:rPr>
        <w:t>, as the model could potentially be overfit</w:t>
      </w:r>
      <w:r w:rsidR="00576291">
        <w:rPr>
          <w:rFonts w:ascii="Garamond" w:hAnsi="Garamond"/>
          <w:sz w:val="22"/>
          <w:szCs w:val="22"/>
        </w:rPr>
        <w:t>.</w:t>
      </w:r>
      <w:r w:rsidR="005C2C3E">
        <w:rPr>
          <w:rFonts w:ascii="Garamond" w:hAnsi="Garamond"/>
          <w:sz w:val="22"/>
          <w:szCs w:val="22"/>
        </w:rPr>
        <w:t xml:space="preserve"> Since we did not have much information on interactions between CpG sites, such as close proximity on the same chromosome, location on the same CpG island, or relatedness in biological pathways related to cancer, we could conduct a revised analysis with these variables being incorporated into the final model. Additionally, we could use information on interactions between CpG sites to consolidate groups of CpG sites into sets, reducing the impact of multiple comparisons and therefore allowing us to identify more CpG sites that may have statistically significant associations with breast cancer.</w:t>
      </w:r>
    </w:p>
    <w:p w14:paraId="6A1EEC1B" w14:textId="77777777" w:rsidR="009C7244" w:rsidRPr="009C7244" w:rsidRDefault="009C7244">
      <w:pPr>
        <w:rPr>
          <w:rFonts w:ascii="Garamond" w:hAnsi="Garamond"/>
          <w:b/>
          <w:bCs/>
          <w:u w:val="single"/>
        </w:rPr>
      </w:pPr>
    </w:p>
    <w:p w14:paraId="4F424166" w14:textId="77777777" w:rsidR="00DC6D4A" w:rsidRPr="00CB3FD0" w:rsidRDefault="00DC6D4A" w:rsidP="00CB3FD0">
      <w:pPr>
        <w:rPr>
          <w:rFonts w:ascii="Garamond" w:hAnsi="Garamond"/>
          <w:sz w:val="22"/>
          <w:szCs w:val="22"/>
        </w:rPr>
      </w:pPr>
    </w:p>
    <w:p w14:paraId="7ACB0786" w14:textId="77777777" w:rsidR="0004213C" w:rsidRDefault="0004213C">
      <w:pPr>
        <w:rPr>
          <w:rFonts w:ascii="Garamond" w:hAnsi="Garamond"/>
          <w:b/>
          <w:bCs/>
          <w:sz w:val="28"/>
          <w:szCs w:val="28"/>
          <w:u w:val="single"/>
        </w:rPr>
      </w:pPr>
    </w:p>
    <w:p w14:paraId="62127D10" w14:textId="77777777" w:rsidR="0004213C" w:rsidRDefault="0004213C">
      <w:pPr>
        <w:rPr>
          <w:rFonts w:ascii="Garamond" w:hAnsi="Garamond"/>
          <w:b/>
          <w:bCs/>
          <w:sz w:val="28"/>
          <w:szCs w:val="28"/>
          <w:u w:val="single"/>
        </w:rPr>
      </w:pPr>
    </w:p>
    <w:p w14:paraId="1D8078B6" w14:textId="77777777" w:rsidR="0004213C" w:rsidRDefault="0004213C">
      <w:pPr>
        <w:rPr>
          <w:rFonts w:ascii="Garamond" w:hAnsi="Garamond"/>
          <w:b/>
          <w:bCs/>
          <w:sz w:val="28"/>
          <w:szCs w:val="28"/>
          <w:u w:val="single"/>
        </w:rPr>
      </w:pPr>
    </w:p>
    <w:p w14:paraId="75D55AB1" w14:textId="77777777" w:rsidR="0004213C" w:rsidRDefault="0004213C">
      <w:pPr>
        <w:rPr>
          <w:rFonts w:ascii="Garamond" w:hAnsi="Garamond"/>
          <w:b/>
          <w:bCs/>
          <w:sz w:val="28"/>
          <w:szCs w:val="28"/>
          <w:u w:val="single"/>
        </w:rPr>
      </w:pPr>
    </w:p>
    <w:p w14:paraId="04F6775F" w14:textId="77777777" w:rsidR="0004213C" w:rsidRDefault="0004213C">
      <w:pPr>
        <w:rPr>
          <w:rFonts w:ascii="Garamond" w:hAnsi="Garamond"/>
          <w:b/>
          <w:bCs/>
          <w:sz w:val="28"/>
          <w:szCs w:val="28"/>
          <w:u w:val="single"/>
        </w:rPr>
      </w:pPr>
    </w:p>
    <w:p w14:paraId="031C830B" w14:textId="77777777" w:rsidR="0004213C" w:rsidRDefault="0004213C">
      <w:pPr>
        <w:rPr>
          <w:rFonts w:ascii="Garamond" w:hAnsi="Garamond"/>
          <w:b/>
          <w:bCs/>
          <w:sz w:val="28"/>
          <w:szCs w:val="28"/>
          <w:u w:val="single"/>
        </w:rPr>
      </w:pPr>
    </w:p>
    <w:p w14:paraId="1DC1C23C" w14:textId="77777777" w:rsidR="007D3F44" w:rsidRDefault="007D3F44" w:rsidP="00CB3FD0">
      <w:pPr>
        <w:rPr>
          <w:rFonts w:ascii="Garamond" w:hAnsi="Garamond"/>
          <w:b/>
          <w:bCs/>
          <w:sz w:val="28"/>
          <w:szCs w:val="28"/>
          <w:u w:val="single"/>
        </w:rPr>
      </w:pPr>
    </w:p>
    <w:p w14:paraId="56095B04" w14:textId="77777777" w:rsidR="007D3F44" w:rsidRDefault="007D3F44" w:rsidP="00CB3FD0">
      <w:pPr>
        <w:rPr>
          <w:rFonts w:ascii="Garamond" w:hAnsi="Garamond"/>
          <w:b/>
          <w:bCs/>
          <w:sz w:val="28"/>
          <w:szCs w:val="28"/>
          <w:u w:val="single"/>
        </w:rPr>
      </w:pPr>
    </w:p>
    <w:p w14:paraId="4BC7840F" w14:textId="77777777" w:rsidR="007D3F44" w:rsidRDefault="007D3F44" w:rsidP="00CB3FD0">
      <w:pPr>
        <w:rPr>
          <w:rFonts w:ascii="Garamond" w:hAnsi="Garamond"/>
          <w:b/>
          <w:bCs/>
          <w:sz w:val="28"/>
          <w:szCs w:val="28"/>
          <w:u w:val="single"/>
        </w:rPr>
      </w:pPr>
    </w:p>
    <w:p w14:paraId="7789A8DA" w14:textId="77777777" w:rsidR="007D3F44" w:rsidRDefault="007D3F44" w:rsidP="00CB3FD0">
      <w:pPr>
        <w:rPr>
          <w:rFonts w:ascii="Garamond" w:hAnsi="Garamond"/>
          <w:b/>
          <w:bCs/>
          <w:sz w:val="28"/>
          <w:szCs w:val="28"/>
          <w:u w:val="single"/>
        </w:rPr>
      </w:pPr>
    </w:p>
    <w:p w14:paraId="132724C7" w14:textId="77777777" w:rsidR="007D3F44" w:rsidRDefault="007D3F44" w:rsidP="00CB3FD0">
      <w:pPr>
        <w:rPr>
          <w:rFonts w:ascii="Garamond" w:hAnsi="Garamond"/>
          <w:b/>
          <w:bCs/>
          <w:sz w:val="28"/>
          <w:szCs w:val="28"/>
          <w:u w:val="single"/>
        </w:rPr>
      </w:pPr>
    </w:p>
    <w:p w14:paraId="153F6584" w14:textId="77777777" w:rsidR="007D3F44" w:rsidRDefault="007D3F44" w:rsidP="00CB3FD0">
      <w:pPr>
        <w:rPr>
          <w:rFonts w:ascii="Garamond" w:hAnsi="Garamond"/>
          <w:b/>
          <w:bCs/>
          <w:sz w:val="28"/>
          <w:szCs w:val="28"/>
          <w:u w:val="single"/>
        </w:rPr>
      </w:pPr>
    </w:p>
    <w:p w14:paraId="21D36EFE" w14:textId="77777777" w:rsidR="007D3F44" w:rsidRDefault="007D3F44" w:rsidP="00CB3FD0">
      <w:pPr>
        <w:rPr>
          <w:rFonts w:ascii="Garamond" w:hAnsi="Garamond"/>
          <w:b/>
          <w:bCs/>
          <w:sz w:val="28"/>
          <w:szCs w:val="28"/>
          <w:u w:val="single"/>
        </w:rPr>
      </w:pPr>
    </w:p>
    <w:p w14:paraId="00C881EC" w14:textId="77777777" w:rsidR="00E970D1" w:rsidRDefault="00E970D1" w:rsidP="00CB3FD0">
      <w:pPr>
        <w:rPr>
          <w:rFonts w:ascii="Garamond" w:hAnsi="Garamond"/>
          <w:b/>
          <w:bCs/>
          <w:sz w:val="28"/>
          <w:szCs w:val="28"/>
          <w:u w:val="single"/>
        </w:rPr>
      </w:pPr>
    </w:p>
    <w:p w14:paraId="6D69F7ED" w14:textId="59ADEF77" w:rsidR="00CB3FD0" w:rsidRDefault="00CB3FD0" w:rsidP="00CB3FD0">
      <w:pPr>
        <w:rPr>
          <w:rFonts w:ascii="Garamond" w:hAnsi="Garamond"/>
          <w:b/>
          <w:bCs/>
          <w:sz w:val="22"/>
          <w:szCs w:val="22"/>
          <w:u w:val="single"/>
        </w:rPr>
      </w:pPr>
      <w:r>
        <w:rPr>
          <w:rFonts w:ascii="Garamond" w:hAnsi="Garamond"/>
          <w:b/>
          <w:bCs/>
          <w:sz w:val="28"/>
          <w:szCs w:val="28"/>
          <w:u w:val="single"/>
        </w:rPr>
        <w:lastRenderedPageBreak/>
        <w:t>References</w:t>
      </w:r>
    </w:p>
    <w:p w14:paraId="5F720EAF" w14:textId="77777777" w:rsidR="005C2C3E" w:rsidRPr="005C2C3E" w:rsidRDefault="005C2C3E" w:rsidP="00CB3FD0">
      <w:pPr>
        <w:rPr>
          <w:rFonts w:ascii="Garamond" w:hAnsi="Garamond"/>
          <w:sz w:val="22"/>
          <w:szCs w:val="22"/>
        </w:rPr>
      </w:pPr>
    </w:p>
    <w:p w14:paraId="6ED5A28D" w14:textId="30AD8B94" w:rsidR="00020B6D" w:rsidRPr="00020B6D" w:rsidRDefault="00020B6D" w:rsidP="004139A3">
      <w:pPr>
        <w:pStyle w:val="ListParagraph"/>
        <w:numPr>
          <w:ilvl w:val="0"/>
          <w:numId w:val="1"/>
        </w:numPr>
        <w:rPr>
          <w:rFonts w:ascii="Garamond" w:hAnsi="Garamond"/>
          <w:sz w:val="22"/>
          <w:szCs w:val="22"/>
        </w:rPr>
      </w:pPr>
      <w:r w:rsidRPr="00020B6D">
        <w:rPr>
          <w:rStyle w:val="Strong"/>
          <w:rFonts w:ascii="Garamond" w:eastAsiaTheme="majorEastAsia" w:hAnsi="Garamond"/>
          <w:sz w:val="22"/>
          <w:szCs w:val="22"/>
        </w:rPr>
        <w:t>Szyf, Moshe, Pouya Pakneshan, and Shafaat A. Rabbani.</w:t>
      </w:r>
      <w:r w:rsidRPr="00020B6D">
        <w:rPr>
          <w:rFonts w:ascii="Garamond" w:hAnsi="Garamond"/>
          <w:sz w:val="22"/>
          <w:szCs w:val="22"/>
        </w:rPr>
        <w:t xml:space="preserve"> "DNA Methylation and Breast Cancer." </w:t>
      </w:r>
      <w:r w:rsidRPr="00020B6D">
        <w:rPr>
          <w:rStyle w:val="Emphasis"/>
          <w:rFonts w:ascii="Garamond" w:eastAsiaTheme="majorEastAsia" w:hAnsi="Garamond"/>
          <w:sz w:val="22"/>
          <w:szCs w:val="22"/>
        </w:rPr>
        <w:t>Biochemical Pharmacology</w:t>
      </w:r>
      <w:r w:rsidRPr="00020B6D">
        <w:rPr>
          <w:rFonts w:ascii="Garamond" w:hAnsi="Garamond"/>
          <w:sz w:val="22"/>
          <w:szCs w:val="22"/>
        </w:rPr>
        <w:t xml:space="preserve"> 68, no. 6 (September 15, 2004): 1187–1197. </w:t>
      </w:r>
      <w:hyperlink r:id="rId14" w:history="1">
        <w:r w:rsidRPr="00020B6D">
          <w:rPr>
            <w:rStyle w:val="Hyperlink"/>
            <w:rFonts w:ascii="Garamond" w:hAnsi="Garamond"/>
            <w:sz w:val="22"/>
            <w:szCs w:val="22"/>
          </w:rPr>
          <w:t>https://doi.org/10.1016/j.bcp.2004.04.030</w:t>
        </w:r>
      </w:hyperlink>
      <w:r w:rsidRPr="00020B6D">
        <w:rPr>
          <w:rFonts w:ascii="Garamond" w:hAnsi="Garamond"/>
          <w:sz w:val="22"/>
          <w:szCs w:val="22"/>
        </w:rPr>
        <w:t>.</w:t>
      </w:r>
    </w:p>
    <w:p w14:paraId="68C93847" w14:textId="77777777" w:rsidR="00020B6D" w:rsidRPr="00020B6D" w:rsidRDefault="00020B6D" w:rsidP="00020B6D">
      <w:pPr>
        <w:pStyle w:val="ListParagraph"/>
        <w:numPr>
          <w:ilvl w:val="0"/>
          <w:numId w:val="1"/>
        </w:numPr>
        <w:rPr>
          <w:rFonts w:ascii="Garamond" w:hAnsi="Garamond"/>
          <w:sz w:val="22"/>
          <w:szCs w:val="22"/>
        </w:rPr>
      </w:pPr>
      <w:r w:rsidRPr="00020B6D">
        <w:rPr>
          <w:rStyle w:val="Strong"/>
          <w:rFonts w:ascii="Garamond" w:eastAsiaTheme="majorEastAsia" w:hAnsi="Garamond"/>
          <w:sz w:val="22"/>
          <w:szCs w:val="22"/>
        </w:rPr>
        <w:t>Zhang, Ming, Yilin Wang, Yan Wang, Longyang Jiang, Xueping Li, Hua Gao, Minjie Wei, and Lin Zhao.</w:t>
      </w:r>
      <w:r w:rsidRPr="00020B6D">
        <w:rPr>
          <w:rFonts w:ascii="Garamond" w:hAnsi="Garamond"/>
          <w:sz w:val="22"/>
          <w:szCs w:val="22"/>
        </w:rPr>
        <w:t xml:space="preserve"> "Integrative Analysis of DNA Methylation and Gene Expression to Determine Specific Diagnostic Biomarkers and Prognostic Biomarkers of Breast Cancer." </w:t>
      </w:r>
      <w:r w:rsidRPr="00020B6D">
        <w:rPr>
          <w:rStyle w:val="Emphasis"/>
          <w:rFonts w:ascii="Garamond" w:eastAsiaTheme="majorEastAsia" w:hAnsi="Garamond"/>
          <w:sz w:val="22"/>
          <w:szCs w:val="22"/>
        </w:rPr>
        <w:t>Frontiers in Cell and Developmental Biology</w:t>
      </w:r>
      <w:r w:rsidRPr="00020B6D">
        <w:rPr>
          <w:rFonts w:ascii="Garamond" w:hAnsi="Garamond"/>
          <w:sz w:val="22"/>
          <w:szCs w:val="22"/>
        </w:rPr>
        <w:t xml:space="preserve"> 8 (December 6, 2020). </w:t>
      </w:r>
      <w:hyperlink r:id="rId15" w:history="1">
        <w:r w:rsidRPr="00020B6D">
          <w:rPr>
            <w:rStyle w:val="Hyperlink"/>
            <w:rFonts w:ascii="Garamond" w:hAnsi="Garamond"/>
            <w:sz w:val="22"/>
            <w:szCs w:val="22"/>
          </w:rPr>
          <w:t>https://doi.org/10.3389/fcell.2020.529386</w:t>
        </w:r>
      </w:hyperlink>
      <w:r w:rsidRPr="00020B6D">
        <w:rPr>
          <w:rFonts w:ascii="Garamond" w:hAnsi="Garamond"/>
          <w:sz w:val="22"/>
          <w:szCs w:val="22"/>
        </w:rPr>
        <w:t>.</w:t>
      </w:r>
    </w:p>
    <w:p w14:paraId="34C98003" w14:textId="77777777" w:rsidR="00020B6D" w:rsidRPr="00020B6D" w:rsidRDefault="00020B6D" w:rsidP="00020B6D">
      <w:pPr>
        <w:pStyle w:val="ListParagraph"/>
        <w:numPr>
          <w:ilvl w:val="0"/>
          <w:numId w:val="1"/>
        </w:numPr>
        <w:rPr>
          <w:rStyle w:val="relative"/>
          <w:rFonts w:ascii="Garamond" w:hAnsi="Garamond"/>
          <w:sz w:val="22"/>
          <w:szCs w:val="22"/>
        </w:rPr>
      </w:pPr>
      <w:r w:rsidRPr="00020B6D">
        <w:rPr>
          <w:rStyle w:val="Strong"/>
          <w:rFonts w:ascii="Garamond" w:eastAsiaTheme="majorEastAsia" w:hAnsi="Garamond"/>
          <w:sz w:val="22"/>
          <w:szCs w:val="22"/>
        </w:rPr>
        <w:t>Tang, Qiuqiong, Jie Cheng, Xue Cao, Harald Surowy, and Barbara Burwinkel.</w:t>
      </w:r>
      <w:r w:rsidRPr="00020B6D">
        <w:rPr>
          <w:rFonts w:ascii="Garamond" w:hAnsi="Garamond"/>
          <w:sz w:val="22"/>
          <w:szCs w:val="22"/>
        </w:rPr>
        <w:t xml:space="preserve"> </w:t>
      </w:r>
      <w:r w:rsidRPr="00020B6D">
        <w:rPr>
          <w:rStyle w:val="relative"/>
          <w:rFonts w:ascii="Garamond" w:eastAsiaTheme="majorEastAsia" w:hAnsi="Garamond"/>
          <w:sz w:val="22"/>
          <w:szCs w:val="22"/>
        </w:rPr>
        <w:t xml:space="preserve">"Blood-Based DNA Methylation as Biomarker for Breast Cancer: A Systematic Review." </w:t>
      </w:r>
      <w:r w:rsidRPr="00020B6D">
        <w:rPr>
          <w:rStyle w:val="Emphasis"/>
          <w:rFonts w:ascii="Garamond" w:eastAsiaTheme="majorEastAsia" w:hAnsi="Garamond"/>
          <w:sz w:val="22"/>
          <w:szCs w:val="22"/>
        </w:rPr>
        <w:t>Clinical Epigenetics</w:t>
      </w:r>
      <w:r w:rsidRPr="00020B6D">
        <w:rPr>
          <w:rStyle w:val="relative"/>
          <w:rFonts w:ascii="Garamond" w:eastAsiaTheme="majorEastAsia" w:hAnsi="Garamond"/>
          <w:sz w:val="22"/>
          <w:szCs w:val="22"/>
        </w:rPr>
        <w:t xml:space="preserve"> 8, no. 1 (2016): 115. </w:t>
      </w:r>
      <w:hyperlink r:id="rId16" w:tgtFrame="_new" w:history="1">
        <w:r w:rsidRPr="00020B6D">
          <w:rPr>
            <w:rStyle w:val="Hyperlink"/>
            <w:rFonts w:ascii="Garamond" w:eastAsiaTheme="majorEastAsia" w:hAnsi="Garamond"/>
            <w:sz w:val="22"/>
            <w:szCs w:val="22"/>
          </w:rPr>
          <w:t>https://doi.org/10.1186/s13148-016-0282-6</w:t>
        </w:r>
      </w:hyperlink>
      <w:r w:rsidRPr="00020B6D">
        <w:rPr>
          <w:rStyle w:val="relative"/>
          <w:rFonts w:ascii="Garamond" w:eastAsiaTheme="majorEastAsia" w:hAnsi="Garamond"/>
          <w:sz w:val="22"/>
          <w:szCs w:val="22"/>
        </w:rPr>
        <w:t>.</w:t>
      </w:r>
    </w:p>
    <w:p w14:paraId="1103CC4E" w14:textId="77777777" w:rsidR="00DA2282" w:rsidRPr="00DA2282" w:rsidRDefault="00020B6D" w:rsidP="00020B6D">
      <w:pPr>
        <w:pStyle w:val="ListParagraph"/>
        <w:numPr>
          <w:ilvl w:val="0"/>
          <w:numId w:val="1"/>
        </w:numPr>
        <w:rPr>
          <w:rFonts w:ascii="Garamond" w:hAnsi="Garamond"/>
          <w:sz w:val="22"/>
          <w:szCs w:val="22"/>
        </w:rPr>
      </w:pPr>
      <w:r w:rsidRPr="00020B6D">
        <w:rPr>
          <w:rStyle w:val="Strong"/>
          <w:rFonts w:ascii="Garamond" w:eastAsiaTheme="majorEastAsia" w:hAnsi="Garamond"/>
          <w:sz w:val="22"/>
          <w:szCs w:val="22"/>
        </w:rPr>
        <w:t>Tarapara, Bhoomi, and Franky Shah.</w:t>
      </w:r>
      <w:r w:rsidRPr="00020B6D">
        <w:rPr>
          <w:rFonts w:ascii="Garamond" w:hAnsi="Garamond"/>
          <w:sz w:val="22"/>
          <w:szCs w:val="22"/>
        </w:rPr>
        <w:t xml:space="preserve"> </w:t>
      </w:r>
      <w:r w:rsidRPr="00020B6D">
        <w:rPr>
          <w:rStyle w:val="relative"/>
          <w:rFonts w:ascii="Garamond" w:eastAsiaTheme="majorEastAsia" w:hAnsi="Garamond"/>
          <w:sz w:val="22"/>
          <w:szCs w:val="22"/>
        </w:rPr>
        <w:t xml:space="preserve">"BRCA1/2 Methylation and Expression Dynamics in Hereditary Breast and Ovarian Cancer: Insights from Gene, Protein, and TCGA Analysis." </w:t>
      </w:r>
      <w:r w:rsidRPr="00020B6D">
        <w:rPr>
          <w:rStyle w:val="Emphasis"/>
          <w:rFonts w:ascii="Garamond" w:eastAsiaTheme="majorEastAsia" w:hAnsi="Garamond"/>
          <w:sz w:val="22"/>
          <w:szCs w:val="22"/>
        </w:rPr>
        <w:t>Clinical and Translational Oncology</w:t>
      </w:r>
      <w:r w:rsidRPr="00020B6D">
        <w:rPr>
          <w:rStyle w:val="relative"/>
          <w:rFonts w:ascii="Garamond" w:eastAsiaTheme="majorEastAsia" w:hAnsi="Garamond"/>
          <w:sz w:val="22"/>
          <w:szCs w:val="22"/>
        </w:rPr>
        <w:t xml:space="preserve">, published online April 30, 2025. </w:t>
      </w:r>
      <w:hyperlink r:id="rId17" w:tgtFrame="_new" w:history="1">
        <w:r w:rsidRPr="00020B6D">
          <w:rPr>
            <w:rStyle w:val="Hyperlink"/>
            <w:rFonts w:ascii="Garamond" w:eastAsiaTheme="majorEastAsia" w:hAnsi="Garamond"/>
            <w:sz w:val="22"/>
            <w:szCs w:val="22"/>
          </w:rPr>
          <w:t>https://doi.org/10.1007/s12094-025-03934-w</w:t>
        </w:r>
      </w:hyperlink>
      <w:r w:rsidRPr="00020B6D">
        <w:rPr>
          <w:rStyle w:val="relative"/>
          <w:rFonts w:ascii="Garamond" w:eastAsiaTheme="majorEastAsia" w:hAnsi="Garamond"/>
          <w:sz w:val="22"/>
          <w:szCs w:val="22"/>
        </w:rPr>
        <w:t>.</w:t>
      </w:r>
      <w:r w:rsidR="00DA2282" w:rsidRPr="00DA2282">
        <w:t xml:space="preserve"> </w:t>
      </w:r>
    </w:p>
    <w:p w14:paraId="35034D76" w14:textId="77777777" w:rsidR="00DA6FBC" w:rsidRPr="00DA6FBC" w:rsidRDefault="00DA2282" w:rsidP="007D3F44">
      <w:pPr>
        <w:pStyle w:val="ListParagraph"/>
        <w:numPr>
          <w:ilvl w:val="0"/>
          <w:numId w:val="1"/>
        </w:numPr>
        <w:rPr>
          <w:rFonts w:ascii="Garamond" w:hAnsi="Garamond"/>
          <w:sz w:val="22"/>
          <w:szCs w:val="22"/>
        </w:rPr>
      </w:pPr>
      <w:r w:rsidRPr="00DA6FBC">
        <w:rPr>
          <w:rFonts w:ascii="Garamond" w:hAnsi="Garamond"/>
          <w:b/>
          <w:bCs/>
          <w:sz w:val="22"/>
          <w:szCs w:val="22"/>
        </w:rPr>
        <w:t xml:space="preserve">Dalman, Mark R., Anthony Deeter, Gayathri Nimishakavi, and Zhong-Hui Duan. </w:t>
      </w:r>
      <w:r w:rsidRPr="00DA6FBC">
        <w:rPr>
          <w:rFonts w:ascii="Garamond" w:hAnsi="Garamond"/>
          <w:sz w:val="22"/>
          <w:szCs w:val="22"/>
        </w:rPr>
        <w:t xml:space="preserve">"Fold Change and P-Value Cutoffs Significantly Alter Microarray Interpretations." </w:t>
      </w:r>
      <w:r w:rsidRPr="00DA6FBC">
        <w:rPr>
          <w:rStyle w:val="Emphasis"/>
          <w:rFonts w:ascii="Garamond" w:eastAsiaTheme="majorEastAsia" w:hAnsi="Garamond"/>
          <w:sz w:val="22"/>
          <w:szCs w:val="22"/>
        </w:rPr>
        <w:t>BMC Bioinformatics</w:t>
      </w:r>
      <w:r w:rsidRPr="00DA6FBC">
        <w:rPr>
          <w:rFonts w:ascii="Garamond" w:hAnsi="Garamond"/>
          <w:sz w:val="22"/>
          <w:szCs w:val="22"/>
        </w:rPr>
        <w:t xml:space="preserve"> 13, Suppl 2 (2012): S11. </w:t>
      </w:r>
      <w:hyperlink r:id="rId18" w:tgtFrame="_new" w:history="1">
        <w:r w:rsidRPr="00DA6FBC">
          <w:rPr>
            <w:rStyle w:val="Hyperlink"/>
            <w:rFonts w:ascii="Garamond" w:eastAsiaTheme="majorEastAsia" w:hAnsi="Garamond"/>
            <w:sz w:val="22"/>
            <w:szCs w:val="22"/>
          </w:rPr>
          <w:t>https://doi.org/10.1186/1471-2105-13-S2-S11</w:t>
        </w:r>
      </w:hyperlink>
      <w:r w:rsidRPr="00DA6FBC">
        <w:rPr>
          <w:rFonts w:ascii="Garamond" w:hAnsi="Garamond"/>
          <w:sz w:val="22"/>
          <w:szCs w:val="22"/>
        </w:rPr>
        <w:t>.</w:t>
      </w:r>
    </w:p>
    <w:p w14:paraId="33512998" w14:textId="1ED38E35" w:rsidR="007D3F44" w:rsidRPr="00DA6FBC" w:rsidRDefault="00DA6FBC" w:rsidP="007D3F44">
      <w:pPr>
        <w:pStyle w:val="ListParagraph"/>
        <w:numPr>
          <w:ilvl w:val="0"/>
          <w:numId w:val="1"/>
        </w:numPr>
        <w:rPr>
          <w:rFonts w:ascii="Garamond" w:hAnsi="Garamond"/>
          <w:sz w:val="22"/>
          <w:szCs w:val="22"/>
        </w:rPr>
      </w:pPr>
      <w:r w:rsidRPr="00DA6FBC">
        <w:rPr>
          <w:rFonts w:ascii="Garamond" w:hAnsi="Garamond" w:cs="Segoe UI"/>
          <w:b/>
          <w:bCs/>
          <w:sz w:val="22"/>
          <w:szCs w:val="22"/>
        </w:rPr>
        <w:t>Visone, Rosa, Maria Giulia Bacalini, Simone Di Franco, Manuela Ferracin, Maria Luisa Colorito, Sara Pagotto, et al.</w:t>
      </w:r>
      <w:r w:rsidRPr="00DA6FBC">
        <w:rPr>
          <w:rFonts w:ascii="Garamond" w:hAnsi="Garamond" w:cs="Segoe UI"/>
          <w:sz w:val="22"/>
          <w:szCs w:val="22"/>
        </w:rPr>
        <w:t xml:space="preserve"> "DNA Methylation of Shelf, Shore and Open Sea CpG Positions Distinguish High Microsatellite Instability from Low or Stable Microsatellite Status Colon Cancer Stem Cells." </w:t>
      </w:r>
      <w:r w:rsidRPr="00DA6FBC">
        <w:rPr>
          <w:rStyle w:val="Emphasis"/>
          <w:rFonts w:ascii="Garamond" w:eastAsiaTheme="majorEastAsia" w:hAnsi="Garamond" w:cs="Segoe UI"/>
          <w:sz w:val="22"/>
          <w:szCs w:val="22"/>
          <w:bdr w:val="single" w:sz="2" w:space="0" w:color="E5E7EB" w:frame="1"/>
        </w:rPr>
        <w:t>Epigenomics</w:t>
      </w:r>
      <w:r w:rsidRPr="00DA6FBC">
        <w:rPr>
          <w:rFonts w:ascii="Garamond" w:hAnsi="Garamond" w:cs="Segoe UI"/>
          <w:sz w:val="22"/>
          <w:szCs w:val="22"/>
        </w:rPr>
        <w:t> 11, no. 6 (2019): 587–604. </w:t>
      </w:r>
      <w:hyperlink r:id="rId19" w:tgtFrame="_blank" w:history="1">
        <w:r w:rsidRPr="00DA6FBC">
          <w:rPr>
            <w:rStyle w:val="Hyperlink"/>
            <w:rFonts w:ascii="Garamond" w:eastAsiaTheme="majorEastAsia" w:hAnsi="Garamond" w:cs="Segoe UI"/>
            <w:sz w:val="22"/>
            <w:szCs w:val="22"/>
            <w:bdr w:val="single" w:sz="2" w:space="0" w:color="E5E7EB" w:frame="1"/>
          </w:rPr>
          <w:t>https://doi.org/10.2217/epi-2018-0153</w:t>
        </w:r>
      </w:hyperlink>
      <w:r w:rsidRPr="00DA6FBC">
        <w:rPr>
          <w:rFonts w:ascii="Garamond" w:hAnsi="Garamond" w:cs="Segoe UI"/>
          <w:sz w:val="22"/>
          <w:szCs w:val="22"/>
        </w:rPr>
        <w:t>.</w:t>
      </w:r>
    </w:p>
    <w:p w14:paraId="28FE2458" w14:textId="77777777" w:rsidR="007D3F44" w:rsidRPr="00DA6FBC" w:rsidRDefault="007D3F44" w:rsidP="007D3F44">
      <w:pPr>
        <w:rPr>
          <w:rFonts w:ascii="Garamond" w:hAnsi="Garamond"/>
          <w:sz w:val="22"/>
          <w:szCs w:val="22"/>
        </w:rPr>
      </w:pPr>
    </w:p>
    <w:p w14:paraId="7AF8F82E" w14:textId="77777777" w:rsidR="007D3F44" w:rsidRDefault="007D3F44" w:rsidP="007D3F44">
      <w:pPr>
        <w:rPr>
          <w:rFonts w:ascii="Garamond" w:hAnsi="Garamond"/>
          <w:sz w:val="22"/>
          <w:szCs w:val="22"/>
        </w:rPr>
      </w:pPr>
    </w:p>
    <w:p w14:paraId="4AE2A299" w14:textId="77777777" w:rsidR="007D3F44" w:rsidRDefault="007D3F44" w:rsidP="007D3F44">
      <w:pPr>
        <w:rPr>
          <w:rFonts w:ascii="Garamond" w:hAnsi="Garamond"/>
          <w:sz w:val="22"/>
          <w:szCs w:val="22"/>
        </w:rPr>
      </w:pPr>
    </w:p>
    <w:p w14:paraId="429BD91F" w14:textId="77777777" w:rsidR="007D3F44" w:rsidRDefault="007D3F44" w:rsidP="007D3F44">
      <w:pPr>
        <w:rPr>
          <w:rFonts w:ascii="Garamond" w:hAnsi="Garamond"/>
          <w:sz w:val="22"/>
          <w:szCs w:val="22"/>
        </w:rPr>
      </w:pPr>
    </w:p>
    <w:p w14:paraId="4BEF3A15" w14:textId="77777777" w:rsidR="007D3F44" w:rsidRDefault="007D3F44" w:rsidP="007D3F44">
      <w:pPr>
        <w:rPr>
          <w:rFonts w:ascii="Garamond" w:hAnsi="Garamond"/>
          <w:sz w:val="22"/>
          <w:szCs w:val="22"/>
        </w:rPr>
      </w:pPr>
    </w:p>
    <w:p w14:paraId="532CB1BB" w14:textId="77777777" w:rsidR="007D3F44" w:rsidRDefault="007D3F44" w:rsidP="007D3F44">
      <w:pPr>
        <w:rPr>
          <w:rFonts w:ascii="Garamond" w:hAnsi="Garamond"/>
          <w:sz w:val="22"/>
          <w:szCs w:val="22"/>
        </w:rPr>
      </w:pPr>
    </w:p>
    <w:p w14:paraId="654C0053" w14:textId="77777777" w:rsidR="007D3F44" w:rsidRDefault="007D3F44" w:rsidP="007D3F44">
      <w:pPr>
        <w:rPr>
          <w:rFonts w:ascii="Garamond" w:hAnsi="Garamond"/>
          <w:sz w:val="22"/>
          <w:szCs w:val="22"/>
        </w:rPr>
      </w:pPr>
    </w:p>
    <w:p w14:paraId="5C3180EC" w14:textId="77777777" w:rsidR="007D3F44" w:rsidRDefault="007D3F44" w:rsidP="007D3F44">
      <w:pPr>
        <w:rPr>
          <w:rFonts w:ascii="Garamond" w:hAnsi="Garamond"/>
          <w:sz w:val="22"/>
          <w:szCs w:val="22"/>
        </w:rPr>
      </w:pPr>
    </w:p>
    <w:p w14:paraId="1484392D" w14:textId="77777777" w:rsidR="007D3F44" w:rsidRDefault="007D3F44" w:rsidP="007D3F44">
      <w:pPr>
        <w:rPr>
          <w:rFonts w:ascii="Garamond" w:hAnsi="Garamond"/>
          <w:sz w:val="22"/>
          <w:szCs w:val="22"/>
        </w:rPr>
      </w:pPr>
    </w:p>
    <w:p w14:paraId="189CD3A6" w14:textId="77777777" w:rsidR="007D3F44" w:rsidRDefault="007D3F44" w:rsidP="007D3F44">
      <w:pPr>
        <w:rPr>
          <w:rFonts w:ascii="Garamond" w:hAnsi="Garamond"/>
          <w:sz w:val="22"/>
          <w:szCs w:val="22"/>
        </w:rPr>
      </w:pPr>
    </w:p>
    <w:p w14:paraId="16A538A3" w14:textId="77777777" w:rsidR="007D3F44" w:rsidRDefault="007D3F44" w:rsidP="007D3F44">
      <w:pPr>
        <w:rPr>
          <w:rFonts w:ascii="Garamond" w:hAnsi="Garamond"/>
          <w:sz w:val="22"/>
          <w:szCs w:val="22"/>
        </w:rPr>
      </w:pPr>
    </w:p>
    <w:p w14:paraId="06691979" w14:textId="77777777" w:rsidR="007D3F44" w:rsidRDefault="007D3F44" w:rsidP="007D3F44">
      <w:pPr>
        <w:rPr>
          <w:rFonts w:ascii="Garamond" w:hAnsi="Garamond"/>
          <w:sz w:val="22"/>
          <w:szCs w:val="22"/>
        </w:rPr>
      </w:pPr>
    </w:p>
    <w:p w14:paraId="519D6256" w14:textId="77777777" w:rsidR="007D3F44" w:rsidRDefault="007D3F44" w:rsidP="007D3F44">
      <w:pPr>
        <w:rPr>
          <w:rFonts w:ascii="Garamond" w:hAnsi="Garamond"/>
          <w:sz w:val="22"/>
          <w:szCs w:val="22"/>
        </w:rPr>
      </w:pPr>
    </w:p>
    <w:p w14:paraId="2D2F2697" w14:textId="77777777" w:rsidR="007D3F44" w:rsidRDefault="007D3F44" w:rsidP="007D3F44">
      <w:pPr>
        <w:rPr>
          <w:rFonts w:ascii="Garamond" w:hAnsi="Garamond"/>
          <w:sz w:val="22"/>
          <w:szCs w:val="22"/>
        </w:rPr>
      </w:pPr>
    </w:p>
    <w:p w14:paraId="5C623B8B" w14:textId="77777777" w:rsidR="007D3F44" w:rsidRDefault="007D3F44" w:rsidP="007D3F44">
      <w:pPr>
        <w:rPr>
          <w:rFonts w:ascii="Garamond" w:hAnsi="Garamond"/>
          <w:sz w:val="22"/>
          <w:szCs w:val="22"/>
        </w:rPr>
      </w:pPr>
    </w:p>
    <w:p w14:paraId="0D5455D4" w14:textId="77777777" w:rsidR="007D3F44" w:rsidRDefault="007D3F44" w:rsidP="007D3F44">
      <w:pPr>
        <w:rPr>
          <w:rFonts w:ascii="Garamond" w:hAnsi="Garamond"/>
          <w:sz w:val="22"/>
          <w:szCs w:val="22"/>
        </w:rPr>
      </w:pPr>
    </w:p>
    <w:p w14:paraId="37431D23" w14:textId="77777777" w:rsidR="007D3F44" w:rsidRDefault="007D3F44" w:rsidP="007D3F44">
      <w:pPr>
        <w:rPr>
          <w:rFonts w:ascii="Garamond" w:hAnsi="Garamond"/>
          <w:sz w:val="22"/>
          <w:szCs w:val="22"/>
        </w:rPr>
      </w:pPr>
    </w:p>
    <w:p w14:paraId="34624A9F" w14:textId="77777777" w:rsidR="007D3F44" w:rsidRDefault="007D3F44" w:rsidP="007D3F44">
      <w:pPr>
        <w:rPr>
          <w:rFonts w:ascii="Garamond" w:hAnsi="Garamond"/>
          <w:sz w:val="22"/>
          <w:szCs w:val="22"/>
        </w:rPr>
      </w:pPr>
    </w:p>
    <w:p w14:paraId="4D0A859F" w14:textId="77777777" w:rsidR="007D3F44" w:rsidRDefault="007D3F44" w:rsidP="007D3F44">
      <w:pPr>
        <w:rPr>
          <w:rFonts w:ascii="Garamond" w:hAnsi="Garamond"/>
          <w:sz w:val="22"/>
          <w:szCs w:val="22"/>
        </w:rPr>
      </w:pPr>
    </w:p>
    <w:p w14:paraId="67BA530B" w14:textId="77777777" w:rsidR="007D3F44" w:rsidRDefault="007D3F44" w:rsidP="007D3F44">
      <w:pPr>
        <w:rPr>
          <w:rFonts w:ascii="Garamond" w:hAnsi="Garamond"/>
          <w:sz w:val="22"/>
          <w:szCs w:val="22"/>
        </w:rPr>
      </w:pPr>
    </w:p>
    <w:p w14:paraId="07300B23" w14:textId="77777777" w:rsidR="007D3F44" w:rsidRDefault="007D3F44" w:rsidP="007D3F44">
      <w:pPr>
        <w:rPr>
          <w:rFonts w:ascii="Garamond" w:hAnsi="Garamond"/>
          <w:sz w:val="22"/>
          <w:szCs w:val="22"/>
        </w:rPr>
      </w:pPr>
    </w:p>
    <w:p w14:paraId="6D7669CC" w14:textId="77777777" w:rsidR="007D3F44" w:rsidRDefault="007D3F44" w:rsidP="007D3F44">
      <w:pPr>
        <w:rPr>
          <w:rFonts w:ascii="Garamond" w:hAnsi="Garamond"/>
          <w:sz w:val="22"/>
          <w:szCs w:val="22"/>
        </w:rPr>
      </w:pPr>
    </w:p>
    <w:p w14:paraId="22FCED81" w14:textId="77777777" w:rsidR="007D3F44" w:rsidRDefault="007D3F44" w:rsidP="007D3F44">
      <w:pPr>
        <w:rPr>
          <w:rFonts w:ascii="Garamond" w:hAnsi="Garamond"/>
          <w:sz w:val="22"/>
          <w:szCs w:val="22"/>
        </w:rPr>
      </w:pPr>
    </w:p>
    <w:p w14:paraId="423321F6" w14:textId="77777777" w:rsidR="007D3F44" w:rsidRDefault="007D3F44" w:rsidP="007D3F44">
      <w:pPr>
        <w:rPr>
          <w:rFonts w:ascii="Garamond" w:hAnsi="Garamond"/>
          <w:sz w:val="22"/>
          <w:szCs w:val="22"/>
        </w:rPr>
      </w:pPr>
    </w:p>
    <w:p w14:paraId="18436A05" w14:textId="77777777" w:rsidR="00FF60EF" w:rsidRDefault="00FF60EF" w:rsidP="00BF4FB8">
      <w:pPr>
        <w:jc w:val="both"/>
        <w:rPr>
          <w:rFonts w:ascii="Garamond" w:hAnsi="Garamond"/>
          <w:sz w:val="22"/>
          <w:szCs w:val="22"/>
        </w:rPr>
      </w:pPr>
    </w:p>
    <w:sectPr w:rsidR="00FF60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4691" w14:textId="77777777" w:rsidR="007519A3" w:rsidRDefault="007519A3" w:rsidP="00444D0A">
      <w:r>
        <w:separator/>
      </w:r>
    </w:p>
  </w:endnote>
  <w:endnote w:type="continuationSeparator" w:id="0">
    <w:p w14:paraId="5FA493C5" w14:textId="77777777" w:rsidR="007519A3" w:rsidRDefault="007519A3" w:rsidP="00444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52BAD" w14:textId="77777777" w:rsidR="007519A3" w:rsidRDefault="007519A3" w:rsidP="00444D0A">
      <w:r>
        <w:separator/>
      </w:r>
    </w:p>
  </w:footnote>
  <w:footnote w:type="continuationSeparator" w:id="0">
    <w:p w14:paraId="4B91822A" w14:textId="77777777" w:rsidR="007519A3" w:rsidRDefault="007519A3" w:rsidP="00444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43AE7"/>
    <w:multiLevelType w:val="hybridMultilevel"/>
    <w:tmpl w:val="58868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78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AC"/>
    <w:rsid w:val="00003726"/>
    <w:rsid w:val="00020B6D"/>
    <w:rsid w:val="000218B7"/>
    <w:rsid w:val="0004213C"/>
    <w:rsid w:val="00064562"/>
    <w:rsid w:val="00097669"/>
    <w:rsid w:val="00097D60"/>
    <w:rsid w:val="000D5BE5"/>
    <w:rsid w:val="00110390"/>
    <w:rsid w:val="00182D70"/>
    <w:rsid w:val="001A3291"/>
    <w:rsid w:val="001F2E9E"/>
    <w:rsid w:val="001F4703"/>
    <w:rsid w:val="00203B27"/>
    <w:rsid w:val="0023044A"/>
    <w:rsid w:val="002464E8"/>
    <w:rsid w:val="00254DE1"/>
    <w:rsid w:val="00256CBF"/>
    <w:rsid w:val="0026070E"/>
    <w:rsid w:val="00271332"/>
    <w:rsid w:val="002F5C64"/>
    <w:rsid w:val="002F78D7"/>
    <w:rsid w:val="00300073"/>
    <w:rsid w:val="00306385"/>
    <w:rsid w:val="00326DC9"/>
    <w:rsid w:val="003718C5"/>
    <w:rsid w:val="00373908"/>
    <w:rsid w:val="00373DAF"/>
    <w:rsid w:val="003773CF"/>
    <w:rsid w:val="00391E2A"/>
    <w:rsid w:val="00393053"/>
    <w:rsid w:val="003A592A"/>
    <w:rsid w:val="003C724A"/>
    <w:rsid w:val="004139A3"/>
    <w:rsid w:val="00444D0A"/>
    <w:rsid w:val="00464462"/>
    <w:rsid w:val="00467FAC"/>
    <w:rsid w:val="00492160"/>
    <w:rsid w:val="004A26A9"/>
    <w:rsid w:val="004A56AB"/>
    <w:rsid w:val="00536566"/>
    <w:rsid w:val="005400DD"/>
    <w:rsid w:val="005419B0"/>
    <w:rsid w:val="00542440"/>
    <w:rsid w:val="00543545"/>
    <w:rsid w:val="00564EC2"/>
    <w:rsid w:val="00576291"/>
    <w:rsid w:val="00595D02"/>
    <w:rsid w:val="005C2C3E"/>
    <w:rsid w:val="005E6B8F"/>
    <w:rsid w:val="005F778B"/>
    <w:rsid w:val="00622412"/>
    <w:rsid w:val="006268BA"/>
    <w:rsid w:val="00675785"/>
    <w:rsid w:val="006862CF"/>
    <w:rsid w:val="00696868"/>
    <w:rsid w:val="00696E35"/>
    <w:rsid w:val="006A03A9"/>
    <w:rsid w:val="006B15F1"/>
    <w:rsid w:val="006C04CF"/>
    <w:rsid w:val="006C3812"/>
    <w:rsid w:val="006D68FD"/>
    <w:rsid w:val="006E0640"/>
    <w:rsid w:val="006E4E59"/>
    <w:rsid w:val="006F7DAE"/>
    <w:rsid w:val="00706839"/>
    <w:rsid w:val="00712043"/>
    <w:rsid w:val="007121D5"/>
    <w:rsid w:val="007124D1"/>
    <w:rsid w:val="0072716B"/>
    <w:rsid w:val="007519A3"/>
    <w:rsid w:val="007576DB"/>
    <w:rsid w:val="00762014"/>
    <w:rsid w:val="00781DBE"/>
    <w:rsid w:val="007A56FC"/>
    <w:rsid w:val="007B0464"/>
    <w:rsid w:val="007D3401"/>
    <w:rsid w:val="007D3F44"/>
    <w:rsid w:val="00821A62"/>
    <w:rsid w:val="00844C8D"/>
    <w:rsid w:val="0085231B"/>
    <w:rsid w:val="00860904"/>
    <w:rsid w:val="008661A1"/>
    <w:rsid w:val="008924FA"/>
    <w:rsid w:val="008B6711"/>
    <w:rsid w:val="008C5119"/>
    <w:rsid w:val="008F0D1D"/>
    <w:rsid w:val="00910E8C"/>
    <w:rsid w:val="00937422"/>
    <w:rsid w:val="00941C5D"/>
    <w:rsid w:val="0094582F"/>
    <w:rsid w:val="00953632"/>
    <w:rsid w:val="00980469"/>
    <w:rsid w:val="009A3676"/>
    <w:rsid w:val="009B4277"/>
    <w:rsid w:val="009B79F2"/>
    <w:rsid w:val="009C1F95"/>
    <w:rsid w:val="009C7244"/>
    <w:rsid w:val="009D6746"/>
    <w:rsid w:val="009D7F95"/>
    <w:rsid w:val="009F00A7"/>
    <w:rsid w:val="009F5B21"/>
    <w:rsid w:val="00A06B23"/>
    <w:rsid w:val="00A16A58"/>
    <w:rsid w:val="00A37EF5"/>
    <w:rsid w:val="00A86F38"/>
    <w:rsid w:val="00AE1160"/>
    <w:rsid w:val="00AE7A59"/>
    <w:rsid w:val="00B06517"/>
    <w:rsid w:val="00B3785A"/>
    <w:rsid w:val="00B71FF0"/>
    <w:rsid w:val="00B75D0A"/>
    <w:rsid w:val="00BA41DC"/>
    <w:rsid w:val="00BE1853"/>
    <w:rsid w:val="00BF4FB8"/>
    <w:rsid w:val="00C61761"/>
    <w:rsid w:val="00C621B6"/>
    <w:rsid w:val="00C6630C"/>
    <w:rsid w:val="00C71739"/>
    <w:rsid w:val="00C9254C"/>
    <w:rsid w:val="00CB1EDC"/>
    <w:rsid w:val="00CB3FD0"/>
    <w:rsid w:val="00CF031B"/>
    <w:rsid w:val="00CF0FEE"/>
    <w:rsid w:val="00D2249F"/>
    <w:rsid w:val="00D31D3A"/>
    <w:rsid w:val="00D40198"/>
    <w:rsid w:val="00D558CB"/>
    <w:rsid w:val="00D86AF5"/>
    <w:rsid w:val="00D906D4"/>
    <w:rsid w:val="00DA2282"/>
    <w:rsid w:val="00DA2AD4"/>
    <w:rsid w:val="00DA6EBE"/>
    <w:rsid w:val="00DA6FBC"/>
    <w:rsid w:val="00DA7FC2"/>
    <w:rsid w:val="00DB2499"/>
    <w:rsid w:val="00DC15FE"/>
    <w:rsid w:val="00DC178F"/>
    <w:rsid w:val="00DC6D4A"/>
    <w:rsid w:val="00E301C6"/>
    <w:rsid w:val="00E459C8"/>
    <w:rsid w:val="00E523EC"/>
    <w:rsid w:val="00E706BA"/>
    <w:rsid w:val="00E970D1"/>
    <w:rsid w:val="00EA255B"/>
    <w:rsid w:val="00EC2D3B"/>
    <w:rsid w:val="00EC592D"/>
    <w:rsid w:val="00F128C7"/>
    <w:rsid w:val="00F1609F"/>
    <w:rsid w:val="00F25A7B"/>
    <w:rsid w:val="00F345A3"/>
    <w:rsid w:val="00F95402"/>
    <w:rsid w:val="00FC4AA4"/>
    <w:rsid w:val="00FF6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1304B8"/>
  <w15:chartTrackingRefBased/>
  <w15:docId w15:val="{BE3CBDB3-84F8-A84C-A753-6E2EA5371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6A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67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7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F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7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FAC"/>
    <w:rPr>
      <w:rFonts w:eastAsiaTheme="majorEastAsia" w:cstheme="majorBidi"/>
      <w:color w:val="272727" w:themeColor="text1" w:themeTint="D8"/>
    </w:rPr>
  </w:style>
  <w:style w:type="paragraph" w:styleId="Title">
    <w:name w:val="Title"/>
    <w:basedOn w:val="Normal"/>
    <w:next w:val="Normal"/>
    <w:link w:val="TitleChar"/>
    <w:uiPriority w:val="10"/>
    <w:qFormat/>
    <w:rsid w:val="00467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FAC"/>
    <w:pPr>
      <w:spacing w:before="160"/>
      <w:jc w:val="center"/>
    </w:pPr>
    <w:rPr>
      <w:i/>
      <w:iCs/>
      <w:color w:val="404040" w:themeColor="text1" w:themeTint="BF"/>
    </w:rPr>
  </w:style>
  <w:style w:type="character" w:customStyle="1" w:styleId="QuoteChar">
    <w:name w:val="Quote Char"/>
    <w:basedOn w:val="DefaultParagraphFont"/>
    <w:link w:val="Quote"/>
    <w:uiPriority w:val="29"/>
    <w:rsid w:val="00467FAC"/>
    <w:rPr>
      <w:i/>
      <w:iCs/>
      <w:color w:val="404040" w:themeColor="text1" w:themeTint="BF"/>
    </w:rPr>
  </w:style>
  <w:style w:type="paragraph" w:styleId="ListParagraph">
    <w:name w:val="List Paragraph"/>
    <w:basedOn w:val="Normal"/>
    <w:uiPriority w:val="34"/>
    <w:qFormat/>
    <w:rsid w:val="00467FAC"/>
    <w:pPr>
      <w:ind w:left="720"/>
      <w:contextualSpacing/>
    </w:pPr>
  </w:style>
  <w:style w:type="character" w:styleId="IntenseEmphasis">
    <w:name w:val="Intense Emphasis"/>
    <w:basedOn w:val="DefaultParagraphFont"/>
    <w:uiPriority w:val="21"/>
    <w:qFormat/>
    <w:rsid w:val="00467FAC"/>
    <w:rPr>
      <w:i/>
      <w:iCs/>
      <w:color w:val="0F4761" w:themeColor="accent1" w:themeShade="BF"/>
    </w:rPr>
  </w:style>
  <w:style w:type="paragraph" w:styleId="IntenseQuote">
    <w:name w:val="Intense Quote"/>
    <w:basedOn w:val="Normal"/>
    <w:next w:val="Normal"/>
    <w:link w:val="IntenseQuoteChar"/>
    <w:uiPriority w:val="30"/>
    <w:qFormat/>
    <w:rsid w:val="00467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FAC"/>
    <w:rPr>
      <w:i/>
      <w:iCs/>
      <w:color w:val="0F4761" w:themeColor="accent1" w:themeShade="BF"/>
    </w:rPr>
  </w:style>
  <w:style w:type="character" w:styleId="IntenseReference">
    <w:name w:val="Intense Reference"/>
    <w:basedOn w:val="DefaultParagraphFont"/>
    <w:uiPriority w:val="32"/>
    <w:qFormat/>
    <w:rsid w:val="00467FAC"/>
    <w:rPr>
      <w:b/>
      <w:bCs/>
      <w:smallCaps/>
      <w:color w:val="0F4761" w:themeColor="accent1" w:themeShade="BF"/>
      <w:spacing w:val="5"/>
    </w:rPr>
  </w:style>
  <w:style w:type="character" w:styleId="PlaceholderText">
    <w:name w:val="Placeholder Text"/>
    <w:basedOn w:val="DefaultParagraphFont"/>
    <w:uiPriority w:val="99"/>
    <w:semiHidden/>
    <w:rsid w:val="00622412"/>
    <w:rPr>
      <w:color w:val="666666"/>
    </w:rPr>
  </w:style>
  <w:style w:type="paragraph" w:styleId="FootnoteText">
    <w:name w:val="footnote text"/>
    <w:basedOn w:val="Normal"/>
    <w:link w:val="FootnoteTextChar"/>
    <w:uiPriority w:val="99"/>
    <w:semiHidden/>
    <w:unhideWhenUsed/>
    <w:rsid w:val="00444D0A"/>
    <w:rPr>
      <w:sz w:val="20"/>
      <w:szCs w:val="20"/>
    </w:rPr>
  </w:style>
  <w:style w:type="character" w:customStyle="1" w:styleId="FootnoteTextChar">
    <w:name w:val="Footnote Text Char"/>
    <w:basedOn w:val="DefaultParagraphFont"/>
    <w:link w:val="FootnoteText"/>
    <w:uiPriority w:val="99"/>
    <w:semiHidden/>
    <w:rsid w:val="00444D0A"/>
    <w:rPr>
      <w:sz w:val="20"/>
      <w:szCs w:val="20"/>
    </w:rPr>
  </w:style>
  <w:style w:type="character" w:styleId="FootnoteReference">
    <w:name w:val="footnote reference"/>
    <w:basedOn w:val="DefaultParagraphFont"/>
    <w:uiPriority w:val="99"/>
    <w:semiHidden/>
    <w:unhideWhenUsed/>
    <w:rsid w:val="00444D0A"/>
    <w:rPr>
      <w:vertAlign w:val="superscript"/>
    </w:rPr>
  </w:style>
  <w:style w:type="character" w:styleId="Hyperlink">
    <w:name w:val="Hyperlink"/>
    <w:basedOn w:val="DefaultParagraphFont"/>
    <w:uiPriority w:val="99"/>
    <w:unhideWhenUsed/>
    <w:rsid w:val="00444D0A"/>
    <w:rPr>
      <w:color w:val="467886" w:themeColor="hyperlink"/>
      <w:u w:val="single"/>
    </w:rPr>
  </w:style>
  <w:style w:type="character" w:styleId="UnresolvedMention">
    <w:name w:val="Unresolved Mention"/>
    <w:basedOn w:val="DefaultParagraphFont"/>
    <w:uiPriority w:val="99"/>
    <w:semiHidden/>
    <w:unhideWhenUsed/>
    <w:rsid w:val="00444D0A"/>
    <w:rPr>
      <w:color w:val="605E5C"/>
      <w:shd w:val="clear" w:color="auto" w:fill="E1DFDD"/>
    </w:rPr>
  </w:style>
  <w:style w:type="character" w:styleId="FollowedHyperlink">
    <w:name w:val="FollowedHyperlink"/>
    <w:basedOn w:val="DefaultParagraphFont"/>
    <w:uiPriority w:val="99"/>
    <w:semiHidden/>
    <w:unhideWhenUsed/>
    <w:rsid w:val="00E523EC"/>
    <w:rPr>
      <w:color w:val="96607D" w:themeColor="followedHyperlink"/>
      <w:u w:val="single"/>
    </w:rPr>
  </w:style>
  <w:style w:type="character" w:styleId="Strong">
    <w:name w:val="Strong"/>
    <w:basedOn w:val="DefaultParagraphFont"/>
    <w:uiPriority w:val="22"/>
    <w:qFormat/>
    <w:rsid w:val="00020B6D"/>
    <w:rPr>
      <w:b/>
      <w:bCs/>
    </w:rPr>
  </w:style>
  <w:style w:type="character" w:styleId="Emphasis">
    <w:name w:val="Emphasis"/>
    <w:basedOn w:val="DefaultParagraphFont"/>
    <w:uiPriority w:val="20"/>
    <w:qFormat/>
    <w:rsid w:val="00020B6D"/>
    <w:rPr>
      <w:i/>
      <w:iCs/>
    </w:rPr>
  </w:style>
  <w:style w:type="character" w:customStyle="1" w:styleId="relative">
    <w:name w:val="relative"/>
    <w:basedOn w:val="DefaultParagraphFont"/>
    <w:rsid w:val="00020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8809">
      <w:bodyDiv w:val="1"/>
      <w:marLeft w:val="0"/>
      <w:marRight w:val="0"/>
      <w:marTop w:val="0"/>
      <w:marBottom w:val="0"/>
      <w:divBdr>
        <w:top w:val="none" w:sz="0" w:space="0" w:color="auto"/>
        <w:left w:val="none" w:sz="0" w:space="0" w:color="auto"/>
        <w:bottom w:val="none" w:sz="0" w:space="0" w:color="auto"/>
        <w:right w:val="none" w:sz="0" w:space="0" w:color="auto"/>
      </w:divBdr>
    </w:div>
    <w:div w:id="1481271004">
      <w:bodyDiv w:val="1"/>
      <w:marLeft w:val="0"/>
      <w:marRight w:val="0"/>
      <w:marTop w:val="0"/>
      <w:marBottom w:val="0"/>
      <w:divBdr>
        <w:top w:val="none" w:sz="0" w:space="0" w:color="auto"/>
        <w:left w:val="none" w:sz="0" w:space="0" w:color="auto"/>
        <w:bottom w:val="none" w:sz="0" w:space="0" w:color="auto"/>
        <w:right w:val="none" w:sz="0" w:space="0" w:color="auto"/>
      </w:divBdr>
    </w:div>
    <w:div w:id="2003462983">
      <w:bodyDiv w:val="1"/>
      <w:marLeft w:val="0"/>
      <w:marRight w:val="0"/>
      <w:marTop w:val="0"/>
      <w:marBottom w:val="0"/>
      <w:divBdr>
        <w:top w:val="none" w:sz="0" w:space="0" w:color="auto"/>
        <w:left w:val="none" w:sz="0" w:space="0" w:color="auto"/>
        <w:bottom w:val="none" w:sz="0" w:space="0" w:color="auto"/>
        <w:right w:val="none" w:sz="0" w:space="0" w:color="auto"/>
      </w:divBdr>
      <w:divsChild>
        <w:div w:id="1730416003">
          <w:marLeft w:val="0"/>
          <w:marRight w:val="0"/>
          <w:marTop w:val="0"/>
          <w:marBottom w:val="0"/>
          <w:divBdr>
            <w:top w:val="none" w:sz="0" w:space="0" w:color="auto"/>
            <w:left w:val="none" w:sz="0" w:space="0" w:color="auto"/>
            <w:bottom w:val="none" w:sz="0" w:space="0" w:color="auto"/>
            <w:right w:val="none" w:sz="0" w:space="0" w:color="auto"/>
          </w:divBdr>
          <w:divsChild>
            <w:div w:id="401876367">
              <w:marLeft w:val="0"/>
              <w:marRight w:val="0"/>
              <w:marTop w:val="0"/>
              <w:marBottom w:val="0"/>
              <w:divBdr>
                <w:top w:val="none" w:sz="0" w:space="0" w:color="auto"/>
                <w:left w:val="none" w:sz="0" w:space="0" w:color="auto"/>
                <w:bottom w:val="none" w:sz="0" w:space="0" w:color="auto"/>
                <w:right w:val="none" w:sz="0" w:space="0" w:color="auto"/>
              </w:divBdr>
              <w:divsChild>
                <w:div w:id="19735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hyperlink" Target="https://doi.org/10.1186/1471-2105-13-S2-S1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5.emf"/><Relationship Id="rId17" Type="http://schemas.openxmlformats.org/officeDocument/2006/relationships/hyperlink" Target="https://doi.org/10.1007/s12094-025-03934-w" TargetMode="External"/><Relationship Id="rId2" Type="http://schemas.openxmlformats.org/officeDocument/2006/relationships/styles" Target="styles.xml"/><Relationship Id="rId16" Type="http://schemas.openxmlformats.org/officeDocument/2006/relationships/hyperlink" Target="https://doi.org/10.1186/s13148-016-0282-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hyperlink" Target="https://doi.org/10.3389/fcell.2020.529386" TargetMode="External"/><Relationship Id="rId10" Type="http://schemas.openxmlformats.org/officeDocument/2006/relationships/image" Target="media/image3.emf"/><Relationship Id="rId19" Type="http://schemas.openxmlformats.org/officeDocument/2006/relationships/hyperlink" Target="https://doi.org/10.2217/epi-2018-0153" TargetMode="External"/><Relationship Id="rId4" Type="http://schemas.openxmlformats.org/officeDocument/2006/relationships/webSettings" Target="webSettings.xml"/><Relationship Id="rId9" Type="http://schemas.openxmlformats.org/officeDocument/2006/relationships/hyperlink" Target="https://graphemica.com/%CE%B2" TargetMode="External"/><Relationship Id="rId14" Type="http://schemas.openxmlformats.org/officeDocument/2006/relationships/hyperlink" Target="https://doi.org/10.1016/j.bcp.2004.04.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9</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LaRocca, Joe</dc:creator>
  <cp:keywords/>
  <dc:description/>
  <cp:lastModifiedBy>LaRocca, Joe</cp:lastModifiedBy>
  <cp:revision>132</cp:revision>
  <cp:lastPrinted>2025-05-02T15:04:00Z</cp:lastPrinted>
  <dcterms:created xsi:type="dcterms:W3CDTF">2025-04-30T21:20:00Z</dcterms:created>
  <dcterms:modified xsi:type="dcterms:W3CDTF">2025-10-19T21:01:00Z</dcterms:modified>
</cp:coreProperties>
</file>