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5C" w:rsidRDefault="00F7475C" w:rsidP="008C01CD">
      <w:pPr>
        <w:spacing w:line="480" w:lineRule="auto"/>
        <w:ind w:firstLine="720"/>
        <w:jc w:val="center"/>
        <w:rPr>
          <w:b/>
        </w:rPr>
      </w:pPr>
      <w:r>
        <w:rPr>
          <w:b/>
        </w:rPr>
        <w:t xml:space="preserve">Incorporating Dependence in </w:t>
      </w:r>
      <w:r w:rsidRPr="00C277FE">
        <w:rPr>
          <w:b/>
        </w:rPr>
        <w:t xml:space="preserve">Tag Loss </w:t>
      </w:r>
      <w:r>
        <w:rPr>
          <w:b/>
        </w:rPr>
        <w:t>Estimation</w:t>
      </w:r>
    </w:p>
    <w:p w:rsidR="00F7475C" w:rsidRDefault="00F7475C" w:rsidP="008C01CD">
      <w:pPr>
        <w:spacing w:line="480" w:lineRule="auto"/>
        <w:rPr>
          <w:b/>
        </w:rPr>
      </w:pPr>
      <w:r>
        <w:rPr>
          <w:b/>
        </w:rPr>
        <w:t>Introduction</w:t>
      </w:r>
    </w:p>
    <w:p w:rsidR="00F7475C" w:rsidRPr="001C75E2" w:rsidRDefault="00F7475C" w:rsidP="008C01CD">
      <w:pPr>
        <w:spacing w:line="480" w:lineRule="auto"/>
        <w:ind w:firstLine="720"/>
        <w:rPr>
          <w:rFonts w:ascii="Calibri" w:eastAsia="Calibri" w:hAnsi="Calibri" w:cs="Times New Roman"/>
        </w:rPr>
      </w:pPr>
      <w:r w:rsidRPr="001C75E2">
        <w:rPr>
          <w:rFonts w:ascii="Calibri" w:eastAsia="Calibri" w:hAnsi="Calibri" w:cs="Times New Roman"/>
        </w:rPr>
        <w:t>Developing methods of marking animals that minimize or eliminate mark loss are important because mark-recapture estimators assume recaptures of marked individuals are always detected (</w:t>
      </w:r>
      <w:proofErr w:type="spellStart"/>
      <w:r w:rsidRPr="001C75E2">
        <w:rPr>
          <w:rFonts w:ascii="Calibri" w:eastAsia="Calibri" w:hAnsi="Calibri" w:cs="Times New Roman"/>
        </w:rPr>
        <w:t>Seber</w:t>
      </w:r>
      <w:proofErr w:type="spellEnd"/>
      <w:r w:rsidRPr="001C75E2">
        <w:rPr>
          <w:rFonts w:ascii="Calibri" w:eastAsia="Calibri" w:hAnsi="Calibri" w:cs="Times New Roman"/>
        </w:rPr>
        <w:t xml:space="preserve"> 1982). However, current methods of marking many different species indicate that problems with mark retention encompass small mammals (</w:t>
      </w:r>
      <w:proofErr w:type="spellStart"/>
      <w:r w:rsidRPr="001C75E2">
        <w:rPr>
          <w:rFonts w:ascii="Calibri" w:eastAsia="Calibri" w:hAnsi="Calibri" w:cs="Times New Roman"/>
        </w:rPr>
        <w:t>Fokidis</w:t>
      </w:r>
      <w:proofErr w:type="spellEnd"/>
      <w:r w:rsidRPr="001C75E2">
        <w:rPr>
          <w:rFonts w:ascii="Calibri" w:eastAsia="Calibri" w:hAnsi="Calibri" w:cs="Times New Roman"/>
        </w:rPr>
        <w:t xml:space="preserve"> et al. 2006), large terrestrial mammals (</w:t>
      </w:r>
      <w:proofErr w:type="spellStart"/>
      <w:r w:rsidRPr="001C75E2">
        <w:rPr>
          <w:rFonts w:ascii="Calibri" w:eastAsia="Calibri" w:hAnsi="Calibri" w:cs="Times New Roman"/>
        </w:rPr>
        <w:t>Fosgate</w:t>
      </w:r>
      <w:proofErr w:type="spellEnd"/>
      <w:r w:rsidRPr="001C75E2">
        <w:rPr>
          <w:rFonts w:ascii="Calibri" w:eastAsia="Calibri" w:hAnsi="Calibri" w:cs="Times New Roman"/>
        </w:rPr>
        <w:t xml:space="preserve"> et al. 2006), aquatic mammals (Bradshaw et al. 2000), fish (Cowen and Schwartz 2006), and reptiles (</w:t>
      </w:r>
      <w:proofErr w:type="spellStart"/>
      <w:r w:rsidRPr="001C75E2">
        <w:rPr>
          <w:rFonts w:ascii="Calibri" w:eastAsia="Calibri" w:hAnsi="Calibri" w:cs="Times New Roman"/>
        </w:rPr>
        <w:t>Rivalan</w:t>
      </w:r>
      <w:proofErr w:type="spellEnd"/>
      <w:r w:rsidRPr="001C75E2">
        <w:rPr>
          <w:rFonts w:ascii="Calibri" w:eastAsia="Calibri" w:hAnsi="Calibri" w:cs="Times New Roman"/>
        </w:rPr>
        <w:t xml:space="preserve"> et al. 2005). If the assumption that no marks are lost is violated then </w:t>
      </w:r>
      <w:r>
        <w:rPr>
          <w:rFonts w:ascii="Calibri" w:eastAsia="Calibri" w:hAnsi="Calibri" w:cs="Times New Roman"/>
        </w:rPr>
        <w:t xml:space="preserve">estimates of population </w:t>
      </w:r>
      <w:r w:rsidRPr="001C75E2">
        <w:rPr>
          <w:rFonts w:ascii="Calibri" w:eastAsia="Calibri" w:hAnsi="Calibri" w:cs="Times New Roman"/>
        </w:rPr>
        <w:t>parameter</w:t>
      </w:r>
      <w:r>
        <w:rPr>
          <w:rFonts w:ascii="Calibri" w:eastAsia="Calibri" w:hAnsi="Calibri" w:cs="Times New Roman"/>
        </w:rPr>
        <w:t>s</w:t>
      </w:r>
      <w:r w:rsidRPr="001C75E2">
        <w:rPr>
          <w:rFonts w:ascii="Calibri" w:eastAsia="Calibri" w:hAnsi="Calibri" w:cs="Times New Roman"/>
        </w:rPr>
        <w:t xml:space="preserve"> (e.g., survival and abundance) will be biased (</w:t>
      </w:r>
      <w:proofErr w:type="spellStart"/>
      <w:r w:rsidRPr="001C75E2">
        <w:rPr>
          <w:rFonts w:ascii="Calibri" w:eastAsia="Calibri" w:hAnsi="Calibri" w:cs="Times New Roman"/>
        </w:rPr>
        <w:t>Arnason</w:t>
      </w:r>
      <w:proofErr w:type="spellEnd"/>
      <w:r w:rsidRPr="001C75E2">
        <w:rPr>
          <w:rFonts w:ascii="Calibri" w:eastAsia="Calibri" w:hAnsi="Calibri" w:cs="Times New Roman"/>
        </w:rPr>
        <w:t xml:space="preserve"> and Mills 1981, </w:t>
      </w:r>
      <w:proofErr w:type="spellStart"/>
      <w:r w:rsidRPr="001C75E2">
        <w:rPr>
          <w:rFonts w:ascii="Calibri" w:eastAsia="Calibri" w:hAnsi="Calibri" w:cs="Times New Roman"/>
        </w:rPr>
        <w:t>Diefenbach</w:t>
      </w:r>
      <w:proofErr w:type="spellEnd"/>
      <w:r w:rsidRPr="001C75E2">
        <w:rPr>
          <w:rFonts w:ascii="Calibri" w:eastAsia="Calibri" w:hAnsi="Calibri" w:cs="Times New Roman"/>
        </w:rPr>
        <w:t xml:space="preserve"> and Alt 1998)</w:t>
      </w:r>
      <w:r>
        <w:rPr>
          <w:rFonts w:ascii="Calibri" w:eastAsia="Calibri" w:hAnsi="Calibri" w:cs="Times New Roman"/>
        </w:rPr>
        <w:t xml:space="preserve"> </w:t>
      </w:r>
      <w:r w:rsidRPr="00EB6923">
        <w:rPr>
          <w:rFonts w:ascii="Calibri" w:eastAsia="Calibri" w:hAnsi="Calibri" w:cs="Times New Roman"/>
        </w:rPr>
        <w:t>because previously marked animals that lose all marks are treated as being part of the unmarked population in closed population models and as immigrants in open models.</w:t>
      </w:r>
      <w:r w:rsidRPr="001C75E2">
        <w:rPr>
          <w:rFonts w:ascii="Calibri" w:eastAsia="Calibri" w:hAnsi="Calibri" w:cs="Times New Roman"/>
        </w:rPr>
        <w:t xml:space="preserve"> Furthermore, even if an estimator is robust to violation of this assumption, the loss of marks will reduce the precision of parameter estimates because of the apparent reduction in sample size (</w:t>
      </w:r>
      <w:proofErr w:type="spellStart"/>
      <w:r w:rsidRPr="001C75E2">
        <w:rPr>
          <w:rFonts w:ascii="Calibri" w:eastAsia="Calibri" w:hAnsi="Calibri" w:cs="Times New Roman"/>
        </w:rPr>
        <w:t>Rotella</w:t>
      </w:r>
      <w:proofErr w:type="spellEnd"/>
      <w:r w:rsidRPr="001C75E2">
        <w:rPr>
          <w:rFonts w:ascii="Calibri" w:eastAsia="Calibri" w:hAnsi="Calibri" w:cs="Times New Roman"/>
        </w:rPr>
        <w:t xml:space="preserve"> and Hines 2005).</w:t>
      </w:r>
    </w:p>
    <w:p w:rsidR="00F7475C" w:rsidRPr="001C75E2" w:rsidRDefault="00F7475C" w:rsidP="008C01CD">
      <w:pPr>
        <w:spacing w:line="480" w:lineRule="auto"/>
        <w:ind w:firstLine="720"/>
        <w:rPr>
          <w:rFonts w:ascii="Calibri" w:eastAsia="Calibri" w:hAnsi="Calibri" w:cs="Times New Roman"/>
        </w:rPr>
      </w:pPr>
      <w:r w:rsidRPr="001C75E2">
        <w:rPr>
          <w:rFonts w:ascii="Calibri" w:eastAsia="Calibri" w:hAnsi="Calibri" w:cs="Times New Roman"/>
        </w:rPr>
        <w:t>Using natural markings to track individual animals can have low error rates (</w:t>
      </w:r>
      <w:proofErr w:type="spellStart"/>
      <w:r w:rsidRPr="001C75E2">
        <w:rPr>
          <w:rFonts w:ascii="Calibri" w:eastAsia="Calibri" w:hAnsi="Calibri" w:cs="Times New Roman"/>
        </w:rPr>
        <w:t>Stevick</w:t>
      </w:r>
      <w:proofErr w:type="spellEnd"/>
      <w:r w:rsidRPr="001C75E2">
        <w:rPr>
          <w:rFonts w:ascii="Calibri" w:eastAsia="Calibri" w:hAnsi="Calibri" w:cs="Times New Roman"/>
        </w:rPr>
        <w:t xml:space="preserve"> et al. 2001), but not all species can be monitored in this manner. Consequently, methods of estimating tag loss likely will be necessary until new technologies are developed that eliminate mark loss. Historically, animals have been double-marked and the status of marks upon recapture (none or one mark missing) have been used to estimate </w:t>
      </w:r>
      <w:r>
        <w:rPr>
          <w:rFonts w:ascii="Calibri" w:eastAsia="Calibri" w:hAnsi="Calibri" w:cs="Times New Roman"/>
        </w:rPr>
        <w:t xml:space="preserve">mark </w:t>
      </w:r>
      <w:r w:rsidRPr="001C75E2">
        <w:rPr>
          <w:rFonts w:ascii="Calibri" w:eastAsia="Calibri" w:hAnsi="Calibri" w:cs="Times New Roman"/>
        </w:rPr>
        <w:t>loss under the assumption that each mark is lost independently of the other mark (</w:t>
      </w:r>
      <w:proofErr w:type="spellStart"/>
      <w:r w:rsidRPr="001C75E2">
        <w:rPr>
          <w:rFonts w:ascii="Calibri" w:eastAsia="Calibri" w:hAnsi="Calibri" w:cs="Times New Roman"/>
        </w:rPr>
        <w:t>Beverton</w:t>
      </w:r>
      <w:proofErr w:type="spellEnd"/>
      <w:r w:rsidRPr="001C75E2">
        <w:rPr>
          <w:rFonts w:ascii="Calibri" w:eastAsia="Calibri" w:hAnsi="Calibri" w:cs="Times New Roman"/>
        </w:rPr>
        <w:t xml:space="preserve"> and Holt 1957, </w:t>
      </w:r>
      <w:proofErr w:type="spellStart"/>
      <w:r w:rsidRPr="001C75E2">
        <w:rPr>
          <w:rFonts w:ascii="Calibri" w:eastAsia="Calibri" w:hAnsi="Calibri" w:cs="Times New Roman"/>
        </w:rPr>
        <w:t>Seber</w:t>
      </w:r>
      <w:proofErr w:type="spellEnd"/>
      <w:r w:rsidRPr="001C75E2">
        <w:rPr>
          <w:rFonts w:ascii="Calibri" w:eastAsia="Calibri" w:hAnsi="Calibri" w:cs="Times New Roman"/>
        </w:rPr>
        <w:t xml:space="preserve"> 1982)</w:t>
      </w:r>
      <w:r>
        <w:rPr>
          <w:rFonts w:ascii="Calibri" w:eastAsia="Calibri" w:hAnsi="Calibri" w:cs="Times New Roman"/>
        </w:rPr>
        <w:t>. This independence assumption is required because the recapture of a marked animal that lost both marks is not observable.</w:t>
      </w:r>
    </w:p>
    <w:p w:rsidR="00F7475C" w:rsidRPr="001C75E2" w:rsidRDefault="00F7475C" w:rsidP="008C01CD">
      <w:pPr>
        <w:spacing w:line="480" w:lineRule="auto"/>
        <w:ind w:firstLine="720"/>
        <w:rPr>
          <w:rFonts w:ascii="Calibri" w:eastAsia="Calibri" w:hAnsi="Calibri" w:cs="Times New Roman"/>
        </w:rPr>
      </w:pPr>
      <w:r w:rsidRPr="001C75E2">
        <w:rPr>
          <w:rFonts w:ascii="Calibri" w:eastAsia="Calibri" w:hAnsi="Calibri" w:cs="Times New Roman"/>
        </w:rPr>
        <w:t xml:space="preserve">In recent </w:t>
      </w:r>
      <w:r>
        <w:rPr>
          <w:rFonts w:ascii="Calibri" w:eastAsia="Calibri" w:hAnsi="Calibri" w:cs="Times New Roman"/>
        </w:rPr>
        <w:t>studies</w:t>
      </w:r>
      <w:r w:rsidRPr="001C75E2">
        <w:rPr>
          <w:rFonts w:ascii="Calibri" w:eastAsia="Calibri" w:hAnsi="Calibri" w:cs="Times New Roman"/>
        </w:rPr>
        <w:t xml:space="preserve"> where the opportunity has occurred to observe loss of both tags </w:t>
      </w:r>
      <w:r>
        <w:rPr>
          <w:rFonts w:ascii="Calibri" w:eastAsia="Calibri" w:hAnsi="Calibri" w:cs="Times New Roman"/>
        </w:rPr>
        <w:t xml:space="preserve">via the use of a </w:t>
      </w:r>
      <w:r w:rsidRPr="001C75E2">
        <w:rPr>
          <w:rFonts w:ascii="Calibri" w:eastAsia="Calibri" w:hAnsi="Calibri" w:cs="Times New Roman"/>
        </w:rPr>
        <w:t xml:space="preserve">third permanent mark, </w:t>
      </w:r>
      <w:r>
        <w:rPr>
          <w:rFonts w:ascii="Calibri" w:eastAsia="Calibri" w:hAnsi="Calibri" w:cs="Times New Roman"/>
        </w:rPr>
        <w:t xml:space="preserve">however, </w:t>
      </w:r>
      <w:r w:rsidRPr="001C75E2">
        <w:rPr>
          <w:rFonts w:ascii="Calibri" w:eastAsia="Calibri" w:hAnsi="Calibri" w:cs="Times New Roman"/>
        </w:rPr>
        <w:t>the independence assumption has been shown to be invalid (</w:t>
      </w:r>
      <w:proofErr w:type="spellStart"/>
      <w:r w:rsidRPr="001C75E2">
        <w:rPr>
          <w:rFonts w:ascii="Calibri" w:eastAsia="Calibri" w:hAnsi="Calibri" w:cs="Times New Roman"/>
        </w:rPr>
        <w:t>Siniff</w:t>
      </w:r>
      <w:proofErr w:type="spellEnd"/>
      <w:r w:rsidRPr="001C75E2">
        <w:rPr>
          <w:rFonts w:ascii="Calibri" w:eastAsia="Calibri" w:hAnsi="Calibri" w:cs="Times New Roman"/>
        </w:rPr>
        <w:t xml:space="preserve"> and Ralls, 1991</w:t>
      </w:r>
      <w:r>
        <w:rPr>
          <w:rFonts w:ascii="Calibri" w:eastAsia="Calibri" w:hAnsi="Calibri" w:cs="Times New Roman"/>
        </w:rPr>
        <w:t xml:space="preserve">; </w:t>
      </w:r>
      <w:proofErr w:type="spellStart"/>
      <w:r w:rsidRPr="001C75E2">
        <w:rPr>
          <w:rFonts w:ascii="Calibri" w:eastAsia="Calibri" w:hAnsi="Calibri" w:cs="Times New Roman"/>
        </w:rPr>
        <w:t>Diefenbach</w:t>
      </w:r>
      <w:proofErr w:type="spellEnd"/>
      <w:r w:rsidRPr="001C75E2">
        <w:rPr>
          <w:rFonts w:ascii="Calibri" w:eastAsia="Calibri" w:hAnsi="Calibri" w:cs="Times New Roman"/>
        </w:rPr>
        <w:t xml:space="preserve"> and Alt, 1998;</w:t>
      </w:r>
      <w:r>
        <w:rPr>
          <w:rFonts w:ascii="Calibri" w:eastAsia="Calibri" w:hAnsi="Calibri" w:cs="Times New Roman"/>
        </w:rPr>
        <w:t xml:space="preserve"> </w:t>
      </w:r>
      <w:r w:rsidRPr="001C75E2">
        <w:rPr>
          <w:rFonts w:ascii="Calibri" w:eastAsia="Calibri" w:hAnsi="Calibri" w:cs="Times New Roman"/>
        </w:rPr>
        <w:t xml:space="preserve">Bradshaw, Barker and Davis, 2000; </w:t>
      </w:r>
      <w:proofErr w:type="spellStart"/>
      <w:r w:rsidRPr="001C75E2">
        <w:rPr>
          <w:rFonts w:ascii="Calibri" w:eastAsia="Calibri" w:hAnsi="Calibri" w:cs="Times New Roman"/>
        </w:rPr>
        <w:t>Rivalan</w:t>
      </w:r>
      <w:proofErr w:type="spellEnd"/>
      <w:r w:rsidRPr="001C75E2">
        <w:rPr>
          <w:rFonts w:ascii="Calibri" w:eastAsia="Calibri" w:hAnsi="Calibri" w:cs="Times New Roman"/>
        </w:rPr>
        <w:t xml:space="preserve"> et al., 2005</w:t>
      </w:r>
      <w:r>
        <w:rPr>
          <w:rFonts w:ascii="Calibri" w:eastAsia="Calibri" w:hAnsi="Calibri" w:cs="Times New Roman"/>
        </w:rPr>
        <w:t>)</w:t>
      </w:r>
      <w:r w:rsidRPr="001C75E2">
        <w:rPr>
          <w:rFonts w:ascii="Calibri" w:eastAsia="Calibri" w:hAnsi="Calibri" w:cs="Times New Roman"/>
        </w:rPr>
        <w:t xml:space="preserve">. These </w:t>
      </w:r>
      <w:r w:rsidRPr="001C75E2">
        <w:rPr>
          <w:rFonts w:ascii="Calibri" w:eastAsia="Calibri" w:hAnsi="Calibri" w:cs="Times New Roman"/>
        </w:rPr>
        <w:lastRenderedPageBreak/>
        <w:t xml:space="preserve">studies undermine the credibility of tag loss evaluations for situations in which loss </w:t>
      </w:r>
      <w:r>
        <w:rPr>
          <w:rFonts w:ascii="Calibri" w:eastAsia="Calibri" w:hAnsi="Calibri" w:cs="Times New Roman"/>
        </w:rPr>
        <w:t xml:space="preserve">of both marks </w:t>
      </w:r>
      <w:r w:rsidRPr="001C75E2">
        <w:rPr>
          <w:rFonts w:ascii="Calibri" w:eastAsia="Calibri" w:hAnsi="Calibri" w:cs="Times New Roman"/>
        </w:rPr>
        <w:t>is not observable (</w:t>
      </w:r>
      <w:proofErr w:type="spellStart"/>
      <w:r w:rsidRPr="001C75E2">
        <w:rPr>
          <w:rFonts w:ascii="Calibri" w:eastAsia="Calibri" w:hAnsi="Calibri" w:cs="Times New Roman"/>
        </w:rPr>
        <w:t>Pistorius</w:t>
      </w:r>
      <w:proofErr w:type="spellEnd"/>
      <w:r w:rsidRPr="001C75E2">
        <w:rPr>
          <w:rFonts w:ascii="Calibri" w:eastAsia="Calibri" w:hAnsi="Calibri" w:cs="Times New Roman"/>
        </w:rPr>
        <w:t xml:space="preserve"> et al., 2000).</w:t>
      </w:r>
      <w:r>
        <w:rPr>
          <w:rFonts w:ascii="Calibri" w:eastAsia="Calibri" w:hAnsi="Calibri" w:cs="Times New Roman"/>
        </w:rPr>
        <w:t xml:space="preserve"> Consequently, it is important to incorporate appropriate models of mark loss to reduce bias in estimates of population parameters, even if modeling tag loss results in reduced precision (e.g., Pollock et al. 2007).</w:t>
      </w:r>
    </w:p>
    <w:p w:rsidR="00F7475C" w:rsidRDefault="00F7475C" w:rsidP="008C01CD">
      <w:pPr>
        <w:spacing w:line="480" w:lineRule="auto"/>
        <w:ind w:firstLine="720"/>
        <w:rPr>
          <w:rFonts w:ascii="Calibri" w:eastAsia="Calibri" w:hAnsi="Calibri" w:cs="Times New Roman"/>
        </w:rPr>
      </w:pPr>
      <w:r>
        <w:rPr>
          <w:rFonts w:ascii="Calibri" w:eastAsia="Calibri" w:hAnsi="Calibri" w:cs="Times New Roman"/>
        </w:rPr>
        <w:t>Unfortunately, not all species can be marked with a third permanent mark to detect the recapture of individuals with both marks missing to assess the assumption of independence of each mark loss event. This situation has some similarities to mark-recapture distance sampling (</w:t>
      </w:r>
      <w:proofErr w:type="spellStart"/>
      <w:r>
        <w:rPr>
          <w:rFonts w:ascii="Calibri" w:eastAsia="Calibri" w:hAnsi="Calibri" w:cs="Times New Roman"/>
        </w:rPr>
        <w:t>Laake</w:t>
      </w:r>
      <w:proofErr w:type="spellEnd"/>
      <w:r>
        <w:rPr>
          <w:rFonts w:ascii="Calibri" w:eastAsia="Calibri" w:hAnsi="Calibri" w:cs="Times New Roman"/>
        </w:rPr>
        <w:t xml:space="preserve">, 1999; </w:t>
      </w:r>
      <w:proofErr w:type="spellStart"/>
      <w:r>
        <w:rPr>
          <w:rFonts w:ascii="Calibri" w:eastAsia="Calibri" w:hAnsi="Calibri" w:cs="Times New Roman"/>
        </w:rPr>
        <w:t>Borchers</w:t>
      </w:r>
      <w:proofErr w:type="spellEnd"/>
      <w:r>
        <w:rPr>
          <w:rFonts w:ascii="Calibri" w:eastAsia="Calibri" w:hAnsi="Calibri" w:cs="Times New Roman"/>
        </w:rPr>
        <w:t xml:space="preserve"> et al., 2006; </w:t>
      </w:r>
      <w:proofErr w:type="spellStart"/>
      <w:r>
        <w:rPr>
          <w:rFonts w:ascii="Calibri" w:eastAsia="Calibri" w:hAnsi="Calibri" w:cs="Times New Roman"/>
        </w:rPr>
        <w:t>Laake</w:t>
      </w:r>
      <w:proofErr w:type="spellEnd"/>
      <w:r>
        <w:rPr>
          <w:rFonts w:ascii="Calibri" w:eastAsia="Calibri" w:hAnsi="Calibri" w:cs="Times New Roman"/>
        </w:rPr>
        <w:t>, Dawson and Hone, 2008) in which objects missed by both observers cannot be included in the sample because they are not observed (</w:t>
      </w:r>
      <w:proofErr w:type="spellStart"/>
      <w:r>
        <w:rPr>
          <w:rFonts w:ascii="Calibri" w:eastAsia="Calibri" w:hAnsi="Calibri" w:cs="Times New Roman"/>
        </w:rPr>
        <w:t>Borchers</w:t>
      </w:r>
      <w:proofErr w:type="spellEnd"/>
      <w:r>
        <w:rPr>
          <w:rFonts w:ascii="Calibri" w:eastAsia="Calibri" w:hAnsi="Calibri" w:cs="Times New Roman"/>
        </w:rPr>
        <w:t xml:space="preserve">, 1999). However, &lt;&lt;appropriate </w:t>
      </w:r>
      <w:proofErr w:type="spellStart"/>
      <w:r>
        <w:rPr>
          <w:rFonts w:ascii="Calibri" w:eastAsia="Calibri" w:hAnsi="Calibri" w:cs="Times New Roman"/>
        </w:rPr>
        <w:t>Borchers</w:t>
      </w:r>
      <w:proofErr w:type="spellEnd"/>
      <w:r>
        <w:rPr>
          <w:rFonts w:ascii="Calibri" w:eastAsia="Calibri" w:hAnsi="Calibri" w:cs="Times New Roman"/>
        </w:rPr>
        <w:t>/</w:t>
      </w:r>
      <w:proofErr w:type="spellStart"/>
      <w:r>
        <w:rPr>
          <w:rFonts w:ascii="Calibri" w:eastAsia="Calibri" w:hAnsi="Calibri" w:cs="Times New Roman"/>
        </w:rPr>
        <w:t>Laake</w:t>
      </w:r>
      <w:proofErr w:type="spellEnd"/>
      <w:r>
        <w:rPr>
          <w:rFonts w:ascii="Calibri" w:eastAsia="Calibri" w:hAnsi="Calibri" w:cs="Times New Roman"/>
        </w:rPr>
        <w:t xml:space="preserve"> citation here&gt;&gt; used ancillary distance data to weaken the independence assumption such that independence was assumed only for observations that occurred close to the transect line and improve abundance estimates. If the independence assumption can be similarly weakened in situations where both marks are lost in mark-recaptures studies, it may be possible to evaluate loss of marks for species where only double-marked individuals are feasible.</w:t>
      </w:r>
    </w:p>
    <w:p w:rsidR="00F7475C" w:rsidRDefault="00F7475C" w:rsidP="008C01CD">
      <w:pPr>
        <w:spacing w:line="480" w:lineRule="auto"/>
        <w:ind w:firstLine="720"/>
      </w:pPr>
      <w:r>
        <w:rPr>
          <w:rFonts w:ascii="Calibri" w:eastAsia="Calibri" w:hAnsi="Calibri" w:cs="Times New Roman"/>
        </w:rPr>
        <w:t>We develop a model of mark loss that explicitly models dependence in loss of marks and then we consider situations where we can weaken the independence assumption</w:t>
      </w:r>
      <w:r>
        <w:t xml:space="preserve"> by incorporating dependence</w:t>
      </w:r>
      <w:r>
        <w:rPr>
          <w:rFonts w:ascii="Calibri" w:eastAsia="Calibri" w:hAnsi="Calibri" w:cs="Times New Roman"/>
        </w:rPr>
        <w:t xml:space="preserve">. We apply the model to tagged </w:t>
      </w:r>
      <w:smartTag w:uri="urn:schemas-microsoft-com:office:smarttags" w:element="State">
        <w:smartTag w:uri="urn:schemas-microsoft-com:office:smarttags" w:element="place">
          <w:r>
            <w:rPr>
              <w:rFonts w:ascii="Calibri" w:eastAsia="Calibri" w:hAnsi="Calibri" w:cs="Times New Roman"/>
            </w:rPr>
            <w:t>California</w:t>
          </w:r>
        </w:smartTag>
      </w:smartTag>
      <w:r>
        <w:rPr>
          <w:rFonts w:ascii="Calibri" w:eastAsia="Calibri" w:hAnsi="Calibri" w:cs="Times New Roman"/>
        </w:rPr>
        <w:t xml:space="preserve"> sea lions (</w:t>
      </w:r>
      <w:proofErr w:type="spellStart"/>
      <w:r w:rsidRPr="009F3B41">
        <w:rPr>
          <w:rFonts w:ascii="Calibri" w:eastAsia="Calibri" w:hAnsi="Calibri" w:cs="Times New Roman"/>
          <w:i/>
        </w:rPr>
        <w:t>Zalophus</w:t>
      </w:r>
      <w:proofErr w:type="spellEnd"/>
      <w:r w:rsidRPr="009F3B41">
        <w:rPr>
          <w:rFonts w:ascii="Calibri" w:eastAsia="Calibri" w:hAnsi="Calibri" w:cs="Times New Roman"/>
          <w:i/>
        </w:rPr>
        <w:t xml:space="preserve"> </w:t>
      </w:r>
      <w:proofErr w:type="spellStart"/>
      <w:r w:rsidRPr="009F3B41">
        <w:rPr>
          <w:rFonts w:ascii="Calibri" w:eastAsia="Calibri" w:hAnsi="Calibri" w:cs="Times New Roman"/>
          <w:i/>
        </w:rPr>
        <w:t>californianus</w:t>
      </w:r>
      <w:proofErr w:type="spellEnd"/>
      <w:r>
        <w:rPr>
          <w:rFonts w:ascii="Calibri" w:eastAsia="Calibri" w:hAnsi="Calibri" w:cs="Times New Roman"/>
        </w:rPr>
        <w:t>) and black bear (</w:t>
      </w:r>
      <w:proofErr w:type="spellStart"/>
      <w:r w:rsidRPr="009F3B41">
        <w:rPr>
          <w:rFonts w:ascii="Calibri" w:eastAsia="Calibri" w:hAnsi="Calibri" w:cs="Times New Roman"/>
          <w:i/>
        </w:rPr>
        <w:t>Ursus</w:t>
      </w:r>
      <w:proofErr w:type="spellEnd"/>
      <w:r w:rsidRPr="009F3B41">
        <w:rPr>
          <w:rFonts w:ascii="Calibri" w:eastAsia="Calibri" w:hAnsi="Calibri" w:cs="Times New Roman"/>
          <w:i/>
        </w:rPr>
        <w:t xml:space="preserve"> </w:t>
      </w:r>
      <w:proofErr w:type="spellStart"/>
      <w:r w:rsidRPr="009F3B41">
        <w:rPr>
          <w:rFonts w:ascii="Calibri" w:eastAsia="Calibri" w:hAnsi="Calibri" w:cs="Times New Roman"/>
          <w:i/>
        </w:rPr>
        <w:t>americanus</w:t>
      </w:r>
      <w:proofErr w:type="spellEnd"/>
      <w:r>
        <w:rPr>
          <w:rFonts w:ascii="Calibri" w:eastAsia="Calibri" w:hAnsi="Calibri" w:cs="Times New Roman"/>
        </w:rPr>
        <w:t>) which were both double tagged and given a separate permanent mark. We compare the results using an independence model and dependence model with the double tag data excluding the double tag loss observations to the results using the data including the known double tag loss.</w:t>
      </w:r>
    </w:p>
    <w:p w:rsidR="00F7475C" w:rsidRPr="00096417" w:rsidRDefault="00F7475C" w:rsidP="008C01CD">
      <w:pPr>
        <w:spacing w:line="480" w:lineRule="auto"/>
        <w:rPr>
          <w:b/>
        </w:rPr>
      </w:pPr>
      <w:r w:rsidRPr="006A3849">
        <w:rPr>
          <w:b/>
        </w:rPr>
        <w:t>Tag Loss Model</w:t>
      </w:r>
      <w:r>
        <w:rPr>
          <w:b/>
        </w:rPr>
        <w:t>s</w:t>
      </w:r>
    </w:p>
    <w:p w:rsidR="00F7475C" w:rsidRDefault="00F7475C" w:rsidP="008C01CD">
      <w:pPr>
        <w:spacing w:line="480" w:lineRule="auto"/>
        <w:ind w:firstLine="720"/>
      </w:pPr>
      <w:r>
        <w:t>We first consider a simple situation which has been well described in the literature (</w:t>
      </w:r>
      <w:proofErr w:type="spellStart"/>
      <w:r>
        <w:t>Seber</w:t>
      </w:r>
      <w:proofErr w:type="spellEnd"/>
      <w:r>
        <w:t xml:space="preserve"> 1982) and then we will build from this foundation.  Two tags are applied to a sample of animals, they are </w:t>
      </w:r>
      <w:r>
        <w:lastRenderedPageBreak/>
        <w:t>released and at some time later a sample of animals are observed having one (n</w:t>
      </w:r>
      <w:r>
        <w:rPr>
          <w:vertAlign w:val="subscript"/>
        </w:rPr>
        <w:t>1</w:t>
      </w:r>
      <w:r>
        <w:t>=</w:t>
      </w:r>
      <w:r w:rsidRPr="00096417">
        <w:t xml:space="preserve"> </w:t>
      </w:r>
      <w:r>
        <w:t>n</w:t>
      </w:r>
      <w:r>
        <w:rPr>
          <w:vertAlign w:val="subscript"/>
        </w:rPr>
        <w:t>01</w:t>
      </w:r>
      <w:r>
        <w:t>+</w:t>
      </w:r>
      <w:r w:rsidRPr="00096417">
        <w:t xml:space="preserve"> </w:t>
      </w:r>
      <w:r>
        <w:t>n</w:t>
      </w:r>
      <w:r>
        <w:rPr>
          <w:vertAlign w:val="subscript"/>
        </w:rPr>
        <w:t>10</w:t>
      </w:r>
      <w:r>
        <w:t>) or two (n</w:t>
      </w:r>
      <w:r>
        <w:rPr>
          <w:vertAlign w:val="subscript"/>
        </w:rPr>
        <w:t>2</w:t>
      </w:r>
      <w:r>
        <w:t>=</w:t>
      </w:r>
      <w:r w:rsidRPr="00096417">
        <w:t xml:space="preserve"> </w:t>
      </w:r>
      <w:r>
        <w:t>n</w:t>
      </w:r>
      <w:r>
        <w:rPr>
          <w:vertAlign w:val="subscript"/>
        </w:rPr>
        <w:t>11</w:t>
      </w:r>
      <w:r>
        <w:t>) tags present.  In this simple example, double tag loss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00</m:t>
            </m:r>
          </m:sub>
        </m:sSub>
      </m:oMath>
      <w:r>
        <w:t xml:space="preserve">) is not observable.  Let </w:t>
      </w:r>
      <w:r>
        <w:rPr>
          <w:rFonts w:ascii="Cambria Math" w:hAnsi="Cambria Math"/>
          <w:b/>
        </w:rPr>
        <w:t>S</w:t>
      </w:r>
      <w:r w:rsidRPr="006C7062">
        <w:rPr>
          <w:rFonts w:ascii="Cambria Math" w:hAnsi="Cambria Math"/>
        </w:rPr>
        <w:t xml:space="preserve"> = (</w:t>
      </w:r>
      <w:r>
        <w:rPr>
          <w:rFonts w:ascii="Cambria Math" w:hAnsi="Cambria Math"/>
          <w:i/>
        </w:rPr>
        <w:t>S</w:t>
      </w:r>
      <w:r w:rsidRPr="006C7062">
        <w:rPr>
          <w:rFonts w:ascii="Cambria Math" w:hAnsi="Cambria Math"/>
          <w:vertAlign w:val="subscript"/>
        </w:rPr>
        <w:t>1</w:t>
      </w:r>
      <w:r w:rsidRPr="006C7062">
        <w:rPr>
          <w:rFonts w:ascii="Cambria Math" w:hAnsi="Cambria Math"/>
        </w:rPr>
        <w:t xml:space="preserve">, </w:t>
      </w:r>
      <w:r>
        <w:rPr>
          <w:rFonts w:ascii="Cambria Math" w:hAnsi="Cambria Math"/>
          <w:i/>
        </w:rPr>
        <w:t>S</w:t>
      </w:r>
      <w:r w:rsidRPr="006C7062">
        <w:rPr>
          <w:rFonts w:ascii="Cambria Math" w:hAnsi="Cambria Math"/>
          <w:vertAlign w:val="subscript"/>
        </w:rPr>
        <w:t>2</w:t>
      </w:r>
      <w:r w:rsidRPr="006C7062">
        <w:rPr>
          <w:rFonts w:ascii="Cambria Math" w:hAnsi="Cambria Math"/>
        </w:rPr>
        <w:t>)</w:t>
      </w:r>
      <w:r>
        <w:rPr>
          <w:rFonts w:ascii="Cambria Math" w:hAnsi="Cambria Math"/>
        </w:rPr>
        <w:t xml:space="preserve"> represent </w:t>
      </w:r>
      <w:r>
        <w:t xml:space="preserve">the status vector of the 2 tags where </w:t>
      </w:r>
      <w:r w:rsidRPr="00490D9B">
        <w:rPr>
          <w:rFonts w:ascii="Cambria Math" w:hAnsi="Cambria Math"/>
          <w:i/>
        </w:rPr>
        <w:t>S</w:t>
      </w:r>
      <w:r w:rsidRPr="00490D9B">
        <w:rPr>
          <w:rFonts w:ascii="Cambria Math" w:hAnsi="Cambria Math"/>
          <w:i/>
          <w:vertAlign w:val="subscript"/>
        </w:rPr>
        <w:t>i</w:t>
      </w:r>
      <w:r>
        <w:t xml:space="preserve"> is 1 if the </w:t>
      </w:r>
      <w:proofErr w:type="spellStart"/>
      <w:r w:rsidRPr="00B04C61">
        <w:rPr>
          <w:i/>
        </w:rPr>
        <w:t>i</w:t>
      </w:r>
      <w:r w:rsidRPr="00B04C61">
        <w:rPr>
          <w:i/>
          <w:vertAlign w:val="superscript"/>
        </w:rPr>
        <w:t>th</w:t>
      </w:r>
      <w:proofErr w:type="spellEnd"/>
      <w:r>
        <w:t xml:space="preserve"> tag is present and 0 if the </w:t>
      </w:r>
      <w:proofErr w:type="spellStart"/>
      <w:r w:rsidRPr="00B04C61">
        <w:rPr>
          <w:i/>
        </w:rPr>
        <w:t>i</w:t>
      </w:r>
      <w:r w:rsidRPr="00B04C61">
        <w:rPr>
          <w:i/>
          <w:vertAlign w:val="superscript"/>
        </w:rPr>
        <w:t>th</w:t>
      </w:r>
      <w:proofErr w:type="spellEnd"/>
      <w:r>
        <w:t xml:space="preserve"> tag is absent (lost) (note: this is counter to the convention of </w:t>
      </w:r>
      <w:proofErr w:type="spellStart"/>
      <w:r>
        <w:t>Diefenbach</w:t>
      </w:r>
      <w:proofErr w:type="spellEnd"/>
      <w:r>
        <w:t xml:space="preserve"> et al. (1998), Bradshaw et al. (2000) and </w:t>
      </w:r>
      <w:proofErr w:type="spellStart"/>
      <w:r>
        <w:t>Rivalan</w:t>
      </w:r>
      <w:proofErr w:type="spellEnd"/>
      <w:r>
        <w:t xml:space="preserve"> et al. (2005) who use 1 to denote a tag loss event).  Usually the tagged animals can only be identified if one or more tags are retained which means those that lost both tags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00</m:t>
            </m:r>
          </m:sub>
        </m:sSub>
        <m:r>
          <w:rPr>
            <w:rFonts w:ascii="Cambria Math" w:eastAsiaTheme="minorEastAsia" w:hAnsi="Cambria Math"/>
          </w:rPr>
          <m:t xml:space="preserve">; </m:t>
        </m:r>
      </m:oMath>
      <w:r>
        <w:rPr>
          <w:rFonts w:ascii="Cambria Math" w:hAnsi="Cambria Math"/>
          <w:b/>
        </w:rPr>
        <w:t>S</w:t>
      </w:r>
      <w:r w:rsidRPr="006C7062">
        <w:rPr>
          <w:rFonts w:ascii="Cambria Math" w:hAnsi="Cambria Math"/>
        </w:rPr>
        <w:t xml:space="preserve"> = (</w:t>
      </w:r>
      <w:r>
        <w:rPr>
          <w:rFonts w:ascii="Cambria Math" w:hAnsi="Cambria Math"/>
        </w:rPr>
        <w:t>0</w:t>
      </w:r>
      <w:proofErr w:type="gramStart"/>
      <w:r>
        <w:rPr>
          <w:rFonts w:ascii="Cambria Math" w:hAnsi="Cambria Math"/>
        </w:rPr>
        <w:t>,0</w:t>
      </w:r>
      <w:proofErr w:type="gramEnd"/>
      <w:r w:rsidRPr="006C7062">
        <w:rPr>
          <w:rFonts w:ascii="Cambria Math" w:hAnsi="Cambria Math"/>
        </w:rPr>
        <w:t>)</w:t>
      </w:r>
      <w:r>
        <w:rPr>
          <w:rFonts w:ascii="Cambria Math" w:hAnsi="Cambria Math"/>
        </w:rPr>
        <w:t>) are not observable.  Initially, w</w:t>
      </w:r>
      <w:r>
        <w:t xml:space="preserve">e assume both tags have the same probability of tag loss, </w:t>
      </w:r>
      <w:r w:rsidRPr="00B83D6D">
        <w:rPr>
          <w:i/>
        </w:rPr>
        <w:t>p</w:t>
      </w:r>
      <w:r>
        <w:t xml:space="preserve">, and we assume independence of tag fates.  </w:t>
      </w:r>
    </w:p>
    <w:p w:rsidR="00F7475C" w:rsidRDefault="00F7475C" w:rsidP="008C01CD">
      <w:pPr>
        <w:spacing w:line="480" w:lineRule="auto"/>
      </w:pPr>
    </w:p>
    <w:p w:rsidR="00F7475C" w:rsidRPr="008A18AE" w:rsidRDefault="00F7475C" w:rsidP="008C01CD">
      <w:pPr>
        <w:spacing w:line="480" w:lineRule="auto"/>
      </w:pPr>
      <w:proofErr w:type="gramStart"/>
      <w:r>
        <w:t>Table 1.</w:t>
      </w:r>
      <w:proofErr w:type="gramEnd"/>
      <w:r>
        <w:t xml:space="preserve"> Joint (</w:t>
      </w:r>
      <m:oMath>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sub>
        </m:sSub>
      </m:oMath>
      <w:r>
        <w:t xml:space="preserve">) </w:t>
      </w:r>
      <w:r w:rsidRPr="00AC1391">
        <w:t>and</w:t>
      </w:r>
      <w:r>
        <w:t xml:space="preserve"> marginal (</w:t>
      </w:r>
      <w:r w:rsidRPr="00AC1391">
        <w:rPr>
          <w:i/>
        </w:rPr>
        <w:t>p</w:t>
      </w:r>
      <w:r>
        <w:t xml:space="preserve">, </w:t>
      </w:r>
      <w:r w:rsidRPr="00AC1391">
        <w:rPr>
          <w:i/>
        </w:rPr>
        <w:t>q</w:t>
      </w:r>
      <w:r>
        <w:t xml:space="preserve">) probabilities for double tag status </w:t>
      </w:r>
      <w:r>
        <w:rPr>
          <w:rFonts w:ascii="Cambria Math" w:hAnsi="Cambria Math"/>
          <w:b/>
        </w:rPr>
        <w:t>S</w:t>
      </w:r>
      <w:r w:rsidRPr="006C7062">
        <w:rPr>
          <w:rFonts w:ascii="Cambria Math" w:hAnsi="Cambria Math"/>
        </w:rPr>
        <w:t xml:space="preserve"> = (</w:t>
      </w:r>
      <w:r>
        <w:rPr>
          <w:rFonts w:ascii="Cambria Math" w:hAnsi="Cambria Math"/>
          <w:i/>
        </w:rPr>
        <w:t>S</w:t>
      </w:r>
      <w:r w:rsidRPr="006C7062">
        <w:rPr>
          <w:rFonts w:ascii="Cambria Math" w:hAnsi="Cambria Math"/>
          <w:vertAlign w:val="subscript"/>
        </w:rPr>
        <w:t>1</w:t>
      </w:r>
      <w:r w:rsidRPr="006C7062">
        <w:rPr>
          <w:rFonts w:ascii="Cambria Math" w:hAnsi="Cambria Math"/>
        </w:rPr>
        <w:t xml:space="preserve">, </w:t>
      </w:r>
      <w:r>
        <w:rPr>
          <w:rFonts w:ascii="Cambria Math" w:hAnsi="Cambria Math"/>
          <w:i/>
        </w:rPr>
        <w:t>S</w:t>
      </w:r>
      <w:r w:rsidRPr="006C7062">
        <w:rPr>
          <w:rFonts w:ascii="Cambria Math" w:hAnsi="Cambria Math"/>
          <w:vertAlign w:val="subscript"/>
        </w:rPr>
        <w:t>2</w:t>
      </w:r>
      <w:r w:rsidRPr="006C7062">
        <w:rPr>
          <w:rFonts w:ascii="Cambria Math" w:hAnsi="Cambria Math"/>
        </w:rPr>
        <w:t>)</w:t>
      </w:r>
      <w:r>
        <w:rPr>
          <w:rFonts w:ascii="Cambria Math" w:hAnsi="Cambria Math"/>
        </w:rPr>
        <w:t xml:space="preserve"> with an assumed independence structure.  The </w:t>
      </w:r>
      <w:r w:rsidRPr="00DD00CE">
        <w:rPr>
          <w:rFonts w:ascii="Cambria Math" w:hAnsi="Cambria Math"/>
          <w:i/>
        </w:rPr>
        <w:t>n</w:t>
      </w:r>
      <w:r w:rsidRPr="00DD00CE">
        <w:rPr>
          <w:rFonts w:ascii="Cambria Math" w:hAnsi="Cambria Math"/>
          <w:i/>
          <w:vertAlign w:val="subscript"/>
        </w:rPr>
        <w:t>00</w:t>
      </w:r>
      <w:r>
        <w:rPr>
          <w:rFonts w:ascii="Cambria Math" w:hAnsi="Cambria Math"/>
        </w:rPr>
        <w:t xml:space="preserve"> cell is shaded gray because it is not observed.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08"/>
        <w:gridCol w:w="2250"/>
        <w:gridCol w:w="2610"/>
        <w:gridCol w:w="2700"/>
      </w:tblGrid>
      <w:tr w:rsidR="00F7475C" w:rsidTr="008C01CD">
        <w:tc>
          <w:tcPr>
            <w:tcW w:w="1908" w:type="dxa"/>
            <w:tcBorders>
              <w:top w:val="single" w:sz="4" w:space="0" w:color="000000" w:themeColor="text1"/>
            </w:tcBorders>
            <w:vAlign w:val="center"/>
          </w:tcPr>
          <w:p w:rsidR="00F7475C" w:rsidRDefault="00F7475C" w:rsidP="008C01CD">
            <w:pPr>
              <w:spacing w:line="480" w:lineRule="auto"/>
              <w:jc w:val="center"/>
            </w:pPr>
          </w:p>
        </w:tc>
        <w:tc>
          <w:tcPr>
            <w:tcW w:w="4860" w:type="dxa"/>
            <w:gridSpan w:val="2"/>
            <w:tcBorders>
              <w:top w:val="single" w:sz="4" w:space="0" w:color="000000" w:themeColor="text1"/>
              <w:bottom w:val="single" w:sz="4" w:space="0" w:color="000000" w:themeColor="text1"/>
            </w:tcBorders>
            <w:vAlign w:val="center"/>
          </w:tcPr>
          <w:p w:rsidR="00F7475C" w:rsidRPr="00BB1287" w:rsidRDefault="00F7475C" w:rsidP="008C01CD">
            <w:pPr>
              <w:spacing w:line="480" w:lineRule="auto"/>
              <w:jc w:val="center"/>
              <w:rPr>
                <w:b/>
              </w:rPr>
            </w:pPr>
            <w:r w:rsidRPr="00BB1287">
              <w:rPr>
                <w:b/>
              </w:rPr>
              <w:t>Tag 2</w:t>
            </w:r>
            <w:r>
              <w:rPr>
                <w:b/>
              </w:rPr>
              <w:t xml:space="preserve"> Status (S</w:t>
            </w:r>
            <w:r>
              <w:rPr>
                <w:b/>
                <w:vertAlign w:val="subscript"/>
              </w:rPr>
              <w:t>2</w:t>
            </w:r>
            <w:r>
              <w:rPr>
                <w:b/>
              </w:rPr>
              <w:t>)</w:t>
            </w:r>
          </w:p>
        </w:tc>
        <w:tc>
          <w:tcPr>
            <w:tcW w:w="2700" w:type="dxa"/>
            <w:tcBorders>
              <w:top w:val="single" w:sz="4" w:space="0" w:color="000000" w:themeColor="text1"/>
            </w:tcBorders>
            <w:vAlign w:val="center"/>
          </w:tcPr>
          <w:p w:rsidR="00F7475C" w:rsidRDefault="00F7475C" w:rsidP="008C01CD">
            <w:pPr>
              <w:spacing w:line="480" w:lineRule="auto"/>
              <w:jc w:val="center"/>
            </w:pPr>
          </w:p>
        </w:tc>
      </w:tr>
      <w:tr w:rsidR="00F7475C" w:rsidTr="008C01CD">
        <w:tc>
          <w:tcPr>
            <w:tcW w:w="1908" w:type="dxa"/>
            <w:vAlign w:val="center"/>
          </w:tcPr>
          <w:p w:rsidR="00F7475C" w:rsidRPr="006E30B4" w:rsidRDefault="00F7475C" w:rsidP="008C01CD">
            <w:pPr>
              <w:spacing w:line="480" w:lineRule="auto"/>
              <w:jc w:val="center"/>
              <w:rPr>
                <w:b/>
              </w:rPr>
            </w:pPr>
            <w:r w:rsidRPr="00BB1287">
              <w:rPr>
                <w:b/>
              </w:rPr>
              <w:t>Tag 1</w:t>
            </w:r>
            <w:r>
              <w:rPr>
                <w:b/>
              </w:rPr>
              <w:t xml:space="preserve"> Status (S</w:t>
            </w:r>
            <w:r>
              <w:rPr>
                <w:b/>
                <w:vertAlign w:val="subscript"/>
              </w:rPr>
              <w:t>1</w:t>
            </w:r>
            <w:r>
              <w:rPr>
                <w:b/>
              </w:rPr>
              <w:t>)</w:t>
            </w:r>
          </w:p>
        </w:tc>
        <w:tc>
          <w:tcPr>
            <w:tcW w:w="2250" w:type="dxa"/>
            <w:tcBorders>
              <w:top w:val="single" w:sz="4" w:space="0" w:color="000000" w:themeColor="text1"/>
              <w:bottom w:val="single" w:sz="4" w:space="0" w:color="000000" w:themeColor="text1"/>
            </w:tcBorders>
            <w:vAlign w:val="center"/>
          </w:tcPr>
          <w:p w:rsidR="00F7475C" w:rsidRPr="008A18AE" w:rsidRDefault="00F7475C" w:rsidP="008C01CD">
            <w:pPr>
              <w:spacing w:line="480" w:lineRule="auto"/>
              <w:jc w:val="center"/>
              <w:rPr>
                <w:i/>
              </w:rPr>
            </w:pPr>
            <w:r w:rsidRPr="008A18AE">
              <w:rPr>
                <w:i/>
              </w:rPr>
              <w:t>Present (S</w:t>
            </w:r>
            <w:r w:rsidRPr="008A18AE">
              <w:rPr>
                <w:i/>
                <w:vertAlign w:val="subscript"/>
              </w:rPr>
              <w:t>2</w:t>
            </w:r>
            <w:r w:rsidRPr="008A18AE">
              <w:rPr>
                <w:i/>
              </w:rPr>
              <w:t>=1)</w:t>
            </w:r>
          </w:p>
        </w:tc>
        <w:tc>
          <w:tcPr>
            <w:tcW w:w="2610" w:type="dxa"/>
            <w:tcBorders>
              <w:top w:val="single" w:sz="4" w:space="0" w:color="000000" w:themeColor="text1"/>
              <w:bottom w:val="single" w:sz="4" w:space="0" w:color="000000" w:themeColor="text1"/>
            </w:tcBorders>
            <w:vAlign w:val="center"/>
          </w:tcPr>
          <w:p w:rsidR="00F7475C" w:rsidRPr="008A18AE" w:rsidRDefault="00F7475C" w:rsidP="008C01CD">
            <w:pPr>
              <w:spacing w:line="480" w:lineRule="auto"/>
              <w:jc w:val="center"/>
              <w:rPr>
                <w:i/>
              </w:rPr>
            </w:pPr>
            <w:r w:rsidRPr="008A18AE">
              <w:rPr>
                <w:i/>
              </w:rPr>
              <w:t>Absent (S</w:t>
            </w:r>
            <w:r w:rsidRPr="008A18AE">
              <w:rPr>
                <w:i/>
                <w:vertAlign w:val="subscript"/>
              </w:rPr>
              <w:t>2</w:t>
            </w:r>
            <w:r w:rsidRPr="008A18AE">
              <w:rPr>
                <w:i/>
              </w:rPr>
              <w:t>=0)</w:t>
            </w:r>
          </w:p>
        </w:tc>
        <w:tc>
          <w:tcPr>
            <w:tcW w:w="2700" w:type="dxa"/>
            <w:vAlign w:val="center"/>
          </w:tcPr>
          <w:p w:rsidR="00F7475C" w:rsidRPr="008A18AE" w:rsidRDefault="00F7475C" w:rsidP="008C01CD">
            <w:pPr>
              <w:spacing w:line="480" w:lineRule="auto"/>
              <w:jc w:val="center"/>
              <w:rPr>
                <w:i/>
              </w:rPr>
            </w:pPr>
            <w:r w:rsidRPr="008A18AE">
              <w:rPr>
                <w:i/>
              </w:rPr>
              <w:t>Marginal</w:t>
            </w:r>
          </w:p>
        </w:tc>
      </w:tr>
      <w:tr w:rsidR="00F7475C" w:rsidTr="008C01CD">
        <w:tc>
          <w:tcPr>
            <w:tcW w:w="1908" w:type="dxa"/>
            <w:tcBorders>
              <w:right w:val="single" w:sz="4" w:space="0" w:color="000000" w:themeColor="text1"/>
            </w:tcBorders>
            <w:vAlign w:val="center"/>
          </w:tcPr>
          <w:p w:rsidR="00F7475C" w:rsidRPr="008A18AE" w:rsidRDefault="00F7475C" w:rsidP="008C01CD">
            <w:pPr>
              <w:spacing w:line="480" w:lineRule="auto"/>
              <w:jc w:val="center"/>
              <w:rPr>
                <w:i/>
              </w:rPr>
            </w:pPr>
            <w:r w:rsidRPr="008A18AE">
              <w:rPr>
                <w:i/>
              </w:rPr>
              <w:t>Present (S</w:t>
            </w:r>
            <w:r w:rsidRPr="008A18AE">
              <w:rPr>
                <w:i/>
                <w:vertAlign w:val="subscript"/>
              </w:rPr>
              <w:t>1</w:t>
            </w:r>
            <w:r w:rsidRPr="008A18AE">
              <w:rPr>
                <w:i/>
              </w:rPr>
              <w:t>=1)</w:t>
            </w:r>
          </w:p>
        </w:tc>
        <w:tc>
          <w:tcPr>
            <w:tcW w:w="2250" w:type="dxa"/>
            <w:tcBorders>
              <w:top w:val="single" w:sz="4" w:space="0" w:color="000000" w:themeColor="text1"/>
              <w:left w:val="single" w:sz="4" w:space="0" w:color="000000" w:themeColor="text1"/>
            </w:tcBorders>
            <w:vAlign w:val="center"/>
          </w:tcPr>
          <w:p w:rsidR="00F7475C" w:rsidRDefault="00A70CD0" w:rsidP="008C01CD">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 π</m:t>
                    </m:r>
                  </m:e>
                  <m:sub>
                    <m:r>
                      <w:rPr>
                        <w:rFonts w:ascii="Cambria Math" w:hAnsi="Cambria Math"/>
                      </w:rPr>
                      <m:t>11</m:t>
                    </m:r>
                  </m:sub>
                </m:sSub>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2</m:t>
                    </m:r>
                  </m:sup>
                </m:sSup>
              </m:oMath>
            </m:oMathPara>
          </w:p>
        </w:tc>
        <w:tc>
          <w:tcPr>
            <w:tcW w:w="2610" w:type="dxa"/>
            <w:tcBorders>
              <w:top w:val="single" w:sz="4" w:space="0" w:color="000000" w:themeColor="text1"/>
              <w:right w:val="single" w:sz="4" w:space="0" w:color="000000" w:themeColor="text1"/>
            </w:tcBorders>
            <w:vAlign w:val="center"/>
          </w:tcPr>
          <w:p w:rsidR="00F7475C" w:rsidRDefault="00A70CD0" w:rsidP="008C01CD">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 π</m:t>
                    </m:r>
                  </m:e>
                  <m:sub>
                    <m:r>
                      <w:rPr>
                        <w:rFonts w:ascii="Cambria Math" w:hAnsi="Cambria Math"/>
                      </w:rPr>
                      <m:t>10</m:t>
                    </m:r>
                  </m:sub>
                </m:sSub>
                <m:r>
                  <w:rPr>
                    <w:rFonts w:ascii="Cambria Math" w:hAnsi="Cambria Math"/>
                  </w:rPr>
                  <m:t>=(1-p)p</m:t>
                </m:r>
              </m:oMath>
            </m:oMathPara>
          </w:p>
        </w:tc>
        <w:tc>
          <w:tcPr>
            <w:tcW w:w="2700" w:type="dxa"/>
            <w:tcBorders>
              <w:left w:val="single" w:sz="4" w:space="0" w:color="000000" w:themeColor="text1"/>
            </w:tcBorders>
            <w:vAlign w:val="center"/>
          </w:tcPr>
          <w:p w:rsidR="00F7475C" w:rsidRPr="00DB2E29" w:rsidRDefault="00F7475C" w:rsidP="008C01CD">
            <w:pPr>
              <w:spacing w:line="480" w:lineRule="auto"/>
              <w:jc w:val="center"/>
              <w:rPr>
                <w:rFonts w:ascii="Calibri" w:eastAsia="Calibri" w:hAnsi="Calibri" w:cs="Times New Roman"/>
              </w:rPr>
            </w:pPr>
            <m:oMathPara>
              <m:oMath>
                <m:r>
                  <w:rPr>
                    <w:rFonts w:ascii="Cambria Math" w:hAnsi="Cambria Math"/>
                  </w:rPr>
                  <m:t>q=1-p</m:t>
                </m:r>
              </m:oMath>
            </m:oMathPara>
          </w:p>
        </w:tc>
      </w:tr>
      <w:tr w:rsidR="00F7475C" w:rsidTr="008C01CD">
        <w:tc>
          <w:tcPr>
            <w:tcW w:w="1908" w:type="dxa"/>
            <w:tcBorders>
              <w:right w:val="single" w:sz="4" w:space="0" w:color="000000" w:themeColor="text1"/>
            </w:tcBorders>
            <w:vAlign w:val="center"/>
          </w:tcPr>
          <w:p w:rsidR="00F7475C" w:rsidRPr="008A18AE" w:rsidRDefault="00F7475C" w:rsidP="008C01CD">
            <w:pPr>
              <w:spacing w:line="480" w:lineRule="auto"/>
              <w:jc w:val="center"/>
              <w:rPr>
                <w:i/>
              </w:rPr>
            </w:pPr>
            <w:r w:rsidRPr="008A18AE">
              <w:rPr>
                <w:i/>
              </w:rPr>
              <w:t>Absent (S</w:t>
            </w:r>
            <w:r w:rsidRPr="008A18AE">
              <w:rPr>
                <w:i/>
                <w:vertAlign w:val="subscript"/>
              </w:rPr>
              <w:t>1</w:t>
            </w:r>
            <w:r w:rsidRPr="008A18AE">
              <w:rPr>
                <w:i/>
              </w:rPr>
              <w:t>=0)</w:t>
            </w:r>
          </w:p>
        </w:tc>
        <w:tc>
          <w:tcPr>
            <w:tcW w:w="2250" w:type="dxa"/>
            <w:tcBorders>
              <w:left w:val="single" w:sz="4" w:space="0" w:color="000000" w:themeColor="text1"/>
              <w:bottom w:val="single" w:sz="4" w:space="0" w:color="000000" w:themeColor="text1"/>
            </w:tcBorders>
            <w:vAlign w:val="center"/>
          </w:tcPr>
          <w:p w:rsidR="00F7475C" w:rsidRDefault="00A70CD0" w:rsidP="008C01CD">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 π</m:t>
                    </m:r>
                  </m:e>
                  <m:sub>
                    <m:r>
                      <w:rPr>
                        <w:rFonts w:ascii="Cambria Math" w:hAnsi="Cambria Math"/>
                      </w:rPr>
                      <m:t>01</m:t>
                    </m:r>
                  </m:sub>
                </m:sSub>
                <m:r>
                  <w:rPr>
                    <w:rFonts w:ascii="Cambria Math" w:hAnsi="Cambria Math"/>
                  </w:rPr>
                  <m:t>=p(1-p)</m:t>
                </m:r>
              </m:oMath>
            </m:oMathPara>
          </w:p>
        </w:tc>
        <w:tc>
          <w:tcPr>
            <w:tcW w:w="2610" w:type="dxa"/>
            <w:tcBorders>
              <w:bottom w:val="single" w:sz="4" w:space="0" w:color="000000" w:themeColor="text1"/>
              <w:right w:val="single" w:sz="4" w:space="0" w:color="000000" w:themeColor="text1"/>
            </w:tcBorders>
            <w:shd w:val="clear" w:color="auto" w:fill="BFBFBF" w:themeFill="background1" w:themeFillShade="BF"/>
            <w:vAlign w:val="center"/>
          </w:tcPr>
          <w:p w:rsidR="00F7475C" w:rsidRDefault="00A70CD0" w:rsidP="008C01CD">
            <w:pPr>
              <w:spacing w:line="48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00</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π</m:t>
                    </m:r>
                  </m:e>
                  <m:sub>
                    <m:r>
                      <w:rPr>
                        <w:rFonts w:ascii="Cambria Math" w:hAnsi="Cambria Math"/>
                      </w:rPr>
                      <m:t>00</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oMath>
            </m:oMathPara>
          </w:p>
        </w:tc>
        <w:tc>
          <w:tcPr>
            <w:tcW w:w="2700" w:type="dxa"/>
            <w:tcBorders>
              <w:left w:val="single" w:sz="4" w:space="0" w:color="000000" w:themeColor="text1"/>
            </w:tcBorders>
            <w:vAlign w:val="center"/>
          </w:tcPr>
          <w:p w:rsidR="00F7475C" w:rsidRPr="00DB2E29" w:rsidRDefault="00F7475C" w:rsidP="008C01CD">
            <w:pPr>
              <w:spacing w:line="480" w:lineRule="auto"/>
              <w:jc w:val="center"/>
              <w:rPr>
                <w:rFonts w:ascii="Calibri" w:eastAsia="Calibri" w:hAnsi="Calibri" w:cs="Times New Roman"/>
              </w:rPr>
            </w:pPr>
            <m:oMathPara>
              <m:oMath>
                <m:r>
                  <w:rPr>
                    <w:rFonts w:ascii="Cambria Math" w:hAnsi="Cambria Math"/>
                  </w:rPr>
                  <m:t>p</m:t>
                </m:r>
              </m:oMath>
            </m:oMathPara>
          </w:p>
        </w:tc>
      </w:tr>
      <w:tr w:rsidR="00F7475C" w:rsidTr="008C01CD">
        <w:tc>
          <w:tcPr>
            <w:tcW w:w="1908" w:type="dxa"/>
            <w:tcBorders>
              <w:bottom w:val="single" w:sz="4" w:space="0" w:color="000000" w:themeColor="text1"/>
            </w:tcBorders>
            <w:vAlign w:val="center"/>
          </w:tcPr>
          <w:p w:rsidR="00F7475C" w:rsidRPr="008A18AE" w:rsidRDefault="00F7475C" w:rsidP="008C01CD">
            <w:pPr>
              <w:spacing w:line="480" w:lineRule="auto"/>
              <w:jc w:val="center"/>
              <w:rPr>
                <w:i/>
              </w:rPr>
            </w:pPr>
            <w:r w:rsidRPr="008A18AE">
              <w:rPr>
                <w:i/>
              </w:rPr>
              <w:t>Marginal</w:t>
            </w:r>
          </w:p>
        </w:tc>
        <w:tc>
          <w:tcPr>
            <w:tcW w:w="2250" w:type="dxa"/>
            <w:tcBorders>
              <w:top w:val="single" w:sz="4" w:space="0" w:color="000000" w:themeColor="text1"/>
              <w:bottom w:val="single" w:sz="4" w:space="0" w:color="000000" w:themeColor="text1"/>
            </w:tcBorders>
            <w:vAlign w:val="center"/>
          </w:tcPr>
          <w:p w:rsidR="00F7475C" w:rsidRDefault="00F7475C" w:rsidP="008C01CD">
            <w:pPr>
              <w:spacing w:line="480" w:lineRule="auto"/>
              <w:jc w:val="center"/>
            </w:pPr>
            <m:oMathPara>
              <m:oMath>
                <m:r>
                  <w:rPr>
                    <w:rFonts w:ascii="Cambria Math" w:hAnsi="Cambria Math"/>
                  </w:rPr>
                  <m:t>q=1-p</m:t>
                </m:r>
              </m:oMath>
            </m:oMathPara>
          </w:p>
        </w:tc>
        <w:tc>
          <w:tcPr>
            <w:tcW w:w="2610" w:type="dxa"/>
            <w:tcBorders>
              <w:top w:val="single" w:sz="4" w:space="0" w:color="000000" w:themeColor="text1"/>
              <w:bottom w:val="single" w:sz="4" w:space="0" w:color="000000" w:themeColor="text1"/>
            </w:tcBorders>
            <w:vAlign w:val="center"/>
          </w:tcPr>
          <w:p w:rsidR="00F7475C" w:rsidRDefault="00F7475C" w:rsidP="008C01CD">
            <w:pPr>
              <w:spacing w:line="480" w:lineRule="auto"/>
              <w:jc w:val="center"/>
            </w:pPr>
            <m:oMathPara>
              <m:oMath>
                <m:r>
                  <w:rPr>
                    <w:rFonts w:ascii="Cambria Math" w:eastAsiaTheme="minorEastAsia" w:hAnsi="Cambria Math"/>
                  </w:rPr>
                  <m:t>p</m:t>
                </m:r>
              </m:oMath>
            </m:oMathPara>
          </w:p>
        </w:tc>
        <w:tc>
          <w:tcPr>
            <w:tcW w:w="2700" w:type="dxa"/>
            <w:tcBorders>
              <w:bottom w:val="single" w:sz="4" w:space="0" w:color="000000" w:themeColor="text1"/>
            </w:tcBorders>
            <w:vAlign w:val="center"/>
          </w:tcPr>
          <w:p w:rsidR="00F7475C" w:rsidRDefault="00F7475C" w:rsidP="008C01CD">
            <w:pPr>
              <w:spacing w:line="480" w:lineRule="auto"/>
              <w:jc w:val="center"/>
            </w:pPr>
            <m:oMathPara>
              <m:oMath>
                <m:r>
                  <w:rPr>
                    <w:rFonts w:ascii="Cambria Math" w:hAnsi="Cambria Math"/>
                  </w:rPr>
                  <m:t>1</m:t>
                </m:r>
              </m:oMath>
            </m:oMathPara>
          </w:p>
        </w:tc>
      </w:tr>
    </w:tbl>
    <w:p w:rsidR="00F7475C" w:rsidRDefault="00F7475C" w:rsidP="008C01CD">
      <w:pPr>
        <w:spacing w:line="480" w:lineRule="auto"/>
      </w:pPr>
    </w:p>
    <w:p w:rsidR="00F7475C" w:rsidRDefault="00F7475C" w:rsidP="008C01CD">
      <w:pPr>
        <w:spacing w:line="480" w:lineRule="auto"/>
        <w:ind w:firstLine="720"/>
      </w:pPr>
      <w:r>
        <w:t>Based on the independence assumption, the probability that an animal retains both tags is (1-p</w:t>
      </w:r>
      <w:proofErr w:type="gramStart"/>
      <w:r>
        <w:t>)</w:t>
      </w:r>
      <w:r>
        <w:rPr>
          <w:vertAlign w:val="superscript"/>
        </w:rPr>
        <w:t>2</w:t>
      </w:r>
      <w:proofErr w:type="gramEnd"/>
      <w:r>
        <w:t>, the probability of retaining only one tag is 2p(1-p) and the probability of losing both tags is p</w:t>
      </w:r>
      <w:r>
        <w:rPr>
          <w:vertAlign w:val="superscript"/>
        </w:rPr>
        <w:t>2</w:t>
      </w:r>
      <w:r>
        <w:t xml:space="preserve">.  The data and probability structure can be represented by a 2x2 contingency table for the status (present (retained)/absent (lost)) for each tag (Table 1).  The marginal probabilities of tag loss and tag retention are </w:t>
      </w:r>
      <w:r w:rsidRPr="00F44AAD">
        <w:rPr>
          <w:i/>
        </w:rPr>
        <w:t>p</w:t>
      </w:r>
      <w:r>
        <w:t xml:space="preserve"> and </w:t>
      </w:r>
      <w:r w:rsidRPr="00F44AAD">
        <w:rPr>
          <w:i/>
        </w:rPr>
        <w:t>q</w:t>
      </w:r>
      <w:r>
        <w:t>=1-</w:t>
      </w:r>
      <w:r w:rsidRPr="00F44AAD">
        <w:rPr>
          <w:i/>
        </w:rPr>
        <w:t>p</w:t>
      </w:r>
      <w:r>
        <w:t xml:space="preserve"> and the joint probabilities are represented as </w:t>
      </w:r>
      <m:oMath>
        <m:sSub>
          <m:sSubPr>
            <m:ctrlPr>
              <w:rPr>
                <w:rFonts w:ascii="Cambria Math" w:hAnsi="Cambria Math"/>
                <w:i/>
              </w:rPr>
            </m:ctrlPr>
          </m:sSubPr>
          <m:e>
            <m:r>
              <w:rPr>
                <w:rFonts w:ascii="Cambria Math" w:hAnsi="Cambria Math"/>
              </w:rPr>
              <m:t>π</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00</m:t>
            </m:r>
          </m:sub>
        </m:sSub>
        <m:r>
          <w:rPr>
            <w:rFonts w:ascii="Cambria Math" w:hAnsi="Cambria Math"/>
          </w:rPr>
          <m:t xml:space="preserve"> </m:t>
        </m:r>
      </m:oMath>
      <w:r>
        <w:rPr>
          <w:rFonts w:eastAsiaTheme="minorEastAsia"/>
        </w:rPr>
        <w:t xml:space="preserve">for each of the cells in the table.  Due to the assumed independence the conditional probability of tag loss or retention of a tag </w:t>
      </w:r>
      <w:r>
        <w:rPr>
          <w:rFonts w:eastAsiaTheme="minorEastAsia"/>
        </w:rPr>
        <w:lastRenderedPageBreak/>
        <w:t>given the status of the other tag is the same as the marginal probability.  For example, the probability that tag 1 is lost given that tag 2 is retained is</w:t>
      </w:r>
      <m:oMath>
        <m:sSub>
          <m:sSubPr>
            <m:ctrlPr>
              <w:rPr>
                <w:rFonts w:ascii="Cambria Math" w:hAnsi="Cambria Math"/>
                <w:i/>
              </w:rPr>
            </m:ctrlPr>
          </m:sSubPr>
          <m:e>
            <m:r>
              <w:rPr>
                <w:rFonts w:ascii="Cambria Math" w:hAnsi="Cambria Math"/>
              </w:rPr>
              <m:t xml:space="preserve"> π</m:t>
            </m:r>
          </m:e>
          <m:sub>
            <m:r>
              <w:rPr>
                <w:rFonts w:ascii="Cambria Math" w:hAnsi="Cambria Math"/>
              </w:rPr>
              <m:t>01</m:t>
            </m:r>
          </m:sub>
        </m:sSub>
        <m:r>
          <w:rPr>
            <w:rFonts w:ascii="Cambria Math" w:hAnsi="Cambria Math"/>
          </w:rPr>
          <m:t xml:space="preserve">/(1-p)=p </m:t>
        </m:r>
      </m:oMath>
      <w:r>
        <w:rPr>
          <w:rFonts w:ascii="Cambria Math" w:eastAsiaTheme="minorEastAsia" w:hAnsi="Cambria Math"/>
        </w:rPr>
        <w:t>.</w:t>
      </w:r>
    </w:p>
    <w:p w:rsidR="00F7475C" w:rsidRDefault="00F7475C" w:rsidP="008C01CD">
      <w:pPr>
        <w:spacing w:line="480" w:lineRule="auto"/>
        <w:ind w:firstLine="720"/>
        <w:rPr>
          <w:rFonts w:eastAsiaTheme="minorEastAsia"/>
        </w:rPr>
      </w:pPr>
      <w:r>
        <w:t xml:space="preserve">The log-likelihood function (excluding the constant) for </w:t>
      </w:r>
      <w:r w:rsidRPr="00C006EB">
        <w:rPr>
          <w:i/>
        </w:rPr>
        <w:t>p</w:t>
      </w:r>
      <w:r>
        <w:t xml:space="preserve"> given the observed data (</w:t>
      </w:r>
      <w:r w:rsidRPr="00C006EB">
        <w:rPr>
          <w:i/>
        </w:rPr>
        <w:t>n</w:t>
      </w:r>
      <w:r>
        <w:rPr>
          <w:vertAlign w:val="subscript"/>
        </w:rPr>
        <w:t>1</w:t>
      </w:r>
      <w:r>
        <w:t xml:space="preserve">, </w:t>
      </w:r>
      <w:r w:rsidRPr="00C006EB">
        <w:rPr>
          <w:i/>
        </w:rPr>
        <w:t>n</w:t>
      </w:r>
      <w:r>
        <w:rPr>
          <w:vertAlign w:val="subscript"/>
        </w:rPr>
        <w:t>2</w:t>
      </w:r>
      <w:r>
        <w:t xml:space="preserve">) is conditioned on the observations which excludes </w:t>
      </w:r>
      <m:oMath>
        <m:sSub>
          <m:sSubPr>
            <m:ctrlPr>
              <w:rPr>
                <w:rFonts w:ascii="Cambria Math" w:hAnsi="Cambria Math"/>
                <w:i/>
              </w:rPr>
            </m:ctrlPr>
          </m:sSubPr>
          <m:e>
            <m:r>
              <w:rPr>
                <w:rFonts w:ascii="Cambria Math" w:hAnsi="Cambria Math"/>
              </w:rPr>
              <m:t>n</m:t>
            </m:r>
          </m:e>
          <m:sub>
            <m:r>
              <w:rPr>
                <w:rFonts w:ascii="Cambria Math" w:hAnsi="Cambria Math"/>
              </w:rPr>
              <m:t>00</m:t>
            </m:r>
          </m:sub>
        </m:sSub>
        <m:r>
          <w:rPr>
            <w:rFonts w:ascii="Cambria Math" w:hAnsi="Cambria Math"/>
          </w:rPr>
          <m:t>:</m:t>
        </m:r>
      </m:oMath>
    </w:p>
    <w:p w:rsidR="00F7475C" w:rsidRDefault="00F7475C" w:rsidP="008C01CD">
      <w:pPr>
        <w:spacing w:line="480" w:lineRule="auto"/>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m:t>
              </m:r>
            </m:e>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r>
                <w:rPr>
                  <w:rFonts w:ascii="Cambria Math" w:eastAsiaTheme="minorEastAsia" w:hAnsi="Cambria Math"/>
                </w:rPr>
                <m:t>[2</m:t>
              </m:r>
            </m:fName>
            <m:e>
              <m:r>
                <w:rPr>
                  <w:rFonts w:ascii="Cambria Math" w:eastAsiaTheme="minorEastAsia" w:hAnsi="Cambria Math"/>
                </w:rPr>
                <m:t>p(1-p)</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2</m:t>
                  </m:r>
                </m:sup>
              </m:sSup>
              <m:r>
                <w:rPr>
                  <w:rFonts w:ascii="Cambria Math" w:eastAsiaTheme="minorEastAsia" w:hAnsi="Cambria Math"/>
                </w:rPr>
                <m: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e>
          </m:func>
        </m:oMath>
      </m:oMathPara>
    </w:p>
    <w:p w:rsidR="00F7475C" w:rsidRDefault="00F7475C" w:rsidP="008C01CD">
      <w:pPr>
        <w:spacing w:line="480" w:lineRule="auto"/>
        <w:rPr>
          <w:rFonts w:eastAsiaTheme="minorEastAsia"/>
        </w:rPr>
      </w:pPr>
      <w:r>
        <w:rPr>
          <w:rFonts w:eastAsiaTheme="minorEastAsia"/>
        </w:rPr>
        <w:t xml:space="preserve">The maximum likelihood estimator (MLE) for tag loss probability </w:t>
      </w:r>
      <w:proofErr w:type="gramStart"/>
      <w:r>
        <w:rPr>
          <w:rFonts w:eastAsiaTheme="minorEastAsia"/>
        </w:rPr>
        <w:t xml:space="preserve">is </w:t>
      </w:r>
      <m:oMath>
        <w:proofErr w:type="gramEnd"/>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+2n</m:t>
                </m:r>
              </m:e>
              <m:sub>
                <m:r>
                  <w:rPr>
                    <w:rFonts w:ascii="Cambria Math" w:eastAsiaTheme="minorEastAsia" w:hAnsi="Cambria Math"/>
                  </w:rPr>
                  <m:t>2</m:t>
                </m:r>
              </m:sub>
            </m:sSub>
          </m:den>
        </m:f>
      </m:oMath>
      <w:r>
        <w:rPr>
          <w:rFonts w:eastAsiaTheme="minorEastAsia"/>
        </w:rPr>
        <w:t xml:space="preserve">.  Now if we allow different probabilities for each tag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(e.g., different tag types or tag orientation), then the log-likelihood function is:</w:t>
      </w:r>
    </w:p>
    <w:p w:rsidR="00F7475C" w:rsidRPr="005A052C" w:rsidRDefault="00F7475C" w:rsidP="008C01CD">
      <w:pPr>
        <w:spacing w:line="480" w:lineRule="auto"/>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10</m:t>
              </m:r>
            </m:sub>
          </m:sSub>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01</m:t>
              </m:r>
            </m:sub>
          </m:sSub>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11</m:t>
              </m:r>
            </m:sub>
          </m:sSub>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d>
            </m:e>
          </m:func>
          <m:r>
            <w:rPr>
              <w:rFonts w:ascii="Cambria Math" w:eastAsiaTheme="minorEastAsia" w:hAnsi="Cambria Math"/>
            </w:rPr>
            <m:t>-</m:t>
          </m:r>
        </m:oMath>
      </m:oMathPara>
    </w:p>
    <w:p w:rsidR="00F7475C" w:rsidRDefault="00F7475C" w:rsidP="008C01CD">
      <w:pPr>
        <w:spacing w:line="480" w:lineRule="auto"/>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01</m:t>
              </m:r>
            </m:sub>
          </m:sSub>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11</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e>
          </m:func>
        </m:oMath>
      </m:oMathPara>
    </w:p>
    <w:p w:rsidR="00F7475C" w:rsidRDefault="00F7475C" w:rsidP="008C01CD">
      <w:pPr>
        <w:spacing w:line="480" w:lineRule="auto"/>
        <w:rPr>
          <w:rFonts w:eastAsiaTheme="minorEastAsia"/>
        </w:rPr>
      </w:pPr>
      <w:proofErr w:type="gramStart"/>
      <w:r>
        <w:t>and</w:t>
      </w:r>
      <w:proofErr w:type="gramEnd"/>
      <w:r>
        <w:t xml:space="preserve"> the MLEs are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01</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11</m:t>
                </m:r>
              </m:sub>
            </m:sSub>
          </m:den>
        </m:f>
      </m:oMath>
      <w:r>
        <w:rPr>
          <w:rFonts w:eastAsiaTheme="minorEastAsia"/>
        </w:rPr>
        <w:t xml:space="preserve">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10</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11</m:t>
                </m:r>
              </m:sub>
            </m:sSub>
          </m:den>
        </m:f>
      </m:oMath>
      <w:r>
        <w:rPr>
          <w:rFonts w:eastAsiaTheme="minorEastAsia"/>
        </w:rPr>
        <w:t xml:space="preserve"> which are equivalent to the capture probability estimators in a two occasion capture-recapture experiment for a closed population (i.e., Lincoln-Petersen).  Each of those estimators can be viewed as a conditional probability because they measure the probability that tag </w:t>
      </w:r>
      <w:proofErr w:type="spellStart"/>
      <w:r w:rsidRPr="006E2B11">
        <w:rPr>
          <w:rFonts w:eastAsiaTheme="minorEastAsia"/>
          <w:i/>
        </w:rPr>
        <w:t>i</w:t>
      </w:r>
      <w:proofErr w:type="spellEnd"/>
      <w:r>
        <w:rPr>
          <w:rFonts w:eastAsiaTheme="minorEastAsia"/>
        </w:rPr>
        <w:t xml:space="preserve"> was lost given that tag 3-</w:t>
      </w:r>
      <w:r>
        <w:rPr>
          <w:rFonts w:eastAsiaTheme="minorEastAsia"/>
          <w:i/>
        </w:rPr>
        <w:t>i</w:t>
      </w:r>
      <w:r>
        <w:rPr>
          <w:rFonts w:eastAsiaTheme="minorEastAsia"/>
        </w:rPr>
        <w:t xml:space="preserve"> was retained.  If independence holds, the conditional and marginal probabilities are the same.  </w:t>
      </w:r>
    </w:p>
    <w:p w:rsidR="00F7475C" w:rsidRDefault="00F7475C" w:rsidP="008C01CD">
      <w:pPr>
        <w:spacing w:line="480" w:lineRule="auto"/>
        <w:rPr>
          <w:rFonts w:eastAsiaTheme="minorEastAsia"/>
        </w:rPr>
      </w:pPr>
      <w:r>
        <w:rPr>
          <w:rFonts w:eastAsiaTheme="minorEastAsia"/>
        </w:rPr>
        <w:tab/>
        <w:t xml:space="preserve">We can also express the tag loss probabilities using a </w:t>
      </w:r>
      <w:proofErr w:type="spellStart"/>
      <w:r>
        <w:rPr>
          <w:rFonts w:eastAsiaTheme="minorEastAsia"/>
        </w:rPr>
        <w:t>logit</w:t>
      </w:r>
      <w:proofErr w:type="spellEnd"/>
      <w:r>
        <w:rPr>
          <w:rFonts w:eastAsiaTheme="minorEastAsia"/>
        </w:rPr>
        <w:t xml:space="preserve"> link (Bradshaw et al. 2000) which becomes helpful to incorporate covariates and to express dependence in tag fates.  With the </w:t>
      </w:r>
      <w:proofErr w:type="spellStart"/>
      <w:r>
        <w:rPr>
          <w:rFonts w:eastAsiaTheme="minorEastAsia"/>
        </w:rPr>
        <w:t>logit</w:t>
      </w:r>
      <w:proofErr w:type="spellEnd"/>
      <w:r>
        <w:rPr>
          <w:rFonts w:eastAsiaTheme="minorEastAsia"/>
        </w:rPr>
        <w:t xml:space="preserve"> link, the natural logarithm (log</w:t>
      </w:r>
      <w:r>
        <w:rPr>
          <w:rFonts w:eastAsiaTheme="minorEastAsia"/>
          <w:vertAlign w:val="subscript"/>
        </w:rPr>
        <w:t>e</w:t>
      </w:r>
      <w:r>
        <w:rPr>
          <w:rFonts w:eastAsiaTheme="minorEastAsia"/>
        </w:rPr>
        <w:t>) of the odds (</w:t>
      </w:r>
      <w:proofErr w:type="gramStart"/>
      <w:r>
        <w:rPr>
          <w:rFonts w:eastAsiaTheme="minorEastAsia"/>
        </w:rPr>
        <w:t>log</w:t>
      </w:r>
      <w:r>
        <w:rPr>
          <w:rFonts w:eastAsiaTheme="minorEastAsia"/>
          <w:vertAlign w:val="subscript"/>
        </w:rPr>
        <w:t>e</w:t>
      </w:r>
      <w:r>
        <w:rPr>
          <w:rFonts w:eastAsiaTheme="minorEastAsia"/>
        </w:rPr>
        <w:t>(</w:t>
      </w:r>
      <w:proofErr w:type="gramEnd"/>
      <w:r>
        <w:rPr>
          <w:rFonts w:eastAsiaTheme="minorEastAsia"/>
        </w:rPr>
        <w:t xml:space="preserve">p/(1-p)) is some linear function of the parameters.  Odds are simply the ratio of the probabilities of the event occurring and not occurring.  Allowing different tag loss probabilities for each tag, we can re-express the probabilities in Table 1 such that the odds of losing </w:t>
      </w:r>
      <w:r>
        <w:lastRenderedPageBreak/>
        <w:t xml:space="preserve">the </w:t>
      </w:r>
      <w:proofErr w:type="spellStart"/>
      <w:r w:rsidRPr="00F9719E">
        <w:rPr>
          <w:rFonts w:eastAsiaTheme="minorEastAsia"/>
          <w:i/>
        </w:rPr>
        <w:t>i</w:t>
      </w:r>
      <w:r w:rsidRPr="00F9719E">
        <w:rPr>
          <w:rFonts w:eastAsiaTheme="minorEastAsia"/>
          <w:i/>
          <w:vertAlign w:val="superscript"/>
        </w:rPr>
        <w:t>th</w:t>
      </w:r>
      <w:proofErr w:type="spellEnd"/>
      <w:r>
        <w:t xml:space="preserve"> tag (</w:t>
      </w:r>
      <w:r>
        <w:rPr>
          <w:rFonts w:ascii="Cambria Math" w:hAnsi="Cambria Math"/>
          <w:i/>
        </w:rPr>
        <w:t>S</w:t>
      </w:r>
      <w:r w:rsidRPr="006E30B4">
        <w:rPr>
          <w:rFonts w:ascii="Cambria Math" w:hAnsi="Cambria Math"/>
          <w:i/>
          <w:vertAlign w:val="subscript"/>
        </w:rPr>
        <w:t>i</w:t>
      </w:r>
      <w:r>
        <w:t xml:space="preserve">=0) is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oMath>
      <w:r>
        <w:rPr>
          <w:rFonts w:eastAsiaTheme="minorEastAsia"/>
        </w:rPr>
        <w:t xml:space="preserve"> (Table 2).  The model has the same structure and there is a 1-1 relationship between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oMath>
      <w:r>
        <w:rPr>
          <w:rFonts w:eastAsiaTheme="minorEastAsia"/>
        </w:rPr>
        <w:t xml:space="preserve"> and the parameters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f>
              <m:fPr>
                <m:type m:val="lin"/>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w:rPr>
                    <w:rFonts w:ascii="Cambria Math" w:eastAsiaTheme="minorEastAsia" w:hAnsi="Cambria Math"/>
                  </w:rPr>
                  <m:t>)]</m:t>
                </m:r>
              </m:den>
            </m:f>
          </m:e>
        </m:func>
        <m:r>
          <w:rPr>
            <w:rFonts w:ascii="Cambria Math" w:eastAsiaTheme="minorEastAsia" w:hAnsi="Cambria Math"/>
          </w:rPr>
          <m:t>.</m:t>
        </m:r>
      </m:oMath>
    </w:p>
    <w:p w:rsidR="00F7475C" w:rsidRDefault="00F7475C" w:rsidP="008C01CD">
      <w:pPr>
        <w:spacing w:line="480" w:lineRule="auto"/>
        <w:rPr>
          <w:rFonts w:eastAsiaTheme="minorEastAsia"/>
        </w:rPr>
      </w:pPr>
    </w:p>
    <w:p w:rsidR="00F7475C" w:rsidRPr="008A18AE" w:rsidRDefault="00F7475C" w:rsidP="008C01CD">
      <w:pPr>
        <w:spacing w:line="480" w:lineRule="auto"/>
      </w:pPr>
      <w:proofErr w:type="gramStart"/>
      <w:r>
        <w:t>Table 2.</w:t>
      </w:r>
      <w:proofErr w:type="gramEnd"/>
      <w:r>
        <w:t xml:space="preserve">  Joint (</w:t>
      </w:r>
      <m:oMath>
        <m:sSubSup>
          <m:sSubSupPr>
            <m:ctrlPr>
              <w:rPr>
                <w:rFonts w:ascii="Cambria Math" w:hAnsi="Cambria Math"/>
                <w:i/>
              </w:rPr>
            </m:ctrlPr>
          </m:sSubSupPr>
          <m:e>
            <m:r>
              <w:rPr>
                <w:rFonts w:ascii="Cambria Math" w:hAnsi="Cambria Math"/>
              </w:rPr>
              <m:t>π</m:t>
            </m:r>
          </m:e>
          <m: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sub>
          <m:sup>
            <m:r>
              <w:rPr>
                <w:rFonts w:ascii="Cambria Math" w:hAnsi="Cambria Math"/>
              </w:rPr>
              <m:t>*</m:t>
            </m:r>
          </m:sup>
        </m:sSubSup>
      </m:oMath>
      <w:r>
        <w:t xml:space="preserve">) </w:t>
      </w:r>
      <w:r w:rsidRPr="00AC1391">
        <w:t>and</w:t>
      </w:r>
      <w:r>
        <w:t xml:space="preserve"> marginal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oMath>
      <w:r>
        <w:t xml:space="preserve">) probabilities for double tag status </w:t>
      </w:r>
      <w:r>
        <w:rPr>
          <w:rFonts w:ascii="Cambria Math" w:hAnsi="Cambria Math"/>
          <w:b/>
        </w:rPr>
        <w:t>S</w:t>
      </w:r>
      <w:r w:rsidRPr="006C7062">
        <w:rPr>
          <w:rFonts w:ascii="Cambria Math" w:hAnsi="Cambria Math"/>
        </w:rPr>
        <w:t xml:space="preserve"> = (</w:t>
      </w:r>
      <w:r>
        <w:rPr>
          <w:rFonts w:ascii="Cambria Math" w:hAnsi="Cambria Math"/>
          <w:i/>
        </w:rPr>
        <w:t>S</w:t>
      </w:r>
      <w:r w:rsidRPr="006C7062">
        <w:rPr>
          <w:rFonts w:ascii="Cambria Math" w:hAnsi="Cambria Math"/>
          <w:vertAlign w:val="subscript"/>
        </w:rPr>
        <w:t>1</w:t>
      </w:r>
      <w:r w:rsidRPr="006C7062">
        <w:rPr>
          <w:rFonts w:ascii="Cambria Math" w:hAnsi="Cambria Math"/>
        </w:rPr>
        <w:t xml:space="preserve">, </w:t>
      </w:r>
      <w:r>
        <w:rPr>
          <w:rFonts w:ascii="Cambria Math" w:hAnsi="Cambria Math"/>
          <w:i/>
        </w:rPr>
        <w:t>S</w:t>
      </w:r>
      <w:r w:rsidRPr="006C7062">
        <w:rPr>
          <w:rFonts w:ascii="Cambria Math" w:hAnsi="Cambria Math"/>
          <w:vertAlign w:val="subscript"/>
        </w:rPr>
        <w:t>2</w:t>
      </w:r>
      <w:r w:rsidRPr="006C7062">
        <w:rPr>
          <w:rFonts w:ascii="Cambria Math" w:hAnsi="Cambria Math"/>
        </w:rPr>
        <w:t>)</w:t>
      </w:r>
      <w:r>
        <w:rPr>
          <w:rFonts w:ascii="Cambria Math" w:hAnsi="Cambria Math"/>
        </w:rPr>
        <w:t xml:space="preserve">, where the </w:t>
      </w:r>
      <w:r>
        <w:t>odds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 xml:space="preserve">) </m:t>
        </m:r>
      </m:oMath>
      <w:r>
        <w:t xml:space="preserve">of losing the </w:t>
      </w:r>
      <w:proofErr w:type="spellStart"/>
      <w:r w:rsidRPr="00F9719E">
        <w:rPr>
          <w:rFonts w:eastAsiaTheme="minorEastAsia"/>
          <w:i/>
        </w:rPr>
        <w:t>i</w:t>
      </w:r>
      <w:r w:rsidRPr="00F9719E">
        <w:rPr>
          <w:rFonts w:eastAsiaTheme="minorEastAsia"/>
          <w:i/>
          <w:vertAlign w:val="superscript"/>
        </w:rPr>
        <w:t>th</w:t>
      </w:r>
      <w:proofErr w:type="spellEnd"/>
      <w:r>
        <w:t xml:space="preserve"> tag is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oMath>
      <w:r>
        <w:rPr>
          <w:rFonts w:eastAsiaTheme="minorEastAsia"/>
        </w:rPr>
        <w:t xml:space="preserve"> </w:t>
      </w:r>
      <w:proofErr w:type="gramStart"/>
      <w:r>
        <w:rPr>
          <w:rFonts w:eastAsiaTheme="minorEastAsia"/>
        </w:rPr>
        <w:t xml:space="preserve">and </w:t>
      </w:r>
      <m:oMath>
        <w:proofErr w:type="gramEnd"/>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+β</m:t>
                </m:r>
              </m:e>
              <m:sub>
                <m:r>
                  <w:rPr>
                    <w:rFonts w:ascii="Cambria Math" w:eastAsiaTheme="minorEastAsia" w:hAnsi="Cambria Math"/>
                  </w:rPr>
                  <m:t>2</m:t>
                </m:r>
              </m:sub>
            </m:sSub>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up>
        </m:sSup>
        <m:r>
          <w:rPr>
            <w:rFonts w:ascii="Cambria Math" w:eastAsiaTheme="minorEastAsia" w:hAnsi="Cambria Math"/>
          </w:rPr>
          <m:t>)</m:t>
        </m:r>
      </m:oMath>
      <w:r>
        <w:rPr>
          <w:rFonts w:eastAsiaTheme="minorEastAsia"/>
        </w:rPr>
        <w:t>.</w:t>
      </w:r>
      <w:r>
        <w:rPr>
          <w:rFonts w:ascii="Cambria Math" w:hAnsi="Cambria Math"/>
        </w:rPr>
        <w:t xml:space="preserve">  The </w:t>
      </w:r>
      <w:r w:rsidRPr="00DD00CE">
        <w:rPr>
          <w:rFonts w:ascii="Cambria Math" w:hAnsi="Cambria Math"/>
          <w:i/>
        </w:rPr>
        <w:t>n</w:t>
      </w:r>
      <w:r w:rsidRPr="00DD00CE">
        <w:rPr>
          <w:rFonts w:ascii="Cambria Math" w:hAnsi="Cambria Math"/>
          <w:i/>
          <w:vertAlign w:val="subscript"/>
        </w:rPr>
        <w:t>00</w:t>
      </w:r>
      <w:r>
        <w:rPr>
          <w:rFonts w:ascii="Cambria Math" w:hAnsi="Cambria Math"/>
        </w:rPr>
        <w:t xml:space="preserve"> cell is shaded gray because it is not observed.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08"/>
        <w:gridCol w:w="2070"/>
        <w:gridCol w:w="2070"/>
        <w:gridCol w:w="3420"/>
      </w:tblGrid>
      <w:tr w:rsidR="00F7475C" w:rsidTr="008C01CD">
        <w:tc>
          <w:tcPr>
            <w:tcW w:w="1908" w:type="dxa"/>
            <w:tcBorders>
              <w:top w:val="single" w:sz="4" w:space="0" w:color="000000" w:themeColor="text1"/>
            </w:tcBorders>
          </w:tcPr>
          <w:p w:rsidR="00F7475C" w:rsidRDefault="00F7475C" w:rsidP="008C01CD">
            <w:pPr>
              <w:spacing w:line="480" w:lineRule="auto"/>
            </w:pPr>
          </w:p>
        </w:tc>
        <w:tc>
          <w:tcPr>
            <w:tcW w:w="4140" w:type="dxa"/>
            <w:gridSpan w:val="2"/>
            <w:tcBorders>
              <w:top w:val="single" w:sz="4" w:space="0" w:color="000000" w:themeColor="text1"/>
              <w:bottom w:val="single" w:sz="4" w:space="0" w:color="000000" w:themeColor="text1"/>
            </w:tcBorders>
          </w:tcPr>
          <w:p w:rsidR="00F7475C" w:rsidRPr="00BB1287" w:rsidRDefault="00F7475C" w:rsidP="008C01CD">
            <w:pPr>
              <w:spacing w:line="480" w:lineRule="auto"/>
              <w:jc w:val="center"/>
              <w:rPr>
                <w:b/>
              </w:rPr>
            </w:pPr>
            <w:r w:rsidRPr="00BB1287">
              <w:rPr>
                <w:b/>
              </w:rPr>
              <w:t>Tag 2</w:t>
            </w:r>
            <w:r>
              <w:rPr>
                <w:b/>
              </w:rPr>
              <w:t xml:space="preserve"> Status (S</w:t>
            </w:r>
            <w:r>
              <w:rPr>
                <w:b/>
                <w:vertAlign w:val="subscript"/>
              </w:rPr>
              <w:t>2</w:t>
            </w:r>
            <w:r>
              <w:rPr>
                <w:b/>
              </w:rPr>
              <w:t>)</w:t>
            </w:r>
          </w:p>
        </w:tc>
        <w:tc>
          <w:tcPr>
            <w:tcW w:w="3420" w:type="dxa"/>
            <w:tcBorders>
              <w:top w:val="single" w:sz="4" w:space="0" w:color="000000" w:themeColor="text1"/>
            </w:tcBorders>
          </w:tcPr>
          <w:p w:rsidR="00F7475C" w:rsidRDefault="00F7475C" w:rsidP="008C01CD">
            <w:pPr>
              <w:spacing w:line="480" w:lineRule="auto"/>
            </w:pPr>
          </w:p>
        </w:tc>
      </w:tr>
      <w:tr w:rsidR="00F7475C" w:rsidTr="008C01CD">
        <w:tc>
          <w:tcPr>
            <w:tcW w:w="1908" w:type="dxa"/>
          </w:tcPr>
          <w:p w:rsidR="00F7475C" w:rsidRPr="006E30B4" w:rsidRDefault="00F7475C" w:rsidP="008C01CD">
            <w:pPr>
              <w:spacing w:line="480" w:lineRule="auto"/>
              <w:jc w:val="center"/>
              <w:rPr>
                <w:b/>
              </w:rPr>
            </w:pPr>
            <w:r w:rsidRPr="00BB1287">
              <w:rPr>
                <w:b/>
              </w:rPr>
              <w:t>Tag 1</w:t>
            </w:r>
            <w:r>
              <w:rPr>
                <w:b/>
              </w:rPr>
              <w:t xml:space="preserve"> Status (S</w:t>
            </w:r>
            <w:r>
              <w:rPr>
                <w:b/>
                <w:vertAlign w:val="subscript"/>
              </w:rPr>
              <w:t>1</w:t>
            </w:r>
            <w:r>
              <w:rPr>
                <w:b/>
              </w:rPr>
              <w:t>)</w:t>
            </w:r>
          </w:p>
        </w:tc>
        <w:tc>
          <w:tcPr>
            <w:tcW w:w="2070" w:type="dxa"/>
            <w:tcBorders>
              <w:top w:val="single" w:sz="4" w:space="0" w:color="000000" w:themeColor="text1"/>
              <w:bottom w:val="single" w:sz="4" w:space="0" w:color="000000" w:themeColor="text1"/>
            </w:tcBorders>
          </w:tcPr>
          <w:p w:rsidR="00F7475C" w:rsidRPr="008A18AE" w:rsidRDefault="00F7475C" w:rsidP="008C01CD">
            <w:pPr>
              <w:spacing w:line="480" w:lineRule="auto"/>
              <w:jc w:val="center"/>
              <w:rPr>
                <w:i/>
              </w:rPr>
            </w:pPr>
            <w:r w:rsidRPr="008A18AE">
              <w:rPr>
                <w:i/>
              </w:rPr>
              <w:t>Present (S</w:t>
            </w:r>
            <w:r w:rsidRPr="008A18AE">
              <w:rPr>
                <w:i/>
                <w:vertAlign w:val="subscript"/>
              </w:rPr>
              <w:t>2</w:t>
            </w:r>
            <w:r w:rsidRPr="008A18AE">
              <w:rPr>
                <w:i/>
              </w:rPr>
              <w:t>=1)</w:t>
            </w:r>
          </w:p>
        </w:tc>
        <w:tc>
          <w:tcPr>
            <w:tcW w:w="2070" w:type="dxa"/>
            <w:tcBorders>
              <w:top w:val="single" w:sz="4" w:space="0" w:color="000000" w:themeColor="text1"/>
              <w:bottom w:val="single" w:sz="4" w:space="0" w:color="000000" w:themeColor="text1"/>
            </w:tcBorders>
          </w:tcPr>
          <w:p w:rsidR="00F7475C" w:rsidRPr="008A18AE" w:rsidRDefault="00F7475C" w:rsidP="008C01CD">
            <w:pPr>
              <w:spacing w:line="480" w:lineRule="auto"/>
              <w:jc w:val="center"/>
              <w:rPr>
                <w:i/>
              </w:rPr>
            </w:pPr>
            <w:r w:rsidRPr="008A18AE">
              <w:rPr>
                <w:i/>
              </w:rPr>
              <w:t>Absent (S</w:t>
            </w:r>
            <w:r w:rsidRPr="008A18AE">
              <w:rPr>
                <w:i/>
                <w:vertAlign w:val="subscript"/>
              </w:rPr>
              <w:t>2</w:t>
            </w:r>
            <w:r w:rsidRPr="008A18AE">
              <w:rPr>
                <w:i/>
              </w:rPr>
              <w:t>=0)</w:t>
            </w:r>
          </w:p>
        </w:tc>
        <w:tc>
          <w:tcPr>
            <w:tcW w:w="3420" w:type="dxa"/>
          </w:tcPr>
          <w:p w:rsidR="00F7475C" w:rsidRPr="008A18AE" w:rsidRDefault="00F7475C" w:rsidP="008C01CD">
            <w:pPr>
              <w:spacing w:line="480" w:lineRule="auto"/>
              <w:jc w:val="center"/>
              <w:rPr>
                <w:i/>
              </w:rPr>
            </w:pPr>
            <w:r w:rsidRPr="008A18AE">
              <w:rPr>
                <w:i/>
              </w:rPr>
              <w:t>Marginal</w:t>
            </w:r>
          </w:p>
        </w:tc>
      </w:tr>
      <w:tr w:rsidR="00F7475C" w:rsidTr="008C01CD">
        <w:trPr>
          <w:trHeight w:val="728"/>
        </w:trPr>
        <w:tc>
          <w:tcPr>
            <w:tcW w:w="1908" w:type="dxa"/>
            <w:tcBorders>
              <w:right w:val="single" w:sz="4" w:space="0" w:color="000000" w:themeColor="text1"/>
            </w:tcBorders>
          </w:tcPr>
          <w:p w:rsidR="00F7475C" w:rsidRPr="008A18AE" w:rsidRDefault="00F7475C" w:rsidP="008C01CD">
            <w:pPr>
              <w:spacing w:line="480" w:lineRule="auto"/>
              <w:jc w:val="center"/>
              <w:rPr>
                <w:i/>
              </w:rPr>
            </w:pPr>
            <w:r w:rsidRPr="008A18AE">
              <w:rPr>
                <w:i/>
              </w:rPr>
              <w:t>Present (S</w:t>
            </w:r>
            <w:r w:rsidRPr="008A18AE">
              <w:rPr>
                <w:i/>
                <w:vertAlign w:val="subscript"/>
              </w:rPr>
              <w:t>1</w:t>
            </w:r>
            <w:r w:rsidRPr="008A18AE">
              <w:rPr>
                <w:i/>
              </w:rPr>
              <w:t>=1)</w:t>
            </w:r>
          </w:p>
        </w:tc>
        <w:tc>
          <w:tcPr>
            <w:tcW w:w="2070" w:type="dxa"/>
            <w:tcBorders>
              <w:top w:val="single" w:sz="4" w:space="0" w:color="000000" w:themeColor="text1"/>
              <w:left w:val="single" w:sz="4" w:space="0" w:color="000000" w:themeColor="text1"/>
            </w:tcBorders>
            <w:vAlign w:val="center"/>
          </w:tcPr>
          <w:p w:rsidR="00F7475C" w:rsidRDefault="00A70CD0" w:rsidP="008C01CD">
            <w:pPr>
              <w:spacing w:line="480" w:lineRule="auto"/>
              <w:jc w:val="center"/>
            </w:pPr>
            <m:oMathPara>
              <m:oMath>
                <m:sSubSup>
                  <m:sSubSupPr>
                    <m:ctrlPr>
                      <w:rPr>
                        <w:rFonts w:ascii="Cambria Math" w:hAnsi="Cambria Math"/>
                        <w:i/>
                      </w:rPr>
                    </m:ctrlPr>
                  </m:sSubSupPr>
                  <m:e>
                    <m:r>
                      <w:rPr>
                        <w:rFonts w:ascii="Cambria Math" w:hAnsi="Cambria Math"/>
                      </w:rPr>
                      <m:t>π</m:t>
                    </m:r>
                  </m:e>
                  <m:sub>
                    <m:r>
                      <w:rPr>
                        <w:rFonts w:ascii="Cambria Math" w:hAnsi="Cambria Math"/>
                      </w:rPr>
                      <m:t>11</m:t>
                    </m:r>
                  </m:sub>
                  <m:sup>
                    <m:r>
                      <w:rPr>
                        <w:rFonts w:ascii="Cambria Math" w:hAnsi="Cambria Math"/>
                      </w:rPr>
                      <m:t>*</m:t>
                    </m:r>
                  </m:sup>
                </m:sSubSup>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m:t>
                    </m:r>
                  </m:sup>
                </m:sSup>
              </m:oMath>
            </m:oMathPara>
          </w:p>
        </w:tc>
        <w:tc>
          <w:tcPr>
            <w:tcW w:w="2070" w:type="dxa"/>
            <w:tcBorders>
              <w:top w:val="single" w:sz="4" w:space="0" w:color="000000" w:themeColor="text1"/>
              <w:right w:val="single" w:sz="4" w:space="0" w:color="000000" w:themeColor="text1"/>
            </w:tcBorders>
            <w:vAlign w:val="center"/>
          </w:tcPr>
          <w:p w:rsidR="00F7475C" w:rsidRDefault="00A70CD0" w:rsidP="008C01CD">
            <w:pPr>
              <w:spacing w:line="480" w:lineRule="auto"/>
              <w:jc w:val="center"/>
            </w:pPr>
            <m:oMathPara>
              <m:oMath>
                <m:sSubSup>
                  <m:sSubSupPr>
                    <m:ctrlPr>
                      <w:rPr>
                        <w:rFonts w:ascii="Cambria Math" w:hAnsi="Cambria Math"/>
                        <w:i/>
                      </w:rPr>
                    </m:ctrlPr>
                  </m:sSubSupPr>
                  <m:e>
                    <m:r>
                      <w:rPr>
                        <w:rFonts w:ascii="Cambria Math" w:hAnsi="Cambria Math"/>
                      </w:rPr>
                      <m:t>π</m:t>
                    </m:r>
                  </m:e>
                  <m:sub>
                    <m:r>
                      <w:rPr>
                        <w:rFonts w:ascii="Cambria Math" w:hAnsi="Cambria Math"/>
                      </w:rPr>
                      <m:t>10</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oMath>
            </m:oMathPara>
          </w:p>
        </w:tc>
        <w:tc>
          <w:tcPr>
            <w:tcW w:w="3420" w:type="dxa"/>
            <w:tcBorders>
              <w:left w:val="single" w:sz="4" w:space="0" w:color="000000" w:themeColor="text1"/>
            </w:tcBorders>
            <w:vAlign w:val="center"/>
          </w:tcPr>
          <w:p w:rsidR="00F7475C" w:rsidRPr="00DB2E29" w:rsidRDefault="00A70CD0" w:rsidP="008C01CD">
            <w:pPr>
              <w:spacing w:line="480" w:lineRule="auto"/>
              <w:jc w:val="center"/>
              <w:rPr>
                <w:rFonts w:ascii="Calibri" w:eastAsia="Calibri" w:hAnsi="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2</m:t>
                            </m:r>
                          </m:sub>
                        </m:sSub>
                      </m:sup>
                    </m:sSup>
                  </m:num>
                  <m:den>
                    <m:sSup>
                      <m:sSupPr>
                        <m:ctrlPr>
                          <w:rPr>
                            <w:rFonts w:ascii="Cambria Math" w:hAnsi="Cambria Math"/>
                            <w:i/>
                          </w:rPr>
                        </m:ctrlPr>
                      </m:sSupPr>
                      <m:e>
                        <m:r>
                          <w:rPr>
                            <w:rFonts w:ascii="Cambria Math" w:hAnsi="Cambria Math"/>
                          </w:rPr>
                          <m:t>K</m:t>
                        </m:r>
                      </m:e>
                      <m:sup>
                        <m:r>
                          <w:rPr>
                            <w:rFonts w:ascii="Cambria Math" w:hAnsi="Cambria Math"/>
                          </w:rPr>
                          <m:t>*</m:t>
                        </m:r>
                      </m:sup>
                    </m:sSup>
                    <m:ctrlPr>
                      <w:rPr>
                        <w:rFonts w:ascii="Cambria Math" w:eastAsia="Calibri" w:hAnsi="Cambria Math" w:cs="Times New Roman"/>
                        <w:i/>
                      </w:rPr>
                    </m:ctrlP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sup>
                    </m:sSup>
                  </m:den>
                </m:f>
              </m:oMath>
            </m:oMathPara>
          </w:p>
        </w:tc>
      </w:tr>
      <w:tr w:rsidR="00F7475C" w:rsidTr="008C01CD">
        <w:trPr>
          <w:trHeight w:val="909"/>
        </w:trPr>
        <w:tc>
          <w:tcPr>
            <w:tcW w:w="1908" w:type="dxa"/>
            <w:tcBorders>
              <w:right w:val="single" w:sz="4" w:space="0" w:color="000000" w:themeColor="text1"/>
            </w:tcBorders>
          </w:tcPr>
          <w:p w:rsidR="00F7475C" w:rsidRPr="008A18AE" w:rsidRDefault="00F7475C" w:rsidP="008C01CD">
            <w:pPr>
              <w:spacing w:line="480" w:lineRule="auto"/>
              <w:jc w:val="center"/>
              <w:rPr>
                <w:i/>
              </w:rPr>
            </w:pPr>
            <w:r w:rsidRPr="008A18AE">
              <w:rPr>
                <w:i/>
              </w:rPr>
              <w:t>Absent (S</w:t>
            </w:r>
            <w:r w:rsidRPr="008A18AE">
              <w:rPr>
                <w:i/>
                <w:vertAlign w:val="subscript"/>
              </w:rPr>
              <w:t>1</w:t>
            </w:r>
            <w:r w:rsidRPr="008A18AE">
              <w:rPr>
                <w:i/>
              </w:rPr>
              <w:t>=0)</w:t>
            </w:r>
          </w:p>
        </w:tc>
        <w:tc>
          <w:tcPr>
            <w:tcW w:w="2070" w:type="dxa"/>
            <w:tcBorders>
              <w:left w:val="single" w:sz="4" w:space="0" w:color="000000" w:themeColor="text1"/>
              <w:bottom w:val="single" w:sz="4" w:space="0" w:color="000000" w:themeColor="text1"/>
            </w:tcBorders>
            <w:vAlign w:val="center"/>
          </w:tcPr>
          <w:p w:rsidR="00F7475C" w:rsidRDefault="00A70CD0" w:rsidP="008C01CD">
            <w:pPr>
              <w:spacing w:line="480" w:lineRule="auto"/>
              <w:jc w:val="center"/>
            </w:pPr>
            <m:oMathPara>
              <m:oMath>
                <m:sSubSup>
                  <m:sSubSupPr>
                    <m:ctrlPr>
                      <w:rPr>
                        <w:rFonts w:ascii="Cambria Math" w:hAnsi="Cambria Math"/>
                        <w:i/>
                      </w:rPr>
                    </m:ctrlPr>
                  </m:sSubSupPr>
                  <m:e>
                    <m:r>
                      <w:rPr>
                        <w:rFonts w:ascii="Cambria Math" w:hAnsi="Cambria Math"/>
                      </w:rPr>
                      <m:t>π</m:t>
                    </m:r>
                  </m:e>
                  <m:sub>
                    <m:r>
                      <w:rPr>
                        <w:rFonts w:ascii="Cambria Math" w:hAnsi="Cambria Math"/>
                      </w:rPr>
                      <m:t>01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oMath>
            </m:oMathPara>
          </w:p>
        </w:tc>
        <w:tc>
          <w:tcPr>
            <w:tcW w:w="2070" w:type="dxa"/>
            <w:tcBorders>
              <w:bottom w:val="single" w:sz="4" w:space="0" w:color="000000" w:themeColor="text1"/>
              <w:right w:val="single" w:sz="4" w:space="0" w:color="000000" w:themeColor="text1"/>
            </w:tcBorders>
            <w:shd w:val="clear" w:color="auto" w:fill="D9D9D9" w:themeFill="background1" w:themeFillShade="D9"/>
            <w:vAlign w:val="center"/>
          </w:tcPr>
          <w:p w:rsidR="00F7475C" w:rsidRDefault="00A70CD0" w:rsidP="008C01CD">
            <w:pPr>
              <w:spacing w:line="480" w:lineRule="auto"/>
              <w:jc w:val="center"/>
            </w:pPr>
            <m:oMathPara>
              <m:oMath>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00</m:t>
                        </m:r>
                      </m:sub>
                      <m:sup>
                        <m:r>
                          <w:rPr>
                            <w:rFonts w:ascii="Cambria Math" w:hAnsi="Cambria Math"/>
                          </w:rPr>
                          <m:t>*</m:t>
                        </m:r>
                      </m:sup>
                    </m:sSubSup>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oMath>
            </m:oMathPara>
          </w:p>
        </w:tc>
        <w:tc>
          <w:tcPr>
            <w:tcW w:w="3420" w:type="dxa"/>
            <w:tcBorders>
              <w:left w:val="single" w:sz="4" w:space="0" w:color="000000" w:themeColor="text1"/>
            </w:tcBorders>
            <w:vAlign w:val="center"/>
          </w:tcPr>
          <w:p w:rsidR="00F7475C" w:rsidRPr="00DB2E29" w:rsidRDefault="00A70CD0" w:rsidP="008C01CD">
            <w:pPr>
              <w:spacing w:line="480" w:lineRule="auto"/>
              <w:jc w:val="center"/>
              <w:rPr>
                <w:rFonts w:ascii="Calibri" w:eastAsia="Calibri" w:hAnsi="Calibri" w:cs="Times New Roman"/>
              </w:rPr>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2</m:t>
                                </m:r>
                              </m:sub>
                            </m:sSub>
                          </m:sup>
                        </m:sSup>
                      </m:e>
                    </m:d>
                  </m:num>
                  <m:den>
                    <m:sSup>
                      <m:sSupPr>
                        <m:ctrlPr>
                          <w:rPr>
                            <w:rFonts w:ascii="Cambria Math" w:hAnsi="Cambria Math"/>
                            <w:i/>
                          </w:rPr>
                        </m:ctrlPr>
                      </m:sSupPr>
                      <m:e>
                        <m:r>
                          <w:rPr>
                            <w:rFonts w:ascii="Cambria Math" w:hAnsi="Cambria Math"/>
                          </w:rPr>
                          <m:t>K</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sup>
                    </m:sSup>
                  </m:den>
                </m:f>
              </m:oMath>
            </m:oMathPara>
          </w:p>
        </w:tc>
      </w:tr>
      <w:tr w:rsidR="00F7475C" w:rsidTr="008C01CD">
        <w:tc>
          <w:tcPr>
            <w:tcW w:w="1908" w:type="dxa"/>
            <w:tcBorders>
              <w:bottom w:val="single" w:sz="4" w:space="0" w:color="000000" w:themeColor="text1"/>
            </w:tcBorders>
          </w:tcPr>
          <w:p w:rsidR="00F7475C" w:rsidRPr="008A18AE" w:rsidRDefault="00F7475C" w:rsidP="008C01CD">
            <w:pPr>
              <w:spacing w:line="480" w:lineRule="auto"/>
              <w:jc w:val="center"/>
              <w:rPr>
                <w:i/>
              </w:rPr>
            </w:pPr>
            <w:r w:rsidRPr="008A18AE">
              <w:rPr>
                <w:i/>
              </w:rPr>
              <w:t>Marginal</w:t>
            </w:r>
          </w:p>
        </w:tc>
        <w:tc>
          <w:tcPr>
            <w:tcW w:w="2070" w:type="dxa"/>
            <w:tcBorders>
              <w:top w:val="single" w:sz="4" w:space="0" w:color="000000" w:themeColor="text1"/>
              <w:bottom w:val="single" w:sz="4" w:space="0" w:color="000000" w:themeColor="text1"/>
            </w:tcBorders>
            <w:vAlign w:val="center"/>
          </w:tcPr>
          <w:p w:rsidR="00F7475C" w:rsidRDefault="00A70CD0" w:rsidP="008C01CD">
            <w:pPr>
              <w:spacing w:line="480" w:lineRule="auto"/>
              <w:jc w:val="center"/>
            </w:pPr>
            <m:oMathPara>
              <m:oMath>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=1/(1+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2</m:t>
                        </m:r>
                      </m:sub>
                    </m:sSub>
                  </m:sup>
                </m:sSup>
                <m:r>
                  <w:rPr>
                    <w:rFonts w:ascii="Cambria Math" w:hAnsi="Cambria Math"/>
                  </w:rPr>
                  <m:t>)</m:t>
                </m:r>
              </m:oMath>
            </m:oMathPara>
          </w:p>
        </w:tc>
        <w:tc>
          <w:tcPr>
            <w:tcW w:w="2070" w:type="dxa"/>
            <w:tcBorders>
              <w:top w:val="single" w:sz="4" w:space="0" w:color="000000" w:themeColor="text1"/>
              <w:bottom w:val="single" w:sz="4" w:space="0" w:color="000000" w:themeColor="text1"/>
            </w:tcBorders>
            <w:vAlign w:val="center"/>
          </w:tcPr>
          <w:p w:rsidR="00F7475C" w:rsidRDefault="00A70CD0" w:rsidP="008C01CD">
            <w:pPr>
              <w:spacing w:line="480" w:lineRule="auto"/>
              <w:jc w:val="center"/>
            </w:pPr>
            <m:oMathPara>
              <m:oMath>
                <m:sSup>
                  <m:sSupPr>
                    <m:ctrlPr>
                      <w:rPr>
                        <w:rFonts w:ascii="Cambria Math" w:hAnsi="Cambria Math"/>
                        <w:i/>
                      </w:rPr>
                    </m:ctrlPr>
                  </m:sSupPr>
                  <m:e>
                    <m:sSup>
                      <m:sSupPr>
                        <m:ctrlPr>
                          <w:rPr>
                            <w:rFonts w:ascii="Cambria Math" w:hAnsi="Cambria Math"/>
                            <w:i/>
                          </w:rPr>
                        </m:ctrlPr>
                      </m:sSup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2</m:t>
                            </m:r>
                          </m:sub>
                        </m:sSub>
                      </m:sup>
                    </m:sSup>
                    <m:r>
                      <w:rPr>
                        <w:rFonts w:ascii="Cambria Math" w:hAnsi="Cambria Math"/>
                      </w:rPr>
                      <m:t>/(1+e</m:t>
                    </m:r>
                  </m:e>
                  <m:sup>
                    <m:sSub>
                      <m:sSubPr>
                        <m:ctrlPr>
                          <w:rPr>
                            <w:rFonts w:ascii="Cambria Math" w:hAnsi="Cambria Math"/>
                            <w:i/>
                          </w:rPr>
                        </m:ctrlPr>
                      </m:sSubPr>
                      <m:e>
                        <m:r>
                          <w:rPr>
                            <w:rFonts w:ascii="Cambria Math" w:hAnsi="Cambria Math"/>
                          </w:rPr>
                          <m:t>β</m:t>
                        </m:r>
                      </m:e>
                      <m:sub>
                        <m:r>
                          <w:rPr>
                            <w:rFonts w:ascii="Cambria Math" w:hAnsi="Cambria Math"/>
                          </w:rPr>
                          <m:t>2</m:t>
                        </m:r>
                      </m:sub>
                    </m:sSub>
                  </m:sup>
                </m:sSup>
                <m:r>
                  <w:rPr>
                    <w:rFonts w:ascii="Cambria Math" w:hAnsi="Cambria Math"/>
                  </w:rPr>
                  <m:t>)</m:t>
                </m:r>
              </m:oMath>
            </m:oMathPara>
          </w:p>
        </w:tc>
        <w:tc>
          <w:tcPr>
            <w:tcW w:w="3420" w:type="dxa"/>
            <w:tcBorders>
              <w:bottom w:val="single" w:sz="4" w:space="0" w:color="000000" w:themeColor="text1"/>
            </w:tcBorders>
            <w:vAlign w:val="center"/>
          </w:tcPr>
          <w:p w:rsidR="00F7475C" w:rsidRDefault="00F7475C" w:rsidP="008C01CD">
            <w:pPr>
              <w:spacing w:line="480" w:lineRule="auto"/>
              <w:jc w:val="center"/>
            </w:pPr>
            <m:oMathPara>
              <m:oMath>
                <m:r>
                  <w:rPr>
                    <w:rFonts w:ascii="Cambria Math" w:hAnsi="Cambria Math"/>
                  </w:rPr>
                  <m:t>1</m:t>
                </m:r>
              </m:oMath>
            </m:oMathPara>
          </w:p>
        </w:tc>
      </w:tr>
    </w:tbl>
    <w:p w:rsidR="00F7475C" w:rsidRDefault="00F7475C" w:rsidP="008C01CD">
      <w:pPr>
        <w:spacing w:line="480" w:lineRule="auto"/>
      </w:pPr>
    </w:p>
    <w:p w:rsidR="00F7475C" w:rsidRDefault="00F7475C" w:rsidP="008C01CD">
      <w:pPr>
        <w:spacing w:line="480" w:lineRule="auto"/>
        <w:rPr>
          <w:rFonts w:eastAsiaTheme="minorEastAsia"/>
        </w:rPr>
      </w:pPr>
      <w:r>
        <w:tab/>
        <w:t>Now we expand the set of observed data to include those animals that lost both tags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00</m:t>
            </m:r>
          </m:sub>
        </m:sSub>
      </m:oMath>
      <w:r>
        <w:t>) and we allow for possible dependence in the fates of the tags.  In particular, we specify different odds of losing a tag that are dependent on the status of the other tag (Table 3).  T</w:t>
      </w:r>
      <w:r>
        <w:rPr>
          <w:rFonts w:ascii="Cambria Math" w:hAnsi="Cambria Math"/>
        </w:rPr>
        <w:t xml:space="preserve">he </w:t>
      </w:r>
      <w:r>
        <w:t xml:space="preserve">odds of losing the </w:t>
      </w:r>
      <w:proofErr w:type="spellStart"/>
      <w:r w:rsidRPr="00F9719E">
        <w:rPr>
          <w:rFonts w:eastAsiaTheme="minorEastAsia"/>
          <w:i/>
        </w:rPr>
        <w:t>i</w:t>
      </w:r>
      <w:r w:rsidRPr="00F9719E">
        <w:rPr>
          <w:rFonts w:eastAsiaTheme="minorEastAsia"/>
          <w:i/>
          <w:vertAlign w:val="superscript"/>
        </w:rPr>
        <w:t>th</w:t>
      </w:r>
      <w:proofErr w:type="spellEnd"/>
      <w:r>
        <w:t xml:space="preserve"> tag (</w:t>
      </w:r>
      <w:r>
        <w:rPr>
          <w:rFonts w:ascii="Cambria Math" w:hAnsi="Cambria Math"/>
          <w:i/>
        </w:rPr>
        <w:t>S</w:t>
      </w:r>
      <w:r w:rsidRPr="006E30B4">
        <w:rPr>
          <w:rFonts w:ascii="Cambria Math" w:hAnsi="Cambria Math"/>
          <w:i/>
          <w:vertAlign w:val="subscript"/>
        </w:rPr>
        <w:t>i</w:t>
      </w:r>
      <w:r>
        <w:t>=0) given the other tag is present (</w:t>
      </w:r>
      <w:r>
        <w:rPr>
          <w:rFonts w:ascii="Cambria Math" w:hAnsi="Cambria Math"/>
          <w:i/>
        </w:rPr>
        <w:t>S</w:t>
      </w:r>
      <w:r>
        <w:rPr>
          <w:rFonts w:ascii="Cambria Math" w:hAnsi="Cambria Math"/>
          <w:i/>
          <w:vertAlign w:val="subscript"/>
        </w:rPr>
        <w:t xml:space="preserve">3-i </w:t>
      </w:r>
      <w:r>
        <w:t xml:space="preserve">=1) is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oMath>
      <w:r>
        <w:rPr>
          <w:rFonts w:eastAsiaTheme="minorEastAsia"/>
        </w:rPr>
        <w:t xml:space="preserve"> and the </w:t>
      </w:r>
      <w:r>
        <w:t xml:space="preserve">odds of losing the </w:t>
      </w:r>
      <w:proofErr w:type="spellStart"/>
      <w:r w:rsidRPr="00F9719E">
        <w:rPr>
          <w:rFonts w:eastAsiaTheme="minorEastAsia"/>
          <w:i/>
        </w:rPr>
        <w:t>i</w:t>
      </w:r>
      <w:r w:rsidRPr="00F9719E">
        <w:rPr>
          <w:rFonts w:eastAsiaTheme="minorEastAsia"/>
          <w:i/>
          <w:vertAlign w:val="superscript"/>
        </w:rPr>
        <w:t>th</w:t>
      </w:r>
      <w:proofErr w:type="spellEnd"/>
      <w:r>
        <w:t xml:space="preserve"> tag (</w:t>
      </w:r>
      <w:r>
        <w:rPr>
          <w:rFonts w:ascii="Cambria Math" w:hAnsi="Cambria Math"/>
          <w:i/>
        </w:rPr>
        <w:t>S</w:t>
      </w:r>
      <w:r w:rsidRPr="006E30B4">
        <w:rPr>
          <w:rFonts w:ascii="Cambria Math" w:hAnsi="Cambria Math"/>
          <w:i/>
          <w:vertAlign w:val="subscript"/>
        </w:rPr>
        <w:t>i</w:t>
      </w:r>
      <w:r>
        <w:t>=0) given other tag is absent (</w:t>
      </w:r>
      <w:r>
        <w:rPr>
          <w:rFonts w:ascii="Cambria Math" w:hAnsi="Cambria Math"/>
          <w:i/>
        </w:rPr>
        <w:t>S</w:t>
      </w:r>
      <w:r>
        <w:rPr>
          <w:rFonts w:ascii="Cambria Math" w:hAnsi="Cambria Math"/>
          <w:i/>
          <w:vertAlign w:val="subscript"/>
        </w:rPr>
        <w:t>3-i</w:t>
      </w:r>
      <w:r>
        <w:rPr>
          <w:rFonts w:ascii="Cambria Math" w:hAnsi="Cambria Math"/>
          <w:i/>
        </w:rPr>
        <w:t>=</w:t>
      </w:r>
      <w:r>
        <w:t xml:space="preserve">0) is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+α</m:t>
            </m:r>
          </m:sup>
        </m:sSup>
      </m:oMath>
      <w:r>
        <w:rPr>
          <w:rFonts w:eastAsiaTheme="minorEastAsia"/>
        </w:rPr>
        <w:t xml:space="preserve"> where α determines the amount of dependence.  These dependent odds are ratios of the joint probabilities (e.g., </w:t>
      </w:r>
      <m:oMath>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 xml:space="preserve">01 </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 xml:space="preserve">11 </m:t>
                </m:r>
              </m:sub>
            </m:sSub>
            <m:r>
              <w:rPr>
                <w:rFonts w:ascii="Cambria Math" w:hAnsi="Cambria Math"/>
              </w:rPr>
              <m:t xml:space="preserve"> and π</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10</m:t>
            </m:r>
          </m:sub>
        </m:sSub>
        <m:r>
          <w:rPr>
            <w:rFonts w:ascii="Cambria Math" w:hAnsi="Cambria Math"/>
          </w:rPr>
          <m:t>)</m:t>
        </m:r>
      </m:oMath>
      <w:r>
        <w:rPr>
          <w:rFonts w:eastAsiaTheme="minorEastAsia"/>
        </w:rPr>
        <w:t xml:space="preserve"> and not the marginal probabilities.  Also, because of the dependence the conditional and marginal probabilities differ.</w:t>
      </w:r>
    </w:p>
    <w:p w:rsidR="00F7475C" w:rsidRDefault="00F7475C" w:rsidP="008C01CD">
      <w:pPr>
        <w:spacing w:line="480" w:lineRule="auto"/>
      </w:pPr>
    </w:p>
    <w:p w:rsidR="00F7475C" w:rsidRPr="008A18AE" w:rsidRDefault="00F7475C" w:rsidP="008C01CD">
      <w:pPr>
        <w:spacing w:line="480" w:lineRule="auto"/>
      </w:pPr>
      <w:proofErr w:type="gramStart"/>
      <w:r>
        <w:lastRenderedPageBreak/>
        <w:t>Table 3.</w:t>
      </w:r>
      <w:proofErr w:type="gramEnd"/>
      <w:r>
        <w:t xml:space="preserve">  Joint (</w:t>
      </w:r>
      <m:oMath>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sub>
        </m:sSub>
      </m:oMath>
      <w:r>
        <w:t xml:space="preserve">) </w:t>
      </w:r>
      <w:r w:rsidRPr="00AC1391">
        <w:t>and</w:t>
      </w:r>
      <w:r>
        <w:t xml:space="preserve"> marginal (</w:t>
      </w:r>
      <w:r w:rsidRPr="00AC1391">
        <w:rPr>
          <w:i/>
        </w:rPr>
        <w:t>p</w:t>
      </w:r>
      <w:r w:rsidRPr="00AC1391">
        <w:rPr>
          <w:i/>
          <w:vertAlign w:val="subscript"/>
        </w:rPr>
        <w:t>i</w:t>
      </w:r>
      <w:r>
        <w:t xml:space="preserve">, </w:t>
      </w:r>
      <w:proofErr w:type="spellStart"/>
      <w:r w:rsidRPr="00AC1391">
        <w:rPr>
          <w:i/>
        </w:rPr>
        <w:t>q</w:t>
      </w:r>
      <w:r w:rsidRPr="00AC1391">
        <w:rPr>
          <w:i/>
          <w:vertAlign w:val="subscript"/>
        </w:rPr>
        <w:t>i</w:t>
      </w:r>
      <w:proofErr w:type="spellEnd"/>
      <w:r>
        <w:t xml:space="preserve">) probabilities for double tag status </w:t>
      </w:r>
      <w:r>
        <w:rPr>
          <w:rFonts w:ascii="Cambria Math" w:hAnsi="Cambria Math"/>
          <w:b/>
        </w:rPr>
        <w:t>S</w:t>
      </w:r>
      <w:r w:rsidRPr="006C7062">
        <w:rPr>
          <w:rFonts w:ascii="Cambria Math" w:hAnsi="Cambria Math"/>
        </w:rPr>
        <w:t xml:space="preserve"> = (</w:t>
      </w:r>
      <w:r>
        <w:rPr>
          <w:rFonts w:ascii="Cambria Math" w:hAnsi="Cambria Math"/>
          <w:i/>
        </w:rPr>
        <w:t>S</w:t>
      </w:r>
      <w:r w:rsidRPr="006C7062">
        <w:rPr>
          <w:rFonts w:ascii="Cambria Math" w:hAnsi="Cambria Math"/>
          <w:vertAlign w:val="subscript"/>
        </w:rPr>
        <w:t>1</w:t>
      </w:r>
      <w:r w:rsidRPr="006C7062">
        <w:rPr>
          <w:rFonts w:ascii="Cambria Math" w:hAnsi="Cambria Math"/>
        </w:rPr>
        <w:t xml:space="preserve">, </w:t>
      </w:r>
      <w:r>
        <w:rPr>
          <w:rFonts w:ascii="Cambria Math" w:hAnsi="Cambria Math"/>
          <w:i/>
        </w:rPr>
        <w:t>S</w:t>
      </w:r>
      <w:r w:rsidRPr="006C7062">
        <w:rPr>
          <w:rFonts w:ascii="Cambria Math" w:hAnsi="Cambria Math"/>
          <w:vertAlign w:val="subscript"/>
        </w:rPr>
        <w:t>2</w:t>
      </w:r>
      <w:r w:rsidRPr="006C7062">
        <w:rPr>
          <w:rFonts w:ascii="Cambria Math" w:hAnsi="Cambria Math"/>
        </w:rPr>
        <w:t>)</w:t>
      </w:r>
      <w:r>
        <w:rPr>
          <w:rFonts w:ascii="Cambria Math" w:hAnsi="Cambria Math"/>
        </w:rPr>
        <w:t xml:space="preserve">, where the </w:t>
      </w:r>
      <w:r>
        <w:t xml:space="preserve">odds of losing the </w:t>
      </w:r>
      <w:proofErr w:type="spellStart"/>
      <w:r w:rsidRPr="00F9719E">
        <w:rPr>
          <w:rFonts w:eastAsiaTheme="minorEastAsia"/>
          <w:i/>
        </w:rPr>
        <w:t>i</w:t>
      </w:r>
      <w:r w:rsidRPr="00F9719E">
        <w:rPr>
          <w:rFonts w:eastAsiaTheme="minorEastAsia"/>
          <w:i/>
          <w:vertAlign w:val="superscript"/>
        </w:rPr>
        <w:t>th</w:t>
      </w:r>
      <w:proofErr w:type="spellEnd"/>
      <w:r>
        <w:t xml:space="preserve"> tag (</w:t>
      </w:r>
      <w:r>
        <w:rPr>
          <w:rFonts w:ascii="Cambria Math" w:hAnsi="Cambria Math"/>
          <w:i/>
        </w:rPr>
        <w:t>S</w:t>
      </w:r>
      <w:r w:rsidRPr="006E30B4">
        <w:rPr>
          <w:rFonts w:ascii="Cambria Math" w:hAnsi="Cambria Math"/>
          <w:i/>
          <w:vertAlign w:val="subscript"/>
        </w:rPr>
        <w:t>i</w:t>
      </w:r>
      <w:r>
        <w:t>=0) given the other tag is present (</w:t>
      </w:r>
      <w:r>
        <w:rPr>
          <w:rFonts w:ascii="Cambria Math" w:hAnsi="Cambria Math"/>
          <w:i/>
        </w:rPr>
        <w:t>S</w:t>
      </w:r>
      <w:r>
        <w:rPr>
          <w:rFonts w:ascii="Cambria Math" w:hAnsi="Cambria Math"/>
          <w:i/>
          <w:vertAlign w:val="subscript"/>
        </w:rPr>
        <w:t xml:space="preserve">3-i </w:t>
      </w:r>
      <w:r>
        <w:t xml:space="preserve">=1) </w:t>
      </w:r>
      <w:proofErr w:type="gramStart"/>
      <w:r>
        <w:t xml:space="preserve">is </w:t>
      </w:r>
      <m:oMath>
        <w:proofErr w:type="gramEn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oMath>
      <w:r>
        <w:rPr>
          <w:rFonts w:eastAsiaTheme="minorEastAsia"/>
        </w:rPr>
        <w:t xml:space="preserve">, </w:t>
      </w:r>
      <w:r>
        <w:t xml:space="preserve">odds of losing the </w:t>
      </w:r>
      <w:proofErr w:type="spellStart"/>
      <w:r w:rsidRPr="00F9719E">
        <w:rPr>
          <w:rFonts w:eastAsiaTheme="minorEastAsia"/>
          <w:i/>
        </w:rPr>
        <w:t>i</w:t>
      </w:r>
      <w:r w:rsidRPr="00F9719E">
        <w:rPr>
          <w:rFonts w:eastAsiaTheme="minorEastAsia"/>
          <w:i/>
          <w:vertAlign w:val="superscript"/>
        </w:rPr>
        <w:t>th</w:t>
      </w:r>
      <w:proofErr w:type="spellEnd"/>
      <w:r>
        <w:t xml:space="preserve"> tag (</w:t>
      </w:r>
      <w:r>
        <w:rPr>
          <w:rFonts w:ascii="Cambria Math" w:hAnsi="Cambria Math"/>
          <w:i/>
        </w:rPr>
        <w:t>S</w:t>
      </w:r>
      <w:r w:rsidRPr="006E30B4">
        <w:rPr>
          <w:rFonts w:ascii="Cambria Math" w:hAnsi="Cambria Math"/>
          <w:i/>
          <w:vertAlign w:val="subscript"/>
        </w:rPr>
        <w:t>i</w:t>
      </w:r>
      <w:r>
        <w:t>=0) given other tag is absent (</w:t>
      </w:r>
      <w:r>
        <w:rPr>
          <w:rFonts w:ascii="Cambria Math" w:hAnsi="Cambria Math"/>
          <w:i/>
        </w:rPr>
        <w:t>S</w:t>
      </w:r>
      <w:r>
        <w:rPr>
          <w:rFonts w:ascii="Cambria Math" w:hAnsi="Cambria Math"/>
          <w:i/>
          <w:vertAlign w:val="subscript"/>
        </w:rPr>
        <w:t>3-i</w:t>
      </w:r>
      <w:r>
        <w:rPr>
          <w:rFonts w:ascii="Cambria Math" w:hAnsi="Cambria Math"/>
          <w:i/>
        </w:rPr>
        <w:t>=</w:t>
      </w:r>
      <w:r>
        <w:t xml:space="preserve">0) is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+α</m:t>
            </m:r>
          </m:sup>
        </m:sSup>
      </m:oMath>
      <w:r>
        <w:rPr>
          <w:rFonts w:eastAsiaTheme="minorEastAsia"/>
        </w:rPr>
        <w:t xml:space="preserve">, and </w:t>
      </w:r>
      <m:oMath>
        <m:r>
          <w:rPr>
            <w:rFonts w:ascii="Cambria Math" w:eastAsiaTheme="minorEastAsia" w:hAnsi="Cambria Math"/>
          </w:rPr>
          <m:t>K=1+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+α</m:t>
            </m:r>
          </m:sup>
        </m:sSup>
      </m:oMath>
      <w:r>
        <w:rPr>
          <w:rFonts w:eastAsiaTheme="minorEastAsia"/>
        </w:rPr>
        <w:t>.</w:t>
      </w:r>
      <w:r w:rsidRPr="00343954">
        <w:rPr>
          <w:rFonts w:ascii="Cambria Math" w:hAnsi="Cambria Math"/>
        </w:rPr>
        <w:t xml:space="preserve"> </w:t>
      </w:r>
      <w:r>
        <w:rPr>
          <w:rFonts w:ascii="Cambria Math" w:hAnsi="Cambria Math"/>
        </w:rPr>
        <w:t xml:space="preserve">The </w:t>
      </w:r>
      <w:r w:rsidRPr="00DD00CE">
        <w:rPr>
          <w:rFonts w:ascii="Cambria Math" w:hAnsi="Cambria Math"/>
          <w:i/>
        </w:rPr>
        <w:t>n</w:t>
      </w:r>
      <w:r w:rsidRPr="00DD00CE">
        <w:rPr>
          <w:rFonts w:ascii="Cambria Math" w:hAnsi="Cambria Math"/>
          <w:i/>
          <w:vertAlign w:val="subscript"/>
        </w:rPr>
        <w:t>00</w:t>
      </w:r>
      <w:r>
        <w:rPr>
          <w:rFonts w:ascii="Cambria Math" w:hAnsi="Cambria Math"/>
        </w:rPr>
        <w:t xml:space="preserve"> cell is observed in this model.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08"/>
        <w:gridCol w:w="2250"/>
        <w:gridCol w:w="2610"/>
        <w:gridCol w:w="2700"/>
      </w:tblGrid>
      <w:tr w:rsidR="00F7475C" w:rsidTr="008C01CD">
        <w:tc>
          <w:tcPr>
            <w:tcW w:w="1908" w:type="dxa"/>
            <w:tcBorders>
              <w:top w:val="single" w:sz="4" w:space="0" w:color="000000" w:themeColor="text1"/>
            </w:tcBorders>
          </w:tcPr>
          <w:p w:rsidR="00F7475C" w:rsidRDefault="00F7475C" w:rsidP="008C01CD">
            <w:pPr>
              <w:spacing w:line="480" w:lineRule="auto"/>
            </w:pPr>
          </w:p>
        </w:tc>
        <w:tc>
          <w:tcPr>
            <w:tcW w:w="4860" w:type="dxa"/>
            <w:gridSpan w:val="2"/>
            <w:tcBorders>
              <w:top w:val="single" w:sz="4" w:space="0" w:color="000000" w:themeColor="text1"/>
              <w:bottom w:val="single" w:sz="4" w:space="0" w:color="000000" w:themeColor="text1"/>
            </w:tcBorders>
          </w:tcPr>
          <w:p w:rsidR="00F7475C" w:rsidRPr="00BB1287" w:rsidRDefault="00F7475C" w:rsidP="008C01CD">
            <w:pPr>
              <w:spacing w:line="480" w:lineRule="auto"/>
              <w:jc w:val="center"/>
              <w:rPr>
                <w:b/>
              </w:rPr>
            </w:pPr>
            <w:r w:rsidRPr="00BB1287">
              <w:rPr>
                <w:b/>
              </w:rPr>
              <w:t>Tag 2</w:t>
            </w:r>
            <w:r>
              <w:rPr>
                <w:b/>
              </w:rPr>
              <w:t xml:space="preserve"> Status (S</w:t>
            </w:r>
            <w:r>
              <w:rPr>
                <w:b/>
                <w:vertAlign w:val="subscript"/>
              </w:rPr>
              <w:t>2</w:t>
            </w:r>
            <w:r>
              <w:rPr>
                <w:b/>
              </w:rPr>
              <w:t>)</w:t>
            </w:r>
          </w:p>
        </w:tc>
        <w:tc>
          <w:tcPr>
            <w:tcW w:w="2700" w:type="dxa"/>
            <w:tcBorders>
              <w:top w:val="single" w:sz="4" w:space="0" w:color="000000" w:themeColor="text1"/>
            </w:tcBorders>
          </w:tcPr>
          <w:p w:rsidR="00F7475C" w:rsidRDefault="00F7475C" w:rsidP="008C01CD">
            <w:pPr>
              <w:spacing w:line="480" w:lineRule="auto"/>
            </w:pPr>
          </w:p>
        </w:tc>
      </w:tr>
      <w:tr w:rsidR="00F7475C" w:rsidTr="008C01CD">
        <w:tc>
          <w:tcPr>
            <w:tcW w:w="1908" w:type="dxa"/>
          </w:tcPr>
          <w:p w:rsidR="00F7475C" w:rsidRPr="006E30B4" w:rsidRDefault="00F7475C" w:rsidP="008C01CD">
            <w:pPr>
              <w:spacing w:line="480" w:lineRule="auto"/>
              <w:jc w:val="center"/>
              <w:rPr>
                <w:b/>
              </w:rPr>
            </w:pPr>
            <w:r w:rsidRPr="00BB1287">
              <w:rPr>
                <w:b/>
              </w:rPr>
              <w:t>Tag 1</w:t>
            </w:r>
            <w:r>
              <w:rPr>
                <w:b/>
              </w:rPr>
              <w:t xml:space="preserve"> Status (S</w:t>
            </w:r>
            <w:r>
              <w:rPr>
                <w:b/>
                <w:vertAlign w:val="subscript"/>
              </w:rPr>
              <w:t>1</w:t>
            </w:r>
            <w:r>
              <w:rPr>
                <w:b/>
              </w:rPr>
              <w:t>)</w:t>
            </w:r>
          </w:p>
        </w:tc>
        <w:tc>
          <w:tcPr>
            <w:tcW w:w="2250" w:type="dxa"/>
            <w:tcBorders>
              <w:top w:val="single" w:sz="4" w:space="0" w:color="000000" w:themeColor="text1"/>
              <w:bottom w:val="single" w:sz="4" w:space="0" w:color="000000" w:themeColor="text1"/>
            </w:tcBorders>
          </w:tcPr>
          <w:p w:rsidR="00F7475C" w:rsidRPr="008A18AE" w:rsidRDefault="00F7475C" w:rsidP="008C01CD">
            <w:pPr>
              <w:spacing w:line="480" w:lineRule="auto"/>
              <w:jc w:val="center"/>
              <w:rPr>
                <w:i/>
              </w:rPr>
            </w:pPr>
            <w:r w:rsidRPr="008A18AE">
              <w:rPr>
                <w:i/>
              </w:rPr>
              <w:t>Present (S</w:t>
            </w:r>
            <w:r w:rsidRPr="008A18AE">
              <w:rPr>
                <w:i/>
                <w:vertAlign w:val="subscript"/>
              </w:rPr>
              <w:t>2</w:t>
            </w:r>
            <w:r w:rsidRPr="008A18AE">
              <w:rPr>
                <w:i/>
              </w:rPr>
              <w:t>=1)</w:t>
            </w:r>
          </w:p>
        </w:tc>
        <w:tc>
          <w:tcPr>
            <w:tcW w:w="2610" w:type="dxa"/>
            <w:tcBorders>
              <w:top w:val="single" w:sz="4" w:space="0" w:color="000000" w:themeColor="text1"/>
              <w:bottom w:val="single" w:sz="4" w:space="0" w:color="000000" w:themeColor="text1"/>
            </w:tcBorders>
          </w:tcPr>
          <w:p w:rsidR="00F7475C" w:rsidRPr="008A18AE" w:rsidRDefault="00F7475C" w:rsidP="008C01CD">
            <w:pPr>
              <w:spacing w:line="480" w:lineRule="auto"/>
              <w:jc w:val="center"/>
              <w:rPr>
                <w:i/>
              </w:rPr>
            </w:pPr>
            <w:r w:rsidRPr="008A18AE">
              <w:rPr>
                <w:i/>
              </w:rPr>
              <w:t>Absent (S</w:t>
            </w:r>
            <w:r w:rsidRPr="008A18AE">
              <w:rPr>
                <w:i/>
                <w:vertAlign w:val="subscript"/>
              </w:rPr>
              <w:t>2</w:t>
            </w:r>
            <w:r w:rsidRPr="008A18AE">
              <w:rPr>
                <w:i/>
              </w:rPr>
              <w:t>=0)</w:t>
            </w:r>
          </w:p>
        </w:tc>
        <w:tc>
          <w:tcPr>
            <w:tcW w:w="2700" w:type="dxa"/>
          </w:tcPr>
          <w:p w:rsidR="00F7475C" w:rsidRPr="008A18AE" w:rsidRDefault="00F7475C" w:rsidP="008C01CD">
            <w:pPr>
              <w:spacing w:line="480" w:lineRule="auto"/>
              <w:jc w:val="center"/>
              <w:rPr>
                <w:i/>
              </w:rPr>
            </w:pPr>
            <w:r w:rsidRPr="008A18AE">
              <w:rPr>
                <w:i/>
              </w:rPr>
              <w:t>Marginal</w:t>
            </w:r>
          </w:p>
        </w:tc>
      </w:tr>
      <w:tr w:rsidR="00F7475C" w:rsidTr="008C01CD">
        <w:tc>
          <w:tcPr>
            <w:tcW w:w="1908" w:type="dxa"/>
            <w:tcBorders>
              <w:right w:val="single" w:sz="4" w:space="0" w:color="000000" w:themeColor="text1"/>
            </w:tcBorders>
          </w:tcPr>
          <w:p w:rsidR="00F7475C" w:rsidRPr="008A18AE" w:rsidRDefault="00F7475C" w:rsidP="008C01CD">
            <w:pPr>
              <w:spacing w:line="480" w:lineRule="auto"/>
              <w:jc w:val="center"/>
              <w:rPr>
                <w:i/>
              </w:rPr>
            </w:pPr>
            <w:r w:rsidRPr="008A18AE">
              <w:rPr>
                <w:i/>
              </w:rPr>
              <w:t>Present (S</w:t>
            </w:r>
            <w:r w:rsidRPr="008A18AE">
              <w:rPr>
                <w:i/>
                <w:vertAlign w:val="subscript"/>
              </w:rPr>
              <w:t>1</w:t>
            </w:r>
            <w:r w:rsidRPr="008A18AE">
              <w:rPr>
                <w:i/>
              </w:rPr>
              <w:t>=1)</w:t>
            </w:r>
          </w:p>
        </w:tc>
        <w:tc>
          <w:tcPr>
            <w:tcW w:w="2250" w:type="dxa"/>
            <w:tcBorders>
              <w:top w:val="single" w:sz="4" w:space="0" w:color="000000" w:themeColor="text1"/>
              <w:left w:val="single" w:sz="4" w:space="0" w:color="000000" w:themeColor="text1"/>
            </w:tcBorders>
          </w:tcPr>
          <w:p w:rsidR="00F7475C" w:rsidRDefault="00A70CD0" w:rsidP="008C01CD">
            <w:pPr>
              <w:spacing w:line="480" w:lineRule="auto"/>
            </w:pPr>
            <m:oMathPara>
              <m:oMath>
                <m:sSub>
                  <m:sSubPr>
                    <m:ctrlPr>
                      <w:rPr>
                        <w:rFonts w:ascii="Cambria Math" w:hAnsi="Cambria Math"/>
                        <w:i/>
                      </w:rPr>
                    </m:ctrlPr>
                  </m:sSubPr>
                  <m:e>
                    <m:r>
                      <w:rPr>
                        <w:rFonts w:ascii="Cambria Math" w:hAnsi="Cambria Math"/>
                      </w:rPr>
                      <m:t>π</m:t>
                    </m:r>
                  </m:e>
                  <m:sub>
                    <m:r>
                      <w:rPr>
                        <w:rFonts w:ascii="Cambria Math" w:hAnsi="Cambria Math"/>
                      </w:rPr>
                      <m:t>11</m:t>
                    </m:r>
                  </m:sub>
                </m:sSub>
                <m:r>
                  <w:rPr>
                    <w:rFonts w:ascii="Cambria Math" w:hAnsi="Cambria Math"/>
                  </w:rPr>
                  <m:t>=1/K</m:t>
                </m:r>
              </m:oMath>
            </m:oMathPara>
          </w:p>
        </w:tc>
        <w:tc>
          <w:tcPr>
            <w:tcW w:w="2610" w:type="dxa"/>
            <w:tcBorders>
              <w:top w:val="single" w:sz="4" w:space="0" w:color="000000" w:themeColor="text1"/>
              <w:right w:val="single" w:sz="4" w:space="0" w:color="000000" w:themeColor="text1"/>
            </w:tcBorders>
          </w:tcPr>
          <w:p w:rsidR="00F7475C" w:rsidRDefault="00A70CD0" w:rsidP="008C01CD">
            <w:pPr>
              <w:spacing w:line="480" w:lineRule="auto"/>
            </w:pPr>
            <m:oMathPara>
              <m:oMath>
                <m:sSub>
                  <m:sSubPr>
                    <m:ctrlPr>
                      <w:rPr>
                        <w:rFonts w:ascii="Cambria Math" w:hAnsi="Cambria Math"/>
                        <w:i/>
                      </w:rPr>
                    </m:ctrlPr>
                  </m:sSubPr>
                  <m:e>
                    <m:r>
                      <w:rPr>
                        <w:rFonts w:ascii="Cambria Math" w:hAnsi="Cambria Math"/>
                      </w:rPr>
                      <m:t>π</m:t>
                    </m:r>
                  </m:e>
                  <m:sub>
                    <m:r>
                      <w:rPr>
                        <w:rFonts w:ascii="Cambria Math" w:hAnsi="Cambria Math"/>
                      </w:rPr>
                      <m:t>10</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2</m:t>
                        </m:r>
                      </m:sub>
                    </m:sSub>
                  </m:sup>
                </m:sSup>
                <m:r>
                  <w:rPr>
                    <w:rFonts w:ascii="Cambria Math" w:hAnsi="Cambria Math"/>
                  </w:rPr>
                  <m:t>/K</m:t>
                </m:r>
              </m:oMath>
            </m:oMathPara>
          </w:p>
        </w:tc>
        <w:tc>
          <w:tcPr>
            <w:tcW w:w="2700" w:type="dxa"/>
            <w:tcBorders>
              <w:left w:val="single" w:sz="4" w:space="0" w:color="000000" w:themeColor="text1"/>
            </w:tcBorders>
          </w:tcPr>
          <w:p w:rsidR="00F7475C" w:rsidRPr="00DB2E29" w:rsidRDefault="00A70CD0" w:rsidP="008C01CD">
            <w:pPr>
              <w:spacing w:line="480" w:lineRule="auto"/>
              <w:rPr>
                <w:rFonts w:ascii="Calibri" w:eastAsia="Calibri" w:hAnsi="Calibri"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2</m:t>
                        </m:r>
                      </m:sub>
                    </m:sSub>
                  </m:sup>
                </m:sSup>
                <m:r>
                  <w:rPr>
                    <w:rFonts w:ascii="Cambria Math" w:hAnsi="Cambria Math"/>
                  </w:rPr>
                  <m:t>)/K</m:t>
                </m:r>
              </m:oMath>
            </m:oMathPara>
          </w:p>
        </w:tc>
      </w:tr>
      <w:tr w:rsidR="00F7475C" w:rsidTr="008C01CD">
        <w:tc>
          <w:tcPr>
            <w:tcW w:w="1908" w:type="dxa"/>
            <w:tcBorders>
              <w:right w:val="single" w:sz="4" w:space="0" w:color="000000" w:themeColor="text1"/>
            </w:tcBorders>
          </w:tcPr>
          <w:p w:rsidR="00F7475C" w:rsidRPr="008A18AE" w:rsidRDefault="00F7475C" w:rsidP="008C01CD">
            <w:pPr>
              <w:spacing w:line="480" w:lineRule="auto"/>
              <w:jc w:val="center"/>
              <w:rPr>
                <w:i/>
              </w:rPr>
            </w:pPr>
            <w:r w:rsidRPr="008A18AE">
              <w:rPr>
                <w:i/>
              </w:rPr>
              <w:t>Absent (S</w:t>
            </w:r>
            <w:r w:rsidRPr="008A18AE">
              <w:rPr>
                <w:i/>
                <w:vertAlign w:val="subscript"/>
              </w:rPr>
              <w:t>1</w:t>
            </w:r>
            <w:r w:rsidRPr="008A18AE">
              <w:rPr>
                <w:i/>
              </w:rPr>
              <w:t>=0)</w:t>
            </w:r>
          </w:p>
        </w:tc>
        <w:tc>
          <w:tcPr>
            <w:tcW w:w="2250" w:type="dxa"/>
            <w:tcBorders>
              <w:left w:val="single" w:sz="4" w:space="0" w:color="000000" w:themeColor="text1"/>
              <w:bottom w:val="single" w:sz="4" w:space="0" w:color="000000" w:themeColor="text1"/>
            </w:tcBorders>
          </w:tcPr>
          <w:p w:rsidR="00F7475C" w:rsidRDefault="00A70CD0" w:rsidP="008C01CD">
            <w:pPr>
              <w:spacing w:line="480" w:lineRule="auto"/>
            </w:pPr>
            <m:oMathPara>
              <m:oMath>
                <m:sSub>
                  <m:sSubPr>
                    <m:ctrlPr>
                      <w:rPr>
                        <w:rFonts w:ascii="Cambria Math" w:hAnsi="Cambria Math"/>
                        <w:i/>
                      </w:rPr>
                    </m:ctrlPr>
                  </m:sSubPr>
                  <m:e>
                    <m:r>
                      <w:rPr>
                        <w:rFonts w:ascii="Cambria Math" w:hAnsi="Cambria Math"/>
                      </w:rPr>
                      <m:t>π</m:t>
                    </m:r>
                  </m:e>
                  <m:sub>
                    <m:r>
                      <w:rPr>
                        <w:rFonts w:ascii="Cambria Math" w:hAnsi="Cambria Math"/>
                      </w:rPr>
                      <m:t>01</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sup>
                </m:sSup>
                <m:r>
                  <w:rPr>
                    <w:rFonts w:ascii="Cambria Math" w:hAnsi="Cambria Math"/>
                  </w:rPr>
                  <m:t>/K</m:t>
                </m:r>
              </m:oMath>
            </m:oMathPara>
          </w:p>
        </w:tc>
        <w:tc>
          <w:tcPr>
            <w:tcW w:w="2610" w:type="dxa"/>
            <w:tcBorders>
              <w:bottom w:val="single" w:sz="4" w:space="0" w:color="000000" w:themeColor="text1"/>
              <w:right w:val="single" w:sz="4" w:space="0" w:color="000000" w:themeColor="text1"/>
            </w:tcBorders>
          </w:tcPr>
          <w:p w:rsidR="00F7475C" w:rsidRDefault="00A70CD0" w:rsidP="008C01CD">
            <w:pPr>
              <w:spacing w:line="48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00</m:t>
                        </m:r>
                      </m:sub>
                    </m:sSub>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+α</m:t>
                    </m:r>
                  </m:sup>
                </m:sSup>
                <m:r>
                  <w:rPr>
                    <w:rFonts w:ascii="Cambria Math" w:hAnsi="Cambria Math"/>
                  </w:rPr>
                  <m:t>/K</m:t>
                </m:r>
              </m:oMath>
            </m:oMathPara>
          </w:p>
        </w:tc>
        <w:tc>
          <w:tcPr>
            <w:tcW w:w="2700" w:type="dxa"/>
            <w:tcBorders>
              <w:left w:val="single" w:sz="4" w:space="0" w:color="000000" w:themeColor="text1"/>
            </w:tcBorders>
          </w:tcPr>
          <w:p w:rsidR="00F7475C" w:rsidRPr="00DB2E29" w:rsidRDefault="00A70CD0" w:rsidP="008C01CD">
            <w:pPr>
              <w:spacing w:line="480" w:lineRule="auto"/>
              <w:rPr>
                <w:rFonts w:ascii="Calibri" w:eastAsia="Calibri" w:hAnsi="Calibri" w:cs="Times New Roman"/>
              </w:rPr>
            </w:pPr>
            <m:oMathPara>
              <m:oMath>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sup>
                    </m:sSup>
                    <m:r>
                      <w:rPr>
                        <w:rFonts w:ascii="Cambria Math" w:hAnsi="Cambria Math"/>
                      </w:rPr>
                      <m:t>(1+e</m:t>
                    </m:r>
                  </m:e>
                  <m:sup>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+α</m:t>
                    </m:r>
                  </m:sup>
                </m:sSup>
                <m:r>
                  <w:rPr>
                    <w:rFonts w:ascii="Cambria Math" w:hAnsi="Cambria Math"/>
                  </w:rPr>
                  <m:t>)/K</m:t>
                </m:r>
              </m:oMath>
            </m:oMathPara>
          </w:p>
        </w:tc>
      </w:tr>
      <w:tr w:rsidR="00F7475C" w:rsidTr="008C01CD">
        <w:tc>
          <w:tcPr>
            <w:tcW w:w="1908" w:type="dxa"/>
            <w:tcBorders>
              <w:bottom w:val="single" w:sz="4" w:space="0" w:color="000000" w:themeColor="text1"/>
            </w:tcBorders>
          </w:tcPr>
          <w:p w:rsidR="00F7475C" w:rsidRPr="008A18AE" w:rsidRDefault="00F7475C" w:rsidP="008C01CD">
            <w:pPr>
              <w:spacing w:line="480" w:lineRule="auto"/>
              <w:jc w:val="center"/>
              <w:rPr>
                <w:i/>
              </w:rPr>
            </w:pPr>
            <w:r w:rsidRPr="008A18AE">
              <w:rPr>
                <w:i/>
              </w:rPr>
              <w:t>Marginal</w:t>
            </w:r>
          </w:p>
        </w:tc>
        <w:tc>
          <w:tcPr>
            <w:tcW w:w="2250" w:type="dxa"/>
            <w:tcBorders>
              <w:top w:val="single" w:sz="4" w:space="0" w:color="000000" w:themeColor="text1"/>
              <w:bottom w:val="single" w:sz="4" w:space="0" w:color="000000" w:themeColor="text1"/>
            </w:tcBorders>
          </w:tcPr>
          <w:p w:rsidR="00F7475C" w:rsidRDefault="00A70CD0" w:rsidP="008C01CD">
            <w:pPr>
              <w:spacing w:line="480" w:lineRule="auto"/>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sup>
                </m:sSup>
                <m:r>
                  <w:rPr>
                    <w:rFonts w:ascii="Cambria Math" w:hAnsi="Cambria Math"/>
                  </w:rPr>
                  <m:t>)/K</m:t>
                </m:r>
              </m:oMath>
            </m:oMathPara>
          </w:p>
        </w:tc>
        <w:tc>
          <w:tcPr>
            <w:tcW w:w="2610" w:type="dxa"/>
            <w:tcBorders>
              <w:top w:val="single" w:sz="4" w:space="0" w:color="000000" w:themeColor="text1"/>
              <w:bottom w:val="single" w:sz="4" w:space="0" w:color="000000" w:themeColor="text1"/>
            </w:tcBorders>
          </w:tcPr>
          <w:p w:rsidR="00F7475C" w:rsidRDefault="00A70CD0" w:rsidP="008C01CD">
            <w:pPr>
              <w:spacing w:line="480" w:lineRule="auto"/>
            </w:pPr>
            <m:oMathPara>
              <m:oMath>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2</m:t>
                            </m:r>
                          </m:sub>
                        </m:sSub>
                      </m:sup>
                    </m:sSup>
                    <m:r>
                      <w:rPr>
                        <w:rFonts w:ascii="Cambria Math" w:hAnsi="Cambria Math"/>
                      </w:rPr>
                      <m:t>(1+e</m:t>
                    </m:r>
                  </m:e>
                  <m:sup>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+α</m:t>
                    </m:r>
                  </m:sup>
                </m:sSup>
                <m:r>
                  <w:rPr>
                    <w:rFonts w:ascii="Cambria Math" w:hAnsi="Cambria Math"/>
                  </w:rPr>
                  <m:t>)/K</m:t>
                </m:r>
              </m:oMath>
            </m:oMathPara>
          </w:p>
        </w:tc>
        <w:tc>
          <w:tcPr>
            <w:tcW w:w="2700" w:type="dxa"/>
            <w:tcBorders>
              <w:bottom w:val="single" w:sz="4" w:space="0" w:color="000000" w:themeColor="text1"/>
            </w:tcBorders>
          </w:tcPr>
          <w:p w:rsidR="00F7475C" w:rsidRDefault="00F7475C" w:rsidP="008C01CD">
            <w:pPr>
              <w:spacing w:line="480" w:lineRule="auto"/>
            </w:pPr>
            <m:oMathPara>
              <m:oMath>
                <m:r>
                  <w:rPr>
                    <w:rFonts w:ascii="Cambria Math" w:hAnsi="Cambria Math"/>
                  </w:rPr>
                  <m:t>1</m:t>
                </m:r>
              </m:oMath>
            </m:oMathPara>
          </w:p>
        </w:tc>
      </w:tr>
    </w:tbl>
    <w:p w:rsidR="00F7475C" w:rsidRDefault="00F7475C" w:rsidP="008C01CD">
      <w:pPr>
        <w:spacing w:line="480" w:lineRule="auto"/>
        <w:ind w:firstLine="720"/>
        <w:rPr>
          <w:rFonts w:eastAsiaTheme="minorEastAsia"/>
        </w:rPr>
      </w:pPr>
    </w:p>
    <w:p w:rsidR="00F7475C" w:rsidRPr="00003EEB" w:rsidRDefault="00F7475C" w:rsidP="008C01CD">
      <w:pPr>
        <w:spacing w:line="480" w:lineRule="auto"/>
        <w:ind w:firstLine="720"/>
        <w:rPr>
          <w:rFonts w:eastAsiaTheme="minorEastAsia"/>
        </w:rPr>
      </w:pPr>
      <w:r>
        <w:rPr>
          <w:rFonts w:eastAsiaTheme="minorEastAsia"/>
        </w:rPr>
        <w:t xml:space="preserve">We define </w:t>
      </w:r>
      <m:oMath>
        <m:sSubSup>
          <m:sSubSupPr>
            <m:ctrlPr>
              <w:rPr>
                <w:rFonts w:ascii="Cambria Math" w:eastAsiaTheme="minorEastAsia" w:hAnsi="Cambria Math"/>
                <w:i/>
              </w:rPr>
            </m:ctrlPr>
          </m:sSubSup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3-i</m:t>
                </m:r>
              </m:sub>
            </m:sSub>
          </m:sub>
          <m:sup>
            <m:r>
              <w:rPr>
                <w:rFonts w:ascii="Cambria Math" w:eastAsiaTheme="minorEastAsia" w:hAnsi="Cambria Math"/>
              </w:rPr>
              <m:t>i</m:t>
            </m:r>
          </m:sup>
        </m:sSubSup>
      </m:oMath>
      <w:r>
        <w:rPr>
          <w:rFonts w:eastAsiaTheme="minorEastAsia"/>
        </w:rPr>
        <w:t xml:space="preserve">to be the conditional probability that the </w:t>
      </w:r>
      <w:proofErr w:type="spellStart"/>
      <w:r w:rsidRPr="00003EEB">
        <w:rPr>
          <w:rFonts w:eastAsiaTheme="minorEastAsia"/>
          <w:i/>
        </w:rPr>
        <w:t>i</w:t>
      </w:r>
      <w:r w:rsidRPr="00003EEB">
        <w:rPr>
          <w:rFonts w:eastAsiaTheme="minorEastAsia"/>
          <w:i/>
          <w:vertAlign w:val="superscript"/>
        </w:rPr>
        <w:t>th</w:t>
      </w:r>
      <w:proofErr w:type="spellEnd"/>
      <w:r>
        <w:rPr>
          <w:rFonts w:eastAsiaTheme="minorEastAsia"/>
        </w:rPr>
        <w:t xml:space="preserve"> tag is lost given the other tag status is </w:t>
      </w:r>
      <w:r w:rsidRPr="00003EEB">
        <w:rPr>
          <w:rFonts w:eastAsiaTheme="minorEastAsia"/>
          <w:i/>
        </w:rPr>
        <w:t>s</w:t>
      </w:r>
      <w:r w:rsidRPr="00003EEB">
        <w:rPr>
          <w:rFonts w:eastAsiaTheme="minorEastAsia"/>
          <w:i/>
          <w:vertAlign w:val="subscript"/>
        </w:rPr>
        <w:t>3-i</w:t>
      </w:r>
      <w:r>
        <w:rPr>
          <w:rFonts w:eastAsiaTheme="minorEastAsia"/>
        </w:rPr>
        <w:t>:</w:t>
      </w:r>
    </w:p>
    <w:p w:rsidR="00F7475C" w:rsidRDefault="00A70CD0" w:rsidP="008C01CD">
      <w:pPr>
        <w:spacing w:line="48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3-i</m:t>
                  </m:r>
                </m:sub>
              </m:sSub>
            </m:sup>
          </m:sSubSup>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3-i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∙(1-s</m:t>
                      </m:r>
                    </m:e>
                    <m:sub>
                      <m:r>
                        <w:rPr>
                          <w:rFonts w:ascii="Cambria Math" w:hAnsi="Cambria Math"/>
                        </w:rPr>
                        <m:t>3-i</m:t>
                      </m:r>
                    </m:sub>
                  </m:sSub>
                  <m:r>
                    <w:rPr>
                      <w:rFonts w:ascii="Cambria Math" w:hAnsi="Cambria Math"/>
                    </w:rPr>
                    <m:t>)</m:t>
                  </m:r>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∙(1-s</m:t>
                      </m:r>
                    </m:e>
                    <m:sub>
                      <m:r>
                        <w:rPr>
                          <w:rFonts w:ascii="Cambria Math" w:hAnsi="Cambria Math"/>
                        </w:rPr>
                        <m:t>3-i</m:t>
                      </m:r>
                    </m:sub>
                  </m:sSub>
                  <m:r>
                    <w:rPr>
                      <w:rFonts w:ascii="Cambria Math" w:hAnsi="Cambria Math"/>
                    </w:rPr>
                    <m:t>)</m:t>
                  </m:r>
                </m:sup>
              </m:sSup>
            </m:den>
          </m:f>
          <m:r>
            <w:rPr>
              <w:rFonts w:ascii="Cambria Math" w:hAnsi="Cambria Math"/>
            </w:rPr>
            <m:t xml:space="preserve">  .</m:t>
          </m:r>
        </m:oMath>
      </m:oMathPara>
    </w:p>
    <w:p w:rsidR="00F7475C" w:rsidRDefault="00F7475C" w:rsidP="008C01CD">
      <w:pPr>
        <w:spacing w:line="480" w:lineRule="auto"/>
        <w:rPr>
          <w:rFonts w:eastAsiaTheme="minorEastAsia"/>
        </w:rPr>
      </w:pPr>
      <w:r>
        <w:t xml:space="preserve">Thus,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0</m:t>
            </m:r>
          </m:sup>
        </m:sSubSup>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3-i</m:t>
                </m:r>
              </m:sub>
            </m:sSub>
            <m:r>
              <w:rPr>
                <w:rFonts w:ascii="Cambria Math" w:hAnsi="Cambria Math"/>
              </w:rPr>
              <m:t>=0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+α</m:t>
                </m:r>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+α</m:t>
                </m:r>
              </m:sup>
            </m:sSup>
          </m:den>
        </m:f>
      </m:oMath>
      <w:r>
        <w:rPr>
          <w:rFonts w:eastAsiaTheme="minorEastAsia"/>
        </w:rPr>
        <w:t xml:space="preserve"> whereas</w:t>
      </w:r>
      <w:proofErr w:type="gramStart"/>
      <w:r>
        <w:rPr>
          <w:rFonts w:eastAsiaTheme="minorEastAsia"/>
        </w:rPr>
        <w:t xml:space="preserve">, </w:t>
      </w:r>
      <m:oMath>
        <w:proofErr w:type="gramEn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1</m:t>
            </m:r>
          </m:sup>
        </m:sSubSup>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3-i</m:t>
                </m:r>
              </m:sub>
            </m:sSub>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den>
        </m:f>
      </m:oMath>
      <w:r>
        <w:rPr>
          <w:rFonts w:eastAsiaTheme="minorEastAsia"/>
        </w:rPr>
        <w:t xml:space="preserve">.  The conditional probability of tag retention is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0</m:t>
            </m:r>
          </m:sup>
        </m:sSubSup>
        <m:r>
          <w:rPr>
            <w:rFonts w:ascii="Cambria Math" w:hAnsi="Cambria Math"/>
          </w:rPr>
          <m:t>=1-</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0</m:t>
            </m:r>
          </m:sup>
        </m:sSubSup>
      </m:oMath>
      <w:r>
        <w:rPr>
          <w:rFonts w:eastAsiaTheme="minorEastAsia"/>
        </w:rPr>
        <w:t xml:space="preserve"> and</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1</m:t>
            </m:r>
          </m:sup>
        </m:sSubSup>
        <m:r>
          <w:rPr>
            <w:rFonts w:ascii="Cambria Math" w:hAnsi="Cambria Math"/>
          </w:rPr>
          <m:t>=1-</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m:t>
        </m:r>
      </m:oMath>
      <w:r>
        <w:rPr>
          <w:rFonts w:eastAsiaTheme="minorEastAsia"/>
        </w:rPr>
        <w:t xml:space="preserve">  </w:t>
      </w:r>
      <w:proofErr w:type="gramStart"/>
      <w:r>
        <w:rPr>
          <w:rFonts w:eastAsiaTheme="minorEastAsia"/>
        </w:rPr>
        <w:t>Each</w:t>
      </w:r>
      <w:proofErr w:type="gramEnd"/>
      <w:r>
        <w:rPr>
          <w:rFonts w:eastAsiaTheme="minorEastAsia"/>
        </w:rPr>
        <w:t xml:space="preserve"> joint probability can be specified by the product of a marginal and a conditional probability: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1</m:t>
            </m:r>
          </m:sup>
        </m:sSub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1</m:t>
            </m:r>
          </m:sup>
        </m:sSub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10</m:t>
            </m:r>
          </m:sub>
        </m:sSub>
        <m:r>
          <w:rPr>
            <w:rFonts w:ascii="Cambria Math" w:eastAsiaTheme="minorEastAsia" w:hAnsi="Cambria Math"/>
          </w:rPr>
          <m:t>=</m:t>
        </m:r>
        <w:bookmarkStart w:id="0" w:name="OLE_LINK1"/>
        <w:bookmarkStart w:id="1" w:name="OLE_LINK2"/>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w:bookmarkEnd w:id="0"/>
        <w:bookmarkEnd w:id="1"/>
      </m:oMath>
      <w:r>
        <w:rPr>
          <w:rFonts w:eastAsiaTheme="minorEastAsia"/>
        </w:rPr>
        <w:t xml:space="preserve"> and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m:t>
        </m:r>
      </m:oMath>
    </w:p>
    <w:p w:rsidR="00F7475C" w:rsidRPr="00856B13" w:rsidRDefault="00F7475C" w:rsidP="008C01CD">
      <w:pPr>
        <w:spacing w:line="480" w:lineRule="auto"/>
        <w:ind w:firstLine="720"/>
      </w:pPr>
      <w:proofErr w:type="spellStart"/>
      <w:r>
        <w:rPr>
          <w:rFonts w:eastAsiaTheme="minorEastAsia"/>
        </w:rPr>
        <w:t>Diefenbach</w:t>
      </w:r>
      <w:proofErr w:type="spellEnd"/>
      <w:r>
        <w:rPr>
          <w:rFonts w:eastAsiaTheme="minorEastAsia"/>
        </w:rPr>
        <w:t xml:space="preserve"> et al (1998) and </w:t>
      </w:r>
      <w:proofErr w:type="spellStart"/>
      <w:r>
        <w:rPr>
          <w:rFonts w:eastAsiaTheme="minorEastAsia"/>
        </w:rPr>
        <w:t>Rivalan</w:t>
      </w:r>
      <w:proofErr w:type="spellEnd"/>
      <w:r>
        <w:rPr>
          <w:rFonts w:eastAsiaTheme="minorEastAsia"/>
        </w:rPr>
        <w:t xml:space="preserve"> et al. (2005) specified the joint probabilities in Table 3 in a slightly different manner with </w:t>
      </w:r>
      <m:oMath>
        <m:sSub>
          <m:sSubPr>
            <m:ctrlPr>
              <w:rPr>
                <w:rFonts w:ascii="Cambria Math" w:hAnsi="Cambria Math"/>
                <w:i/>
              </w:rPr>
            </m:ctrlPr>
          </m:sSubPr>
          <m:e>
            <m:r>
              <w:rPr>
                <w:rFonts w:ascii="Cambria Math" w:hAnsi="Cambria Math"/>
              </w:rPr>
              <m:t>π</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10</m:t>
            </m:r>
          </m:sub>
        </m:sSub>
        <m:r>
          <w:rPr>
            <w:rFonts w:ascii="Cambria Math" w:hAnsi="Cambria Math"/>
          </w:rPr>
          <m:t>=p(1-</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oMath>
      <w:r>
        <w:rPr>
          <w:rFonts w:eastAsiaTheme="minorEastAsia"/>
        </w:rPr>
        <w:t xml:space="preserve">, </w:t>
      </w:r>
      <m:oMath>
        <m:sSub>
          <m:sSubPr>
            <m:ctrlPr>
              <w:rPr>
                <w:rFonts w:ascii="Cambria Math" w:hAnsi="Cambria Math"/>
                <w:i/>
              </w:rPr>
            </m:ctrlPr>
          </m:sSubPr>
          <m:e>
            <m:r>
              <w:rPr>
                <w:rFonts w:ascii="Cambria Math" w:hAnsi="Cambria Math"/>
              </w:rPr>
              <m:t>π</m:t>
            </m:r>
          </m:e>
          <m:sub>
            <m:r>
              <w:rPr>
                <w:rFonts w:ascii="Cambria Math" w:hAnsi="Cambria Math"/>
              </w:rPr>
              <m:t>00</m:t>
            </m:r>
          </m:sub>
        </m:sSub>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m:t>
            </m:r>
          </m:sup>
        </m:sSup>
      </m:oMath>
      <w:r>
        <w:rPr>
          <w:rFonts w:eastAsiaTheme="minorEastAsia"/>
        </w:rPr>
        <w:t xml:space="preserve"> and </w:t>
      </w:r>
      <m:oMath>
        <m:sSub>
          <m:sSubPr>
            <m:ctrlPr>
              <w:rPr>
                <w:rFonts w:ascii="Cambria Math" w:hAnsi="Cambria Math"/>
                <w:i/>
              </w:rPr>
            </m:ctrlPr>
          </m:sSubPr>
          <m:e>
            <m:r>
              <w:rPr>
                <w:rFonts w:ascii="Cambria Math" w:hAnsi="Cambria Math"/>
              </w:rPr>
              <m:t>π</m:t>
            </m:r>
          </m:e>
          <m:sub>
            <m:r>
              <w:rPr>
                <w:rFonts w:ascii="Cambria Math" w:hAnsi="Cambria Math"/>
              </w:rPr>
              <m:t>11</m:t>
            </m:r>
          </m:sub>
        </m:sSub>
        <m:r>
          <w:rPr>
            <w:rFonts w:ascii="Cambria Math" w:hAnsi="Cambria Math"/>
          </w:rPr>
          <m:t>=1-2p+p</m:t>
        </m:r>
        <m:sSup>
          <m:sSupPr>
            <m:ctrlPr>
              <w:rPr>
                <w:rFonts w:ascii="Cambria Math" w:hAnsi="Cambria Math"/>
                <w:i/>
              </w:rPr>
            </m:ctrlPr>
          </m:sSupPr>
          <m:e>
            <m:r>
              <w:rPr>
                <w:rFonts w:ascii="Cambria Math" w:hAnsi="Cambria Math"/>
              </w:rPr>
              <m:t>p</m:t>
            </m:r>
          </m:e>
          <m:sup>
            <m:r>
              <w:rPr>
                <w:rFonts w:ascii="Cambria Math" w:hAnsi="Cambria Math"/>
              </w:rPr>
              <m:t>*</m:t>
            </m:r>
          </m:sup>
        </m:sSup>
      </m:oMath>
      <w:r>
        <w:rPr>
          <w:rFonts w:eastAsiaTheme="minorEastAsia"/>
        </w:rPr>
        <w:t xml:space="preserve">, where p is the marginal tag loss probability and </w:t>
      </w:r>
      <w:r w:rsidRPr="00856B13">
        <w:rPr>
          <w:rFonts w:eastAsiaTheme="minorEastAsia"/>
          <w:i/>
        </w:rPr>
        <w:t>p*</w:t>
      </w:r>
      <w:r>
        <w:rPr>
          <w:rFonts w:eastAsiaTheme="minorEastAsia"/>
        </w:rPr>
        <w:t xml:space="preserve"> is the conditional probability of losing a tag given the other tag was absent.  Although not stated, their conditional probability of losing a tag given the presence of the </w:t>
      </w:r>
      <w:r>
        <w:rPr>
          <w:rFonts w:eastAsiaTheme="minorEastAsia"/>
        </w:rPr>
        <w:lastRenderedPageBreak/>
        <w:t xml:space="preserve">other tag would </w:t>
      </w:r>
      <w:proofErr w:type="gramStart"/>
      <w:r>
        <w:rPr>
          <w:rFonts w:eastAsiaTheme="minorEastAsia"/>
        </w:rPr>
        <w:t xml:space="preserve">be </w:t>
      </w:r>
      <m:oMath>
        <w:proofErr w:type="gramEnd"/>
        <m:f>
          <m:fPr>
            <m:type m:val="lin"/>
            <m:ctrlPr>
              <w:rPr>
                <w:rFonts w:ascii="Cambria Math" w:eastAsiaTheme="minorEastAsia" w:hAnsi="Cambria Math"/>
                <w:i/>
              </w:rPr>
            </m:ctrlPr>
          </m:fPr>
          <m:num>
            <m:r>
              <w:rPr>
                <w:rFonts w:ascii="Cambria Math" w:eastAsiaTheme="minorEastAsia" w:hAnsi="Cambria Math"/>
              </w:rPr>
              <m:t>p(1-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num>
          <m:den>
            <m:r>
              <w:rPr>
                <w:rFonts w:ascii="Cambria Math" w:eastAsiaTheme="minorEastAsia" w:hAnsi="Cambria Math"/>
              </w:rPr>
              <m:t>(1-p)</m:t>
            </m:r>
          </m:den>
        </m:f>
      </m:oMath>
      <w:r>
        <w:rPr>
          <w:rFonts w:eastAsiaTheme="minorEastAsia"/>
        </w:rPr>
        <w:t xml:space="preserve">.  In both papers the authors used separate functional forms for </w:t>
      </w:r>
      <w:r w:rsidRPr="0062123B">
        <w:rPr>
          <w:rFonts w:eastAsiaTheme="minorEastAsia"/>
          <w:i/>
        </w:rPr>
        <w:t>p</w:t>
      </w:r>
      <w:r>
        <w:rPr>
          <w:rFonts w:eastAsiaTheme="minorEastAsia"/>
        </w:rPr>
        <w:t xml:space="preserve"> and </w:t>
      </w:r>
      <w:r w:rsidRPr="0062123B">
        <w:rPr>
          <w:rFonts w:eastAsiaTheme="minorEastAsia"/>
          <w:i/>
        </w:rPr>
        <w:t>p*</w:t>
      </w:r>
      <w:r>
        <w:rPr>
          <w:rFonts w:eastAsiaTheme="minorEastAsia"/>
        </w:rPr>
        <w:t xml:space="preserve"> and specified the independence model by using the same model for both (</w:t>
      </w:r>
      <w:r w:rsidRPr="0062123B">
        <w:rPr>
          <w:rFonts w:eastAsiaTheme="minorEastAsia"/>
          <w:i/>
        </w:rPr>
        <w:t>p</w:t>
      </w:r>
      <w:r>
        <w:rPr>
          <w:rFonts w:eastAsiaTheme="minorEastAsia"/>
        </w:rPr>
        <w:t>=</w:t>
      </w:r>
      <w:r w:rsidRPr="0062123B">
        <w:rPr>
          <w:rFonts w:eastAsiaTheme="minorEastAsia"/>
          <w:i/>
        </w:rPr>
        <w:t>p*</w:t>
      </w:r>
      <w:r>
        <w:rPr>
          <w:rFonts w:eastAsiaTheme="minorEastAsia"/>
        </w:rPr>
        <w:t>).  Their approach is viable but we be</w:t>
      </w:r>
      <w:r w:rsidR="00DC5051">
        <w:rPr>
          <w:rFonts w:eastAsiaTheme="minorEastAsia"/>
        </w:rPr>
        <w:t>lieve it is preferable to have a model</w:t>
      </w:r>
      <w:r>
        <w:rPr>
          <w:rFonts w:eastAsiaTheme="minorEastAsia"/>
        </w:rPr>
        <w:t xml:space="preserve"> with a parameter that controls dependence and with independence specified simply as α=0.  As we show later this enables flexibility in modeling and incorporating dependence.  Our model was </w:t>
      </w:r>
      <w:r w:rsidR="00DC5051">
        <w:rPr>
          <w:rFonts w:eastAsiaTheme="minorEastAsia"/>
        </w:rPr>
        <w:t>motivated by</w:t>
      </w:r>
      <w:r>
        <w:rPr>
          <w:rFonts w:eastAsiaTheme="minorEastAsia"/>
        </w:rPr>
        <w:t xml:space="preserve"> Bradshaw et al. (2000) which used logistic regression and specified dependence in tag loss via interactions and measured effects in terms of odds multipliers.  We note that they also provide a closed form estimator for the model in Table 3 with no covariates and α=0.</w:t>
      </w:r>
    </w:p>
    <w:p w:rsidR="00F7475C" w:rsidRDefault="00F7475C" w:rsidP="008C01CD">
      <w:pPr>
        <w:spacing w:line="480" w:lineRule="auto"/>
      </w:pPr>
      <w:r>
        <w:tab/>
        <w:t>As mentioned previously the probability structure for tag loss is quite similar to capture-recapture (mark-recapture) for two occasions with a closed population which has been used with two observers to measure detection probability in visual surveys.  When detection probability is measured solely with the mark-recapture data, it is necessary to assume independence between the detections by the two observers because those missed by both observers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00</m:t>
            </m:r>
          </m:sub>
        </m:sSub>
      </m:oMath>
      <w:r>
        <w:rPr>
          <w:rFonts w:ascii="Cambria Math" w:hAnsi="Cambria Math"/>
        </w:rPr>
        <w:t xml:space="preserve">) </w:t>
      </w:r>
      <w:r>
        <w:t>are obviously not included in the sample (</w:t>
      </w:r>
      <w:proofErr w:type="spellStart"/>
      <w:r>
        <w:t>Borchers</w:t>
      </w:r>
      <w:proofErr w:type="spellEnd"/>
      <w:r>
        <w:t>, 1999).  Recently, the independence assumption was weakened (</w:t>
      </w:r>
      <w:proofErr w:type="spellStart"/>
      <w:r>
        <w:t>Borchers</w:t>
      </w:r>
      <w:proofErr w:type="spellEnd"/>
      <w:r>
        <w:t xml:space="preserve"> et al., 2006; </w:t>
      </w:r>
      <w:proofErr w:type="spellStart"/>
      <w:r>
        <w:t>Laake</w:t>
      </w:r>
      <w:proofErr w:type="spellEnd"/>
      <w:r>
        <w:t xml:space="preserve">, 1999; </w:t>
      </w:r>
      <w:proofErr w:type="spellStart"/>
      <w:r>
        <w:t>Laake</w:t>
      </w:r>
      <w:proofErr w:type="spellEnd"/>
      <w:r>
        <w:t>, Dawson and Hone, 2008</w:t>
      </w:r>
      <w:proofErr w:type="gramStart"/>
      <w:r>
        <w:t>)(</w:t>
      </w:r>
      <w:proofErr w:type="spellStart"/>
      <w:proofErr w:type="gramEnd"/>
      <w:r>
        <w:t>Laake</w:t>
      </w:r>
      <w:proofErr w:type="spellEnd"/>
      <w:r>
        <w:t xml:space="preserve"> and </w:t>
      </w:r>
      <w:proofErr w:type="spellStart"/>
      <w:r>
        <w:t>Borchers</w:t>
      </w:r>
      <w:proofErr w:type="spellEnd"/>
      <w:r>
        <w:t xml:space="preserve"> 2004) in the combined mark-recapture and distance sampling by including a dependence measure δ(</w:t>
      </w:r>
      <w:r w:rsidRPr="008514F8">
        <w:rPr>
          <w:i/>
        </w:rPr>
        <w:t>x</w:t>
      </w:r>
      <w:r>
        <w:t xml:space="preserve">) which was estimated as the discrepancy between the detection probability at distance </w:t>
      </w:r>
      <w:r w:rsidRPr="008514F8">
        <w:rPr>
          <w:i/>
        </w:rPr>
        <w:t>x</w:t>
      </w:r>
      <w:r>
        <w:t xml:space="preserve"> measured by the mark-recapture (double observer) data (based on independence) and the distance sampling data.  If δ(</w:t>
      </w:r>
      <w:r w:rsidRPr="008514F8">
        <w:rPr>
          <w:i/>
        </w:rPr>
        <w:t>x</w:t>
      </w:r>
      <w:proofErr w:type="gramStart"/>
      <w:r>
        <w:t>)=</w:t>
      </w:r>
      <w:proofErr w:type="gramEnd"/>
      <w:r>
        <w:t xml:space="preserve">1 then independence at all distances is achieved.  Because detection probability at </w:t>
      </w:r>
      <w:r w:rsidRPr="008514F8">
        <w:rPr>
          <w:i/>
        </w:rPr>
        <w:t>x</w:t>
      </w:r>
      <w:r>
        <w:t xml:space="preserve">=0 cannot be measured from the distance sampling data, the independence assumption for the mark-recapture data was required for </w:t>
      </w:r>
      <w:r w:rsidRPr="008514F8">
        <w:rPr>
          <w:i/>
        </w:rPr>
        <w:t>x</w:t>
      </w:r>
      <w:r>
        <w:t>=0 (</w:t>
      </w:r>
      <w:proofErr w:type="gramStart"/>
      <w:r>
        <w:t>δ(</w:t>
      </w:r>
      <w:proofErr w:type="gramEnd"/>
      <w:r>
        <w:rPr>
          <w:i/>
        </w:rPr>
        <w:t>0</w:t>
      </w:r>
      <w:r>
        <w:t xml:space="preserve">)=1) but not for the other distances.  </w:t>
      </w:r>
    </w:p>
    <w:p w:rsidR="00F7475C" w:rsidRDefault="00F7475C" w:rsidP="008C01CD">
      <w:pPr>
        <w:spacing w:line="480" w:lineRule="auto"/>
        <w:ind w:firstLine="720"/>
        <w:rPr>
          <w:rFonts w:eastAsiaTheme="minorEastAsia"/>
        </w:rPr>
      </w:pPr>
      <w:r>
        <w:lastRenderedPageBreak/>
        <w:t xml:space="preserve">The dependence structure we have defined for tag loss can be expressed in terms of the δ dependence of </w:t>
      </w:r>
      <w:proofErr w:type="spellStart"/>
      <w:r>
        <w:t>Borchers</w:t>
      </w:r>
      <w:proofErr w:type="spellEnd"/>
      <w:r>
        <w:t xml:space="preserve"> et al. (2006).  Under the independence model (Table 2 </w:t>
      </w:r>
      <w:proofErr w:type="gramStart"/>
      <w:r>
        <w:t xml:space="preserve">excluding </w:t>
      </w:r>
      <m:oMath>
        <w:proofErr w:type="gramEn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00</m:t>
            </m:r>
          </m:sub>
        </m:sSub>
      </m:oMath>
      <w:r>
        <w:rPr>
          <w:rFonts w:ascii="Cambria Math" w:hAnsi="Cambria Math"/>
        </w:rPr>
        <w:t xml:space="preserve">), </w:t>
      </w:r>
      <w:r>
        <w:t>the</w:t>
      </w:r>
      <w:r>
        <w:rPr>
          <w:rFonts w:eastAsiaTheme="minorEastAsia"/>
        </w:rPr>
        <w:t xml:space="preserve"> probability that an animal would retain at least one tag is:</w:t>
      </w:r>
    </w:p>
    <w:p w:rsidR="00F7475C" w:rsidRDefault="00F7475C" w:rsidP="008C01CD">
      <w:pPr>
        <w:spacing w:line="480" w:lineRule="auto"/>
        <w:rPr>
          <w:rFonts w:eastAsiaTheme="minorEastAsia"/>
        </w:rPr>
      </w:pPr>
      <m:oMathPara>
        <m:oMath>
          <m:r>
            <w:rPr>
              <w:rFonts w:ascii="Cambria Math" w:hAnsi="Cambria Math"/>
            </w:rPr>
            <m:t>1-</m:t>
          </m:r>
          <m:sSubSup>
            <m:sSubSupPr>
              <m:ctrlPr>
                <w:rPr>
                  <w:rFonts w:ascii="Cambria Math" w:hAnsi="Cambria Math"/>
                  <w:i/>
                </w:rPr>
              </m:ctrlPr>
            </m:sSubSupPr>
            <m:e>
              <m:r>
                <w:rPr>
                  <w:rFonts w:ascii="Cambria Math" w:hAnsi="Cambria Math"/>
                </w:rPr>
                <m:t>π</m:t>
              </m:r>
            </m:e>
            <m:sub>
              <m:r>
                <w:rPr>
                  <w:rFonts w:ascii="Cambria Math" w:hAnsi="Cambria Math"/>
                </w:rPr>
                <m:t>00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2</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up>
              </m:sSup>
            </m:den>
          </m:f>
        </m:oMath>
      </m:oMathPara>
    </w:p>
    <w:p w:rsidR="00F7475C" w:rsidRDefault="00F7475C" w:rsidP="008C01CD">
      <w:pPr>
        <w:spacing w:line="480" w:lineRule="auto"/>
        <w:rPr>
          <w:rFonts w:eastAsiaTheme="minorEastAsia"/>
        </w:rPr>
      </w:pPr>
      <w:r>
        <w:rPr>
          <w:rFonts w:eastAsiaTheme="minorEastAsia"/>
        </w:rPr>
        <w:t>Likewise for the dependence model (Table 3):</w:t>
      </w:r>
    </w:p>
    <w:p w:rsidR="00F7475C" w:rsidRPr="004123D4" w:rsidRDefault="00F7475C" w:rsidP="008C01CD">
      <w:pPr>
        <w:spacing w:line="480" w:lineRule="auto"/>
        <w:rPr>
          <w:rFonts w:eastAsiaTheme="minorEastAsia"/>
        </w:rPr>
      </w:pPr>
      <m:oMathPara>
        <m:oMath>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00</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2</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+α</m:t>
                  </m:r>
                </m:sup>
              </m:sSup>
            </m:den>
          </m:f>
          <m:r>
            <w:rPr>
              <w:rFonts w:ascii="Cambria Math" w:hAnsi="Cambria Math"/>
            </w:rPr>
            <m:t>.</m:t>
          </m:r>
        </m:oMath>
      </m:oMathPara>
    </w:p>
    <w:p w:rsidR="00F7475C" w:rsidRDefault="00F7475C" w:rsidP="008C01CD">
      <w:pPr>
        <w:spacing w:line="480" w:lineRule="auto"/>
        <w:rPr>
          <w:rFonts w:eastAsiaTheme="minorEastAsia"/>
        </w:rPr>
      </w:pPr>
      <w:r>
        <w:rPr>
          <w:rFonts w:eastAsiaTheme="minorEastAsia"/>
        </w:rPr>
        <w:t xml:space="preserve">The dependence of </w:t>
      </w:r>
      <w:proofErr w:type="spellStart"/>
      <w:r>
        <w:rPr>
          <w:rFonts w:eastAsiaTheme="minorEastAsia"/>
        </w:rPr>
        <w:t>Borchers</w:t>
      </w:r>
      <w:proofErr w:type="spellEnd"/>
      <w:r>
        <w:rPr>
          <w:rFonts w:eastAsiaTheme="minorEastAsia"/>
        </w:rPr>
        <w:t xml:space="preserve"> et al. (2006) is a ratio that measures the distortion between the joint probabilities from the independence model (Table 2) and the dependence model (Table 3) which can be expressed as:</w:t>
      </w:r>
    </w:p>
    <w:p w:rsidR="00F7475C" w:rsidRDefault="00F7475C" w:rsidP="008C01CD">
      <w:pPr>
        <w:spacing w:line="480" w:lineRule="auto"/>
        <w:rPr>
          <w:rFonts w:eastAsiaTheme="minorEastAsia"/>
        </w:rPr>
      </w:pPr>
      <m:oMathPara>
        <m:oMath>
          <m:r>
            <w:rPr>
              <w:rFonts w:ascii="Cambria Math" w:hAnsi="Cambria Math"/>
            </w:rPr>
            <m:t>δ=</m:t>
          </m:r>
          <m:f>
            <m:fPr>
              <m:ctrlPr>
                <w:rPr>
                  <w:rFonts w:ascii="Cambria Math" w:hAnsi="Cambria Math"/>
                  <w:i/>
                </w:rPr>
              </m:ctrlPr>
            </m:fPr>
            <m:num>
              <m:r>
                <w:rPr>
                  <w:rFonts w:ascii="Cambria Math" w:hAnsi="Cambria Math"/>
                </w:rPr>
                <m:t>1-</m:t>
              </m:r>
              <m:sSubSup>
                <m:sSubSupPr>
                  <m:ctrlPr>
                    <w:rPr>
                      <w:rFonts w:ascii="Cambria Math" w:hAnsi="Cambria Math"/>
                      <w:i/>
                    </w:rPr>
                  </m:ctrlPr>
                </m:sSubSupPr>
                <m:e>
                  <m:r>
                    <w:rPr>
                      <w:rFonts w:ascii="Cambria Math" w:hAnsi="Cambria Math"/>
                    </w:rPr>
                    <m:t>π</m:t>
                  </m:r>
                </m:e>
                <m:sub>
                  <m:r>
                    <w:rPr>
                      <w:rFonts w:ascii="Cambria Math" w:hAnsi="Cambria Math"/>
                    </w:rPr>
                    <m:t>00</m:t>
                  </m:r>
                </m:sub>
                <m:sup>
                  <m:r>
                    <w:rPr>
                      <w:rFonts w:ascii="Cambria Math" w:hAnsi="Cambria Math"/>
                    </w:rPr>
                    <m:t>*</m:t>
                  </m:r>
                </m:sup>
              </m:sSubSup>
            </m:num>
            <m:den>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00</m:t>
                  </m:r>
                </m:sub>
              </m:sSub>
            </m:den>
          </m:f>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sup>
              </m:sSup>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2</m:t>
                      </m:r>
                    </m:sub>
                  </m:sSub>
                </m:sup>
              </m:sSup>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m:t>
              </m:r>
            </m:sup>
          </m:sSup>
          <m:r>
            <w:rPr>
              <w:rFonts w:ascii="Cambria Math" w:hAnsi="Cambria Math"/>
            </w:rPr>
            <m:t>-1)</m:t>
          </m:r>
          <m:sSubSup>
            <m:sSubSupPr>
              <m:ctrlPr>
                <w:rPr>
                  <w:rFonts w:ascii="Cambria Math" w:hAnsi="Cambria Math"/>
                  <w:i/>
                </w:rPr>
              </m:ctrlPr>
            </m:sSubSupPr>
            <m:e>
              <m:r>
                <w:rPr>
                  <w:rFonts w:ascii="Cambria Math" w:hAnsi="Cambria Math"/>
                </w:rPr>
                <m:t>π</m:t>
              </m:r>
            </m:e>
            <m:sub>
              <m:r>
                <w:rPr>
                  <w:rFonts w:ascii="Cambria Math" w:hAnsi="Cambria Math"/>
                </w:rPr>
                <m:t>00</m:t>
              </m:r>
            </m:sub>
            <m:sup>
              <m:r>
                <w:rPr>
                  <w:rFonts w:ascii="Cambria Math" w:hAnsi="Cambria Math"/>
                </w:rPr>
                <m:t>*</m:t>
              </m:r>
            </m:sup>
          </m:sSubSup>
        </m:oMath>
      </m:oMathPara>
    </w:p>
    <w:p w:rsidR="008C01CD" w:rsidRDefault="00F7475C" w:rsidP="008C01CD">
      <w:pPr>
        <w:spacing w:line="480" w:lineRule="auto"/>
        <w:rPr>
          <w:rFonts w:eastAsiaTheme="minorEastAsia"/>
        </w:rPr>
      </w:pPr>
      <w:r>
        <w:rPr>
          <w:rFonts w:eastAsiaTheme="minorEastAsia"/>
        </w:rPr>
        <w:t xml:space="preserve">The same relationship is obtained from </w:t>
      </w:r>
      <m:oMath>
        <m:r>
          <w:rPr>
            <w:rFonts w:ascii="Cambria Math" w:eastAsiaTheme="minorEastAsia" w:hAnsi="Cambria Math"/>
          </w:rPr>
          <m:t>δ=</m:t>
        </m:r>
        <m:f>
          <m:fPr>
            <m:type m:val="lin"/>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1</m:t>
                </m:r>
              </m:sup>
            </m:sSubSup>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en>
        </m:f>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r>
          <w:rPr>
            <w:rFonts w:ascii="Cambria Math" w:hAnsi="Cambria Math"/>
          </w:rPr>
          <m:t xml:space="preserve"> </m:t>
        </m:r>
      </m:oMath>
      <w:r>
        <w:rPr>
          <w:rFonts w:eastAsiaTheme="minorEastAsia"/>
        </w:rPr>
        <w:t>and from the ratio of any of the joint probabilities other than for the (0</w:t>
      </w:r>
      <w:proofErr w:type="gramStart"/>
      <w:r>
        <w:rPr>
          <w:rFonts w:eastAsiaTheme="minorEastAsia"/>
        </w:rPr>
        <w:t>,0</w:t>
      </w:r>
      <w:proofErr w:type="gramEnd"/>
      <w:r>
        <w:rPr>
          <w:rFonts w:eastAsiaTheme="minorEastAsia"/>
        </w:rPr>
        <w:t>) event which is not u</w:t>
      </w:r>
      <w:r w:rsidR="008C01CD">
        <w:rPr>
          <w:rFonts w:eastAsiaTheme="minorEastAsia"/>
        </w:rPr>
        <w:t>sed in the independence model.  The dependence measure can also be expressed in terms of covariance (</w:t>
      </w:r>
      <w:proofErr w:type="spellStart"/>
      <w:r w:rsidR="008C01CD">
        <w:rPr>
          <w:rFonts w:eastAsiaTheme="minorEastAsia"/>
        </w:rPr>
        <w:t>Borchers</w:t>
      </w:r>
      <w:proofErr w:type="spellEnd"/>
      <w:r w:rsidR="008C01CD">
        <w:rPr>
          <w:rFonts w:eastAsiaTheme="minorEastAsia"/>
        </w:rPr>
        <w:t xml:space="preserve"> 1999) which in this case can be expressed as:</w:t>
      </w:r>
    </w:p>
    <w:p w:rsidR="008C01CD" w:rsidRDefault="008C01CD" w:rsidP="008C01CD">
      <w:pPr>
        <w:spacing w:line="480" w:lineRule="auto"/>
        <w:rPr>
          <w:rFonts w:eastAsiaTheme="minorEastAsia"/>
        </w:rPr>
      </w:pPr>
      <m:oMathPara>
        <m:oMath>
          <m:r>
            <w:rPr>
              <w:rFonts w:ascii="Cambria Math" w:hAnsi="Cambria Math"/>
            </w:rPr>
            <m:t>δ=1+</m:t>
          </m:r>
          <m:f>
            <m:fPr>
              <m:ctrlPr>
                <w:rPr>
                  <w:rFonts w:ascii="Cambria Math" w:hAnsi="Cambria Math"/>
                  <w:i/>
                </w:rPr>
              </m:ctrlPr>
            </m:fPr>
            <m:num>
              <m:r>
                <m:rPr>
                  <m:nor/>
                </m:rPr>
                <w:rPr>
                  <w:rFonts w:ascii="Cambria Math" w:hAnsi="Cambria Math"/>
                </w:rPr>
                <m:t>cov</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=1+</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K</m:t>
                  </m:r>
                </m:den>
              </m:f>
            </m:num>
            <m:den>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m:t>
              </m:r>
            </m:sup>
          </m:sSup>
          <m:r>
            <w:rPr>
              <w:rFonts w:ascii="Cambria Math" w:hAnsi="Cambria Math"/>
            </w:rPr>
            <m:t>-1)</m:t>
          </m:r>
          <m:sSubSup>
            <m:sSubSupPr>
              <m:ctrlPr>
                <w:rPr>
                  <w:rFonts w:ascii="Cambria Math" w:hAnsi="Cambria Math"/>
                  <w:i/>
                </w:rPr>
              </m:ctrlPr>
            </m:sSubSupPr>
            <m:e>
              <m:r>
                <w:rPr>
                  <w:rFonts w:ascii="Cambria Math" w:hAnsi="Cambria Math"/>
                </w:rPr>
                <m:t>π</m:t>
              </m:r>
            </m:e>
            <m:sub>
              <m:r>
                <w:rPr>
                  <w:rFonts w:ascii="Cambria Math" w:hAnsi="Cambria Math"/>
                </w:rPr>
                <m:t>00</m:t>
              </m:r>
            </m:sub>
            <m:sup>
              <m:r>
                <w:rPr>
                  <w:rFonts w:ascii="Cambria Math" w:hAnsi="Cambria Math"/>
                </w:rPr>
                <m:t>*</m:t>
              </m:r>
            </m:sup>
          </m:sSubSup>
        </m:oMath>
      </m:oMathPara>
    </w:p>
    <w:p w:rsidR="00F7475C" w:rsidRDefault="00F7475C" w:rsidP="008C01CD">
      <w:pPr>
        <w:spacing w:line="480" w:lineRule="auto"/>
        <w:rPr>
          <w:rFonts w:eastAsiaTheme="minorEastAsia"/>
        </w:rPr>
      </w:pPr>
      <w:r>
        <w:rPr>
          <w:rFonts w:eastAsiaTheme="minorEastAsia"/>
        </w:rPr>
        <w:t>In general there will likely be positive dependence in tag loss which means α&gt;0 and δ&gt;1 but negative dependence (α&lt;0) is possible with a lower bound of δ</w:t>
      </w:r>
      <w:r w:rsidR="00F74CEC">
        <w:rPr>
          <w:rFonts w:eastAsiaTheme="minorEastAsia"/>
        </w:rPr>
        <w:t>&gt;</w:t>
      </w:r>
      <w:r>
        <w:rPr>
          <w:rFonts w:eastAsiaTheme="minorEastAsia"/>
        </w:rPr>
        <w:t>1-</w:t>
      </w:r>
      <m:oMath>
        <m:sSubSup>
          <m:sSubSupPr>
            <m:ctrlPr>
              <w:rPr>
                <w:rFonts w:ascii="Cambria Math" w:hAnsi="Cambria Math"/>
                <w:i/>
              </w:rPr>
            </m:ctrlPr>
          </m:sSubSupPr>
          <m:e>
            <m:r>
              <w:rPr>
                <w:rFonts w:ascii="Cambria Math" w:hAnsi="Cambria Math"/>
              </w:rPr>
              <m:t>π</m:t>
            </m:r>
          </m:e>
          <m:sub>
            <m:r>
              <w:rPr>
                <w:rFonts w:ascii="Cambria Math" w:hAnsi="Cambria Math"/>
              </w:rPr>
              <m:t>00</m:t>
            </m:r>
          </m:sub>
          <m:sup>
            <m:r>
              <w:rPr>
                <w:rFonts w:ascii="Cambria Math" w:hAnsi="Cambria Math"/>
              </w:rPr>
              <m:t>*</m:t>
            </m:r>
          </m:sup>
        </m:sSubSup>
      </m:oMath>
      <w:r>
        <w:rPr>
          <w:rFonts w:eastAsiaTheme="minorEastAsia"/>
        </w:rPr>
        <w:t>.</w:t>
      </w:r>
    </w:p>
    <w:p w:rsidR="00F7475C" w:rsidRDefault="00F7475C" w:rsidP="008C01CD">
      <w:pPr>
        <w:spacing w:line="480" w:lineRule="auto"/>
        <w:rPr>
          <w:rFonts w:eastAsiaTheme="minorEastAsia"/>
        </w:rPr>
      </w:pPr>
      <w:r>
        <w:rPr>
          <w:rFonts w:eastAsiaTheme="minorEastAsia"/>
        </w:rPr>
        <w:lastRenderedPageBreak/>
        <w:tab/>
        <w:t xml:space="preserve">The joint probabilities can be rewritten in terms of δ as: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11</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(1-δ</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1-δ</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oMath>
      <w:r>
        <w:rPr>
          <w:rFonts w:eastAsiaTheme="minorEastAsia"/>
        </w:rPr>
        <w:t xml:space="preserve"> or as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1</m:t>
            </m:r>
          </m:sup>
        </m:sSubSup>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 xml:space="preserve">/δ,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1</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/δ,</m:t>
        </m:r>
      </m:oMath>
      <w:r>
        <w:rPr>
          <w:rFonts w:eastAsiaTheme="minorEastAsia"/>
        </w:rPr>
        <w:t xml:space="preserve"> </w:t>
      </w:r>
      <w:proofErr w:type="gramStart"/>
      <w:r>
        <w:rPr>
          <w:rFonts w:eastAsiaTheme="minorEastAsia"/>
        </w:rPr>
        <w:t xml:space="preserve">and </w:t>
      </w:r>
      <m:oMath>
        <w:proofErr w:type="gramEnd"/>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1</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/δ</m:t>
        </m:r>
      </m:oMath>
      <w:r>
        <w:rPr>
          <w:rFonts w:eastAsiaTheme="minorEastAsia"/>
        </w:rPr>
        <w:t xml:space="preserve">.  The latter form makes it obvious that once you exclude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00</m:t>
            </m:r>
          </m:sub>
        </m:sSub>
      </m:oMath>
      <w:r>
        <w:rPr>
          <w:rFonts w:eastAsiaTheme="minorEastAsia"/>
        </w:rPr>
        <w:t xml:space="preserve"> and condition on the observed data, the δ will cancel </w:t>
      </w:r>
      <w:r w:rsidR="00517564">
        <w:rPr>
          <w:rFonts w:eastAsiaTheme="minorEastAsia"/>
        </w:rPr>
        <w:t xml:space="preserve">from </w:t>
      </w:r>
      <w:r>
        <w:rPr>
          <w:rFonts w:eastAsiaTheme="minorEastAsia"/>
        </w:rPr>
        <w:t xml:space="preserve">the rescaled joint probabilities </w:t>
      </w:r>
      <w:r w:rsidR="00517564">
        <w:rPr>
          <w:rFonts w:eastAsiaTheme="minorEastAsia"/>
        </w:rPr>
        <w:t xml:space="preserve">which </w:t>
      </w:r>
      <w:r>
        <w:rPr>
          <w:rFonts w:eastAsiaTheme="minorEastAsia"/>
        </w:rPr>
        <w:t xml:space="preserve">will </w:t>
      </w:r>
      <w:r w:rsidR="00517564">
        <w:rPr>
          <w:rFonts w:eastAsiaTheme="minorEastAsia"/>
        </w:rPr>
        <w:t xml:space="preserve">only </w:t>
      </w:r>
      <w:r>
        <w:rPr>
          <w:rFonts w:eastAsiaTheme="minorEastAsia"/>
        </w:rPr>
        <w:t xml:space="preserve">be functions of the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1</m:t>
            </m:r>
          </m:sup>
        </m:sSubSup>
      </m:oMath>
      <w:r>
        <w:rPr>
          <w:rFonts w:eastAsiaTheme="minorEastAsia"/>
        </w:rPr>
        <w:t>.  This is also obvious by examining Table 3 and noting that the joint probabilities for the observed set of data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01</m:t>
            </m:r>
          </m:sub>
        </m:sSub>
        <m:r>
          <w:rPr>
            <w:rFonts w:ascii="Cambria Math" w:eastAsiaTheme="minorEastAsia" w:hAnsi="Cambria Math"/>
          </w:rPr>
          <m:t>)</m:t>
        </m:r>
      </m:oMath>
      <w:r>
        <w:rPr>
          <w:rFonts w:eastAsiaTheme="minorEastAsia"/>
        </w:rPr>
        <w:t xml:space="preserve"> would only be functions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oMath>
      <w:r>
        <w:rPr>
          <w:rFonts w:eastAsiaTheme="minorEastAsia"/>
        </w:rPr>
        <w:t xml:space="preserve"> after conditioning on the exclusion </w:t>
      </w:r>
      <w:proofErr w:type="gramStart"/>
      <w:r>
        <w:rPr>
          <w:rFonts w:eastAsiaTheme="minorEastAsia"/>
        </w:rPr>
        <w:t xml:space="preserve">of </w:t>
      </w:r>
      <m:oMath>
        <w:proofErr w:type="gramEn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00</m:t>
            </m:r>
          </m:sub>
        </m:sSub>
      </m:oMath>
      <w:r>
        <w:rPr>
          <w:rFonts w:eastAsiaTheme="minorEastAsia"/>
        </w:rPr>
        <w:t xml:space="preserve">.  The same result was shown by </w:t>
      </w:r>
      <w:proofErr w:type="spellStart"/>
      <w:r>
        <w:rPr>
          <w:rFonts w:eastAsiaTheme="minorEastAsia"/>
        </w:rPr>
        <w:t>Borchers</w:t>
      </w:r>
      <w:proofErr w:type="spellEnd"/>
      <w:r>
        <w:rPr>
          <w:rFonts w:eastAsiaTheme="minorEastAsia"/>
        </w:rPr>
        <w:t xml:space="preserve"> et al. (2006) for mark-recapture distance sampling (</w:t>
      </w:r>
      <w:proofErr w:type="spellStart"/>
      <w:r>
        <w:rPr>
          <w:rFonts w:eastAsiaTheme="minorEastAsia"/>
        </w:rPr>
        <w:t>mrds</w:t>
      </w:r>
      <w:proofErr w:type="spellEnd"/>
      <w:r>
        <w:rPr>
          <w:rFonts w:eastAsiaTheme="minorEastAsia"/>
        </w:rPr>
        <w:t xml:space="preserve">) but </w:t>
      </w:r>
      <w:r w:rsidR="001C37CF">
        <w:rPr>
          <w:rFonts w:eastAsiaTheme="minorEastAsia"/>
        </w:rPr>
        <w:t xml:space="preserve">in that case </w:t>
      </w:r>
      <w:r>
        <w:rPr>
          <w:rFonts w:eastAsiaTheme="minorEastAsia"/>
        </w:rPr>
        <w:t xml:space="preserve">δ could be estimated from the observed distances.  For tag loss estimation, there is no equivalent ancillary data; however, there are various ways that dependence can be incorporated to improve tag loss estimation.  </w:t>
      </w:r>
    </w:p>
    <w:p w:rsidR="00F7475C" w:rsidRDefault="00F7475C" w:rsidP="008C01CD">
      <w:pPr>
        <w:spacing w:line="480" w:lineRule="auto"/>
        <w:rPr>
          <w:rFonts w:eastAsiaTheme="minorEastAsia"/>
        </w:rPr>
      </w:pPr>
      <w:r>
        <w:rPr>
          <w:rFonts w:eastAsiaTheme="minorEastAsia"/>
        </w:rPr>
        <w:tab/>
        <w:t>The most obvious and best way to incorporate dependence is to mark a subset of the animals w</w:t>
      </w:r>
      <w:r w:rsidR="006C53B3">
        <w:rPr>
          <w:rFonts w:eastAsiaTheme="minorEastAsia"/>
        </w:rPr>
        <w:t>ith a permanent mark so for a</w:t>
      </w:r>
      <w:r>
        <w:rPr>
          <w:rFonts w:eastAsiaTheme="minorEastAsia"/>
        </w:rPr>
        <w:t xml:space="preserve"> subset of the data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00</m:t>
            </m:r>
          </m:sub>
        </m:sSub>
      </m:oMath>
      <w:r>
        <w:rPr>
          <w:rFonts w:eastAsiaTheme="minorEastAsia"/>
        </w:rPr>
        <w:t xml:space="preserve"> is observable.  For example, all captured black bears in Pennsylvania were given 2 ear tags but some of the bears were also given a permanent unique lip tattoo (</w:t>
      </w:r>
      <w:proofErr w:type="spellStart"/>
      <w:r>
        <w:rPr>
          <w:rFonts w:eastAsiaTheme="minorEastAsia"/>
        </w:rPr>
        <w:t>Diefenbach</w:t>
      </w:r>
      <w:proofErr w:type="spellEnd"/>
      <w:r>
        <w:rPr>
          <w:rFonts w:eastAsiaTheme="minorEastAsia"/>
        </w:rPr>
        <w:t xml:space="preserve"> et al. 1998) which could be used to identify bears that had lost both ear tags.  The likelihood for the tagged only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01</m:t>
            </m:r>
          </m:sub>
        </m:sSub>
        <m:r>
          <w:rPr>
            <w:rFonts w:ascii="Cambria Math" w:eastAsiaTheme="minorEastAsia" w:hAnsi="Cambria Math"/>
          </w:rPr>
          <m:t>)</m:t>
        </m:r>
      </m:oMath>
      <w:r>
        <w:rPr>
          <w:rFonts w:eastAsiaTheme="minorEastAsia"/>
        </w:rPr>
        <w:t xml:space="preserve"> would be:</w:t>
      </w:r>
    </w:p>
    <w:p w:rsidR="00F7475C" w:rsidRDefault="00F7475C" w:rsidP="008C01CD">
      <w:pPr>
        <w:spacing w:line="480" w:lineRule="auto"/>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11</m:t>
                  </m:r>
                </m:sub>
              </m:sSub>
            </m:e>
          </m:d>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ω=11,01,10</m:t>
              </m:r>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ω</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00</m:t>
                              </m:r>
                            </m:sub>
                          </m:sSub>
                        </m:den>
                      </m:f>
                    </m:e>
                  </m:d>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ω</m:t>
                      </m:r>
                    </m:sub>
                  </m:sSub>
                </m:sup>
              </m:sSup>
            </m:e>
          </m:nary>
        </m:oMath>
      </m:oMathPara>
    </w:p>
    <w:p w:rsidR="00F7475C" w:rsidRDefault="00F7475C" w:rsidP="008C01CD">
      <w:pPr>
        <w:spacing w:line="480" w:lineRule="auto"/>
        <w:rPr>
          <w:rFonts w:eastAsiaTheme="minorEastAsia"/>
        </w:rPr>
      </w:pPr>
      <w:proofErr w:type="gramStart"/>
      <w:r>
        <w:rPr>
          <w:rFonts w:eastAsiaTheme="minorEastAsia"/>
        </w:rPr>
        <w:t>and</w:t>
      </w:r>
      <w:proofErr w:type="gramEnd"/>
      <w:r>
        <w:rPr>
          <w:rFonts w:eastAsiaTheme="minorEastAsia"/>
        </w:rPr>
        <w:t xml:space="preserve"> for the tagged and marked: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11</m:t>
            </m:r>
          </m:sub>
          <m:sup>
            <m:r>
              <w:rPr>
                <w:rFonts w:ascii="Cambria Math" w:eastAsiaTheme="minorEastAsia" w:hAnsi="Cambria Math"/>
              </w:rPr>
              <m:t>m</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01</m:t>
            </m:r>
          </m:sub>
          <m:sup>
            <m:r>
              <w:rPr>
                <w:rFonts w:ascii="Cambria Math" w:eastAsiaTheme="minorEastAsia" w:hAnsi="Cambria Math"/>
              </w:rPr>
              <m:t>m</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10</m:t>
            </m:r>
          </m:sub>
          <m:sup>
            <m:r>
              <w:rPr>
                <w:rFonts w:ascii="Cambria Math" w:eastAsiaTheme="minorEastAsia" w:hAnsi="Cambria Math"/>
              </w:rPr>
              <m:t>m</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00</m:t>
            </m:r>
          </m:sub>
          <m:sup>
            <m:r>
              <w:rPr>
                <w:rFonts w:ascii="Cambria Math" w:eastAsiaTheme="minorEastAsia" w:hAnsi="Cambria Math"/>
              </w:rPr>
              <m:t>m</m:t>
            </m:r>
          </m:sup>
        </m:sSubSup>
        <m:r>
          <w:rPr>
            <w:rFonts w:ascii="Cambria Math" w:eastAsiaTheme="minorEastAsia" w:hAnsi="Cambria Math"/>
          </w:rPr>
          <m:t>)</m:t>
        </m:r>
      </m:oMath>
      <w:r>
        <w:rPr>
          <w:rFonts w:eastAsiaTheme="minorEastAsia"/>
        </w:rPr>
        <w:t xml:space="preserve">: </w:t>
      </w:r>
    </w:p>
    <w:p w:rsidR="00F7475C" w:rsidRPr="005A052C" w:rsidRDefault="00F7475C" w:rsidP="008C01CD">
      <w:pPr>
        <w:spacing w:line="480" w:lineRule="auto"/>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,α</m:t>
              </m:r>
            </m:e>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11</m:t>
                  </m:r>
                </m:sub>
                <m:sup>
                  <m:r>
                    <w:rPr>
                      <w:rFonts w:ascii="Cambria Math" w:eastAsiaTheme="minorEastAsia" w:hAnsi="Cambria Math"/>
                    </w:rPr>
                    <m:t>m</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10</m:t>
                  </m:r>
                </m:sub>
                <m:sup>
                  <m:r>
                    <w:rPr>
                      <w:rFonts w:ascii="Cambria Math" w:eastAsiaTheme="minorEastAsia" w:hAnsi="Cambria Math"/>
                    </w:rPr>
                    <m:t>m</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01</m:t>
                  </m:r>
                </m:sub>
                <m:sup>
                  <m:r>
                    <w:rPr>
                      <w:rFonts w:ascii="Cambria Math" w:eastAsiaTheme="minorEastAsia" w:hAnsi="Cambria Math"/>
                    </w:rPr>
                    <m:t>m</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00</m:t>
                  </m:r>
                </m:sub>
                <m:sup>
                  <m:r>
                    <w:rPr>
                      <w:rFonts w:ascii="Cambria Math" w:eastAsiaTheme="minorEastAsia" w:hAnsi="Cambria Math"/>
                    </w:rPr>
                    <m:t>m</m:t>
                  </m:r>
                </m:sup>
              </m:sSubSup>
            </m:e>
          </m:d>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ω=11,01,10,00</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ω</m:t>
                      </m:r>
                    </m:sub>
                  </m:sSub>
                </m:e>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ω</m:t>
                      </m:r>
                    </m:sub>
                    <m:sup>
                      <m:r>
                        <w:rPr>
                          <w:rFonts w:ascii="Cambria Math" w:eastAsiaTheme="minorEastAsia" w:hAnsi="Cambria Math"/>
                        </w:rPr>
                        <m:t>m</m:t>
                      </m:r>
                    </m:sup>
                  </m:sSubSup>
                </m:sup>
              </m:sSup>
            </m:e>
          </m:nary>
        </m:oMath>
      </m:oMathPara>
    </w:p>
    <w:p w:rsidR="00F7475C" w:rsidRDefault="00F7475C" w:rsidP="008C01CD">
      <w:pPr>
        <w:spacing w:line="480" w:lineRule="auto"/>
        <w:rPr>
          <w:rFonts w:eastAsiaTheme="minorEastAsia"/>
        </w:rPr>
      </w:pPr>
      <w:r>
        <w:rPr>
          <w:rFonts w:eastAsiaTheme="minorEastAsia"/>
        </w:rPr>
        <w:t xml:space="preserve">The combined likelihood for the data could improve on the precision of the tag loss estimates while adjusting for dependence measured from the permanently marked bears.  In the absence of data on permanently marked animals, a Bayesian alternative could be used in which a prior distribution for α or </w:t>
      </w:r>
      <w:r>
        <w:rPr>
          <w:rFonts w:eastAsiaTheme="minorEastAsia"/>
        </w:rPr>
        <w:lastRenderedPageBreak/>
        <w:t xml:space="preserve">δ could be used with the likelihood for the tagged only bears.  Preferably the prior would be data-derived from a similar species and situation.  </w:t>
      </w:r>
    </w:p>
    <w:p w:rsidR="00F7475C" w:rsidRDefault="00F7475C" w:rsidP="008C01CD">
      <w:pPr>
        <w:spacing w:line="480" w:lineRule="auto"/>
        <w:rPr>
          <w:rFonts w:eastAsiaTheme="minorEastAsia"/>
        </w:rPr>
      </w:pPr>
      <w:r>
        <w:rPr>
          <w:rFonts w:eastAsiaTheme="minorEastAsia"/>
        </w:rPr>
        <w:tab/>
        <w:t xml:space="preserve">Next we consider </w:t>
      </w:r>
      <w:r w:rsidR="00EF01DE">
        <w:rPr>
          <w:rFonts w:eastAsiaTheme="minorEastAsia"/>
        </w:rPr>
        <w:t>incorporating</w:t>
      </w:r>
      <w:r w:rsidR="00C22477">
        <w:rPr>
          <w:rFonts w:eastAsiaTheme="minorEastAsia"/>
        </w:rPr>
        <w:t xml:space="preserve"> dependence for situations in which all of the animals are double-tagged and we cannot observe animals that lose both tags.  On the surface this appears to be impossible because there is no ancillary data as with </w:t>
      </w:r>
      <w:proofErr w:type="spellStart"/>
      <w:r w:rsidR="00C22477">
        <w:rPr>
          <w:rFonts w:eastAsiaTheme="minorEastAsia"/>
        </w:rPr>
        <w:t>mrds</w:t>
      </w:r>
      <w:proofErr w:type="spellEnd"/>
      <w:r w:rsidR="00C22477">
        <w:rPr>
          <w:rFonts w:eastAsiaTheme="minorEastAsia"/>
        </w:rPr>
        <w:t xml:space="preserve">.  However, we can replace the role of ancillary data with models that restrict the dependence and still provide estimable parameters.  For example, </w:t>
      </w:r>
      <w:r>
        <w:rPr>
          <w:rFonts w:eastAsiaTheme="minorEastAsia"/>
        </w:rPr>
        <w:t xml:space="preserve">consider California sea lions which have </w:t>
      </w:r>
      <w:r w:rsidR="00B61CF3">
        <w:rPr>
          <w:rFonts w:eastAsiaTheme="minorEastAsia"/>
        </w:rPr>
        <w:t xml:space="preserve">a </w:t>
      </w:r>
      <w:r w:rsidR="004121F3">
        <w:rPr>
          <w:rFonts w:eastAsiaTheme="minorEastAsia"/>
        </w:rPr>
        <w:t>tag</w:t>
      </w:r>
      <w:r>
        <w:rPr>
          <w:rFonts w:eastAsiaTheme="minorEastAsia"/>
        </w:rPr>
        <w:t xml:space="preserve"> applied to</w:t>
      </w:r>
      <w:r w:rsidR="004121F3">
        <w:rPr>
          <w:rFonts w:eastAsiaTheme="minorEastAsia"/>
        </w:rPr>
        <w:t xml:space="preserve"> both</w:t>
      </w:r>
      <w:r w:rsidR="00B61CF3">
        <w:rPr>
          <w:rFonts w:eastAsiaTheme="minorEastAsia"/>
        </w:rPr>
        <w:t xml:space="preserve"> </w:t>
      </w:r>
      <w:r>
        <w:rPr>
          <w:rFonts w:eastAsiaTheme="minorEastAsia"/>
        </w:rPr>
        <w:t>fore-flipper</w:t>
      </w:r>
      <w:r w:rsidR="004121F3">
        <w:rPr>
          <w:rFonts w:eastAsiaTheme="minorEastAsia"/>
        </w:rPr>
        <w:t>s</w:t>
      </w:r>
      <w:r>
        <w:rPr>
          <w:rFonts w:eastAsiaTheme="minorEastAsia"/>
        </w:rPr>
        <w:t xml:space="preserve"> as pups.  Initially, tag loss may be due to manufacturing </w:t>
      </w:r>
      <w:r w:rsidR="00F74CEC">
        <w:rPr>
          <w:rFonts w:eastAsiaTheme="minorEastAsia"/>
        </w:rPr>
        <w:t xml:space="preserve">or application </w:t>
      </w:r>
      <w:r>
        <w:rPr>
          <w:rFonts w:eastAsiaTheme="minorEastAsia"/>
        </w:rPr>
        <w:t xml:space="preserve">defects which </w:t>
      </w:r>
      <w:r w:rsidR="00F74CEC">
        <w:rPr>
          <w:rFonts w:eastAsiaTheme="minorEastAsia"/>
        </w:rPr>
        <w:t xml:space="preserve">may </w:t>
      </w:r>
      <w:r>
        <w:rPr>
          <w:rFonts w:eastAsiaTheme="minorEastAsia"/>
        </w:rPr>
        <w:t>be independent betwe</w:t>
      </w:r>
      <w:r w:rsidR="00C22477">
        <w:rPr>
          <w:rFonts w:eastAsiaTheme="minorEastAsia"/>
        </w:rPr>
        <w:t xml:space="preserve">en tags; however, as the animal grows, </w:t>
      </w:r>
      <w:r>
        <w:rPr>
          <w:rFonts w:eastAsiaTheme="minorEastAsia"/>
        </w:rPr>
        <w:t xml:space="preserve">the </w:t>
      </w:r>
      <w:r w:rsidR="00C22477">
        <w:rPr>
          <w:rFonts w:eastAsiaTheme="minorEastAsia"/>
        </w:rPr>
        <w:t xml:space="preserve">expansion of the </w:t>
      </w:r>
      <w:r>
        <w:rPr>
          <w:rFonts w:eastAsiaTheme="minorEastAsia"/>
        </w:rPr>
        <w:t xml:space="preserve">fore-flipper </w:t>
      </w:r>
      <w:r w:rsidR="00EF01DE">
        <w:rPr>
          <w:rFonts w:eastAsiaTheme="minorEastAsia"/>
        </w:rPr>
        <w:t xml:space="preserve">may put pressure on the tag causing the tag to split or may cause tissue damage that allows the tag to fall out.  Because growth is symmetric, if one tag is lost the other is also more likely to be lost.  </w:t>
      </w:r>
      <w:r w:rsidR="00C22477">
        <w:rPr>
          <w:rFonts w:eastAsiaTheme="minorEastAsia"/>
        </w:rPr>
        <w:t xml:space="preserve">Thus, </w:t>
      </w:r>
      <w:r w:rsidR="00EF01DE">
        <w:rPr>
          <w:rFonts w:eastAsiaTheme="minorEastAsia"/>
        </w:rPr>
        <w:t xml:space="preserve">we could propose a model in which </w:t>
      </w:r>
      <w:r w:rsidR="00C22477">
        <w:rPr>
          <w:rFonts w:eastAsiaTheme="minorEastAsia"/>
        </w:rPr>
        <w:t xml:space="preserve">α=0 for the first year but not subsequent years.  As long as tag loss parameters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EF01DE">
        <w:rPr>
          <w:rFonts w:eastAsiaTheme="minorEastAsia"/>
        </w:rPr>
        <w:t xml:space="preserve"> are age-invariant then </w:t>
      </w:r>
      <w:r w:rsidR="006A3293">
        <w:rPr>
          <w:rFonts w:eastAsiaTheme="minorEastAsia"/>
        </w:rPr>
        <w:t xml:space="preserve">any dependence beyond the first year can be estimated.  Conceptually, this is similar to having a subset of animals with a permanent mark but instead we have a subset of animals for which it is reasonable to </w:t>
      </w:r>
      <w:r w:rsidR="00B61CF3">
        <w:rPr>
          <w:rFonts w:eastAsiaTheme="minorEastAsia"/>
        </w:rPr>
        <w:t xml:space="preserve">assume independence holds.  </w:t>
      </w:r>
    </w:p>
    <w:p w:rsidR="00F7475C" w:rsidRPr="00760228" w:rsidRDefault="00F7475C" w:rsidP="008C01CD">
      <w:pPr>
        <w:spacing w:line="480" w:lineRule="auto"/>
        <w:rPr>
          <w:rFonts w:eastAsiaTheme="minorEastAsia"/>
          <w:b/>
        </w:rPr>
      </w:pPr>
      <w:r w:rsidRPr="00760228">
        <w:rPr>
          <w:rFonts w:eastAsiaTheme="minorEastAsia"/>
          <w:b/>
        </w:rPr>
        <w:t>Literature Cit</w:t>
      </w:r>
      <w:r w:rsidR="00760228" w:rsidRPr="00760228">
        <w:rPr>
          <w:rFonts w:eastAsiaTheme="minorEastAsia"/>
          <w:b/>
        </w:rPr>
        <w:t>ed</w:t>
      </w:r>
    </w:p>
    <w:p w:rsidR="00F7475C" w:rsidRPr="009B2989" w:rsidRDefault="00F7475C" w:rsidP="008C01CD">
      <w:pPr>
        <w:spacing w:after="0" w:line="240" w:lineRule="auto"/>
        <w:rPr>
          <w:rFonts w:ascii="Calibri" w:eastAsiaTheme="minorEastAsia" w:hAnsi="Calibri"/>
        </w:rPr>
      </w:pPr>
      <w:proofErr w:type="spellStart"/>
      <w:proofErr w:type="gramStart"/>
      <w:r w:rsidRPr="009B2989">
        <w:rPr>
          <w:rFonts w:ascii="Calibri" w:eastAsiaTheme="minorEastAsia" w:hAnsi="Calibri"/>
        </w:rPr>
        <w:t>Borchers</w:t>
      </w:r>
      <w:proofErr w:type="spellEnd"/>
      <w:r w:rsidRPr="009B2989">
        <w:rPr>
          <w:rFonts w:ascii="Calibri" w:eastAsiaTheme="minorEastAsia" w:hAnsi="Calibri"/>
        </w:rPr>
        <w:t xml:space="preserve">, D. L., </w:t>
      </w:r>
      <w:proofErr w:type="spellStart"/>
      <w:r w:rsidRPr="009B2989">
        <w:rPr>
          <w:rFonts w:ascii="Calibri" w:eastAsiaTheme="minorEastAsia" w:hAnsi="Calibri"/>
        </w:rPr>
        <w:t>Laake</w:t>
      </w:r>
      <w:proofErr w:type="spellEnd"/>
      <w:r w:rsidRPr="009B2989">
        <w:rPr>
          <w:rFonts w:ascii="Calibri" w:eastAsiaTheme="minorEastAsia" w:hAnsi="Calibri"/>
        </w:rPr>
        <w:t xml:space="preserve">, J. L., </w:t>
      </w:r>
      <w:proofErr w:type="spellStart"/>
      <w:r w:rsidRPr="009B2989">
        <w:rPr>
          <w:rFonts w:ascii="Calibri" w:eastAsiaTheme="minorEastAsia" w:hAnsi="Calibri"/>
        </w:rPr>
        <w:t>Southwell</w:t>
      </w:r>
      <w:proofErr w:type="spellEnd"/>
      <w:r w:rsidRPr="009B2989">
        <w:rPr>
          <w:rFonts w:ascii="Calibri" w:eastAsiaTheme="minorEastAsia" w:hAnsi="Calibri"/>
        </w:rPr>
        <w:t>, C., and Paxton, C. G. M. (2006).</w:t>
      </w:r>
      <w:proofErr w:type="gramEnd"/>
      <w:r w:rsidRPr="009B2989">
        <w:rPr>
          <w:rFonts w:ascii="Calibri" w:eastAsiaTheme="minorEastAsia" w:hAnsi="Calibri"/>
        </w:rPr>
        <w:t xml:space="preserve"> </w:t>
      </w:r>
      <w:proofErr w:type="gramStart"/>
      <w:r w:rsidRPr="009B2989">
        <w:rPr>
          <w:rFonts w:ascii="Calibri" w:eastAsiaTheme="minorEastAsia" w:hAnsi="Calibri"/>
        </w:rPr>
        <w:t xml:space="preserve">Accommodating </w:t>
      </w:r>
      <w:proofErr w:type="spellStart"/>
      <w:r w:rsidRPr="009B2989">
        <w:rPr>
          <w:rFonts w:ascii="Calibri" w:eastAsiaTheme="minorEastAsia" w:hAnsi="Calibri"/>
        </w:rPr>
        <w:t>unmodeled</w:t>
      </w:r>
      <w:proofErr w:type="spellEnd"/>
      <w:r w:rsidRPr="009B2989">
        <w:rPr>
          <w:rFonts w:ascii="Calibri" w:eastAsiaTheme="minorEastAsia" w:hAnsi="Calibri"/>
        </w:rPr>
        <w:t xml:space="preserve"> heterogeneity in double-observer distance sampling surveys.</w:t>
      </w:r>
      <w:proofErr w:type="gramEnd"/>
      <w:r w:rsidRPr="009B2989">
        <w:rPr>
          <w:rFonts w:ascii="Calibri" w:eastAsiaTheme="minorEastAsia" w:hAnsi="Calibri"/>
        </w:rPr>
        <w:t xml:space="preserve"> </w:t>
      </w:r>
      <w:r w:rsidRPr="009B2989">
        <w:rPr>
          <w:rFonts w:ascii="Calibri" w:eastAsiaTheme="minorEastAsia" w:hAnsi="Calibri"/>
          <w:i/>
        </w:rPr>
        <w:t>Biometrics</w:t>
      </w:r>
      <w:r w:rsidRPr="009B2989">
        <w:rPr>
          <w:rFonts w:ascii="Calibri" w:eastAsiaTheme="minorEastAsia" w:hAnsi="Calibri"/>
        </w:rPr>
        <w:t xml:space="preserve"> </w:t>
      </w:r>
      <w:r w:rsidRPr="009B2989">
        <w:rPr>
          <w:rFonts w:ascii="Calibri" w:eastAsiaTheme="minorEastAsia" w:hAnsi="Calibri"/>
          <w:b/>
        </w:rPr>
        <w:t>62</w:t>
      </w:r>
      <w:r w:rsidRPr="009B2989">
        <w:rPr>
          <w:rFonts w:ascii="Calibri" w:eastAsiaTheme="minorEastAsia" w:hAnsi="Calibri"/>
        </w:rPr>
        <w:t>, 372-378.</w:t>
      </w:r>
    </w:p>
    <w:p w:rsidR="00760228" w:rsidRDefault="00760228" w:rsidP="008C01CD">
      <w:pPr>
        <w:spacing w:after="0" w:line="240" w:lineRule="auto"/>
        <w:rPr>
          <w:rFonts w:ascii="Calibri" w:eastAsiaTheme="minorEastAsia" w:hAnsi="Calibri"/>
        </w:rPr>
      </w:pPr>
    </w:p>
    <w:p w:rsidR="00F7475C" w:rsidRPr="009B2989" w:rsidRDefault="00F7475C" w:rsidP="008C01CD">
      <w:pPr>
        <w:spacing w:after="0" w:line="240" w:lineRule="auto"/>
        <w:rPr>
          <w:rFonts w:ascii="Calibri" w:eastAsiaTheme="minorEastAsia" w:hAnsi="Calibri"/>
        </w:rPr>
      </w:pPr>
      <w:proofErr w:type="spellStart"/>
      <w:r w:rsidRPr="009B2989">
        <w:rPr>
          <w:rFonts w:ascii="Calibri" w:eastAsiaTheme="minorEastAsia" w:hAnsi="Calibri"/>
        </w:rPr>
        <w:t>Laake</w:t>
      </w:r>
      <w:proofErr w:type="spellEnd"/>
      <w:r w:rsidRPr="009B2989">
        <w:rPr>
          <w:rFonts w:ascii="Calibri" w:eastAsiaTheme="minorEastAsia" w:hAnsi="Calibri"/>
        </w:rPr>
        <w:t xml:space="preserve">, J. (1999). Distance sampling with independent observers: Reducing bias from heterogeneity by weakening the conditional independence assumption. In </w:t>
      </w:r>
      <w:r w:rsidRPr="009B2989">
        <w:rPr>
          <w:rFonts w:ascii="Calibri" w:eastAsiaTheme="minorEastAsia" w:hAnsi="Calibri"/>
          <w:i/>
        </w:rPr>
        <w:t>Marine Mammal Survey and Assessment Methods</w:t>
      </w:r>
      <w:r w:rsidRPr="009B2989">
        <w:rPr>
          <w:rFonts w:ascii="Calibri" w:eastAsiaTheme="minorEastAsia" w:hAnsi="Calibri"/>
        </w:rPr>
        <w:t xml:space="preserve">, 137-148. Rotterdam: </w:t>
      </w:r>
      <w:proofErr w:type="gramStart"/>
      <w:r w:rsidRPr="009B2989">
        <w:rPr>
          <w:rFonts w:ascii="Calibri" w:eastAsiaTheme="minorEastAsia" w:hAnsi="Calibri"/>
        </w:rPr>
        <w:t>A</w:t>
      </w:r>
      <w:proofErr w:type="gramEnd"/>
      <w:r w:rsidRPr="009B2989">
        <w:rPr>
          <w:rFonts w:ascii="Calibri" w:eastAsiaTheme="minorEastAsia" w:hAnsi="Calibri"/>
        </w:rPr>
        <w:t xml:space="preserve"> </w:t>
      </w:r>
      <w:proofErr w:type="spellStart"/>
      <w:r w:rsidRPr="009B2989">
        <w:rPr>
          <w:rFonts w:ascii="Calibri" w:eastAsiaTheme="minorEastAsia" w:hAnsi="Calibri"/>
        </w:rPr>
        <w:t>A</w:t>
      </w:r>
      <w:proofErr w:type="spellEnd"/>
      <w:r w:rsidRPr="009B2989">
        <w:rPr>
          <w:rFonts w:ascii="Calibri" w:eastAsiaTheme="minorEastAsia" w:hAnsi="Calibri"/>
        </w:rPr>
        <w:t xml:space="preserve"> BALKEMA.</w:t>
      </w:r>
    </w:p>
    <w:p w:rsidR="00760228" w:rsidRDefault="00760228" w:rsidP="008C01CD">
      <w:pPr>
        <w:spacing w:after="0" w:line="240" w:lineRule="auto"/>
        <w:rPr>
          <w:rFonts w:ascii="Calibri" w:eastAsiaTheme="minorEastAsia" w:hAnsi="Calibri"/>
        </w:rPr>
      </w:pPr>
    </w:p>
    <w:p w:rsidR="00F7475C" w:rsidRPr="009B2989" w:rsidRDefault="00F7475C" w:rsidP="008C01CD">
      <w:pPr>
        <w:spacing w:after="0" w:line="240" w:lineRule="auto"/>
        <w:rPr>
          <w:rFonts w:ascii="Calibri" w:eastAsiaTheme="minorEastAsia" w:hAnsi="Calibri"/>
        </w:rPr>
      </w:pPr>
      <w:proofErr w:type="spellStart"/>
      <w:proofErr w:type="gramStart"/>
      <w:r w:rsidRPr="009B2989">
        <w:rPr>
          <w:rFonts w:ascii="Calibri" w:eastAsiaTheme="minorEastAsia" w:hAnsi="Calibri"/>
        </w:rPr>
        <w:t>Laake</w:t>
      </w:r>
      <w:proofErr w:type="spellEnd"/>
      <w:r w:rsidRPr="009B2989">
        <w:rPr>
          <w:rFonts w:ascii="Calibri" w:eastAsiaTheme="minorEastAsia" w:hAnsi="Calibri"/>
        </w:rPr>
        <w:t>, J., Dawson, M. J., and Hone, J. (2008).</w:t>
      </w:r>
      <w:proofErr w:type="gramEnd"/>
      <w:r w:rsidRPr="009B2989">
        <w:rPr>
          <w:rFonts w:ascii="Calibri" w:eastAsiaTheme="minorEastAsia" w:hAnsi="Calibri"/>
        </w:rPr>
        <w:t xml:space="preserve"> Visibility bias in aerial survey: mark-recapture, line-transect or both? </w:t>
      </w:r>
      <w:r w:rsidRPr="009B2989">
        <w:rPr>
          <w:rFonts w:ascii="Calibri" w:eastAsiaTheme="minorEastAsia" w:hAnsi="Calibri"/>
          <w:i/>
        </w:rPr>
        <w:t>Wildlife Research</w:t>
      </w:r>
      <w:r w:rsidRPr="009B2989">
        <w:rPr>
          <w:rFonts w:ascii="Calibri" w:eastAsiaTheme="minorEastAsia" w:hAnsi="Calibri"/>
        </w:rPr>
        <w:t xml:space="preserve"> </w:t>
      </w:r>
      <w:r w:rsidRPr="009B2989">
        <w:rPr>
          <w:rFonts w:ascii="Calibri" w:eastAsiaTheme="minorEastAsia" w:hAnsi="Calibri"/>
          <w:b/>
        </w:rPr>
        <w:t>35</w:t>
      </w:r>
      <w:r w:rsidRPr="009B2989">
        <w:rPr>
          <w:rFonts w:ascii="Calibri" w:eastAsiaTheme="minorEastAsia" w:hAnsi="Calibri"/>
        </w:rPr>
        <w:t>, 299-309.</w:t>
      </w:r>
    </w:p>
    <w:p w:rsidR="00760228" w:rsidRDefault="00760228" w:rsidP="00760228">
      <w:pPr>
        <w:spacing w:after="0" w:line="240" w:lineRule="auto"/>
        <w:rPr>
          <w:rFonts w:ascii="Calibri" w:eastAsiaTheme="minorEastAsia" w:hAnsi="Calibri"/>
        </w:rPr>
      </w:pPr>
    </w:p>
    <w:p w:rsidR="00760228" w:rsidRPr="00EC2C9C" w:rsidRDefault="00760228" w:rsidP="00760228">
      <w:pPr>
        <w:spacing w:after="0" w:line="240" w:lineRule="auto"/>
        <w:rPr>
          <w:rFonts w:ascii="Calibri" w:eastAsiaTheme="minorEastAsia" w:hAnsi="Calibri"/>
        </w:rPr>
      </w:pPr>
      <w:proofErr w:type="spellStart"/>
      <w:proofErr w:type="gramStart"/>
      <w:r w:rsidRPr="00EC2C9C">
        <w:rPr>
          <w:rFonts w:ascii="Calibri" w:eastAsiaTheme="minorEastAsia" w:hAnsi="Calibri"/>
        </w:rPr>
        <w:t>Borchers</w:t>
      </w:r>
      <w:proofErr w:type="spellEnd"/>
      <w:r w:rsidRPr="00EC2C9C">
        <w:rPr>
          <w:rFonts w:ascii="Calibri" w:eastAsiaTheme="minorEastAsia" w:hAnsi="Calibri"/>
        </w:rPr>
        <w:t>, D. L. (1999).</w:t>
      </w:r>
      <w:proofErr w:type="gramEnd"/>
      <w:r w:rsidRPr="00EC2C9C">
        <w:rPr>
          <w:rFonts w:ascii="Calibri" w:eastAsiaTheme="minorEastAsia" w:hAnsi="Calibri"/>
        </w:rPr>
        <w:t xml:space="preserve"> Composite mark-recapture </w:t>
      </w:r>
      <w:proofErr w:type="gramStart"/>
      <w:r w:rsidRPr="00EC2C9C">
        <w:rPr>
          <w:rFonts w:ascii="Calibri" w:eastAsiaTheme="minorEastAsia" w:hAnsi="Calibri"/>
        </w:rPr>
        <w:t>line transect</w:t>
      </w:r>
      <w:proofErr w:type="gramEnd"/>
      <w:r w:rsidRPr="00EC2C9C">
        <w:rPr>
          <w:rFonts w:ascii="Calibri" w:eastAsiaTheme="minorEastAsia" w:hAnsi="Calibri"/>
        </w:rPr>
        <w:t xml:space="preserve"> surveys. In </w:t>
      </w:r>
      <w:r w:rsidRPr="00EC2C9C">
        <w:rPr>
          <w:rFonts w:ascii="Calibri" w:eastAsiaTheme="minorEastAsia" w:hAnsi="Calibri"/>
          <w:i/>
        </w:rPr>
        <w:t>Marine Mammal Survey and Assessment Methods</w:t>
      </w:r>
      <w:r w:rsidRPr="00EC2C9C">
        <w:rPr>
          <w:rFonts w:ascii="Calibri" w:eastAsiaTheme="minorEastAsia" w:hAnsi="Calibri"/>
        </w:rPr>
        <w:t xml:space="preserve">, 115-126. Rotterdam: </w:t>
      </w:r>
      <w:proofErr w:type="gramStart"/>
      <w:r w:rsidRPr="00EC2C9C">
        <w:rPr>
          <w:rFonts w:ascii="Calibri" w:eastAsiaTheme="minorEastAsia" w:hAnsi="Calibri"/>
        </w:rPr>
        <w:t>A</w:t>
      </w:r>
      <w:proofErr w:type="gramEnd"/>
      <w:r w:rsidRPr="00EC2C9C">
        <w:rPr>
          <w:rFonts w:ascii="Calibri" w:eastAsiaTheme="minorEastAsia" w:hAnsi="Calibri"/>
        </w:rPr>
        <w:t xml:space="preserve"> </w:t>
      </w:r>
      <w:proofErr w:type="spellStart"/>
      <w:r w:rsidRPr="00EC2C9C">
        <w:rPr>
          <w:rFonts w:ascii="Calibri" w:eastAsiaTheme="minorEastAsia" w:hAnsi="Calibri"/>
        </w:rPr>
        <w:t>A</w:t>
      </w:r>
      <w:proofErr w:type="spellEnd"/>
      <w:r w:rsidRPr="00EC2C9C">
        <w:rPr>
          <w:rFonts w:ascii="Calibri" w:eastAsiaTheme="minorEastAsia" w:hAnsi="Calibri"/>
        </w:rPr>
        <w:t xml:space="preserve"> BALKEMA.</w:t>
      </w:r>
    </w:p>
    <w:p w:rsidR="00760228" w:rsidRDefault="00760228" w:rsidP="00760228">
      <w:pPr>
        <w:spacing w:after="0" w:line="240" w:lineRule="auto"/>
        <w:rPr>
          <w:rFonts w:ascii="Calibri" w:eastAsiaTheme="minorEastAsia" w:hAnsi="Calibri"/>
        </w:rPr>
      </w:pPr>
    </w:p>
    <w:p w:rsidR="00760228" w:rsidRPr="00EC2C9C" w:rsidRDefault="00760228" w:rsidP="00760228">
      <w:pPr>
        <w:spacing w:after="0" w:line="240" w:lineRule="auto"/>
        <w:rPr>
          <w:rFonts w:ascii="Calibri" w:eastAsiaTheme="minorEastAsia" w:hAnsi="Calibri"/>
        </w:rPr>
      </w:pPr>
      <w:proofErr w:type="spellStart"/>
      <w:proofErr w:type="gramStart"/>
      <w:r w:rsidRPr="00EC2C9C">
        <w:rPr>
          <w:rFonts w:ascii="Calibri" w:eastAsiaTheme="minorEastAsia" w:hAnsi="Calibri"/>
        </w:rPr>
        <w:lastRenderedPageBreak/>
        <w:t>Borchers</w:t>
      </w:r>
      <w:proofErr w:type="spellEnd"/>
      <w:r w:rsidRPr="00EC2C9C">
        <w:rPr>
          <w:rFonts w:ascii="Calibri" w:eastAsiaTheme="minorEastAsia" w:hAnsi="Calibri"/>
        </w:rPr>
        <w:t xml:space="preserve">, D. L., </w:t>
      </w:r>
      <w:proofErr w:type="spellStart"/>
      <w:r w:rsidRPr="00EC2C9C">
        <w:rPr>
          <w:rFonts w:ascii="Calibri" w:eastAsiaTheme="minorEastAsia" w:hAnsi="Calibri"/>
        </w:rPr>
        <w:t>Laake</w:t>
      </w:r>
      <w:proofErr w:type="spellEnd"/>
      <w:r w:rsidRPr="00EC2C9C">
        <w:rPr>
          <w:rFonts w:ascii="Calibri" w:eastAsiaTheme="minorEastAsia" w:hAnsi="Calibri"/>
        </w:rPr>
        <w:t xml:space="preserve">, J. L., </w:t>
      </w:r>
      <w:proofErr w:type="spellStart"/>
      <w:r w:rsidRPr="00EC2C9C">
        <w:rPr>
          <w:rFonts w:ascii="Calibri" w:eastAsiaTheme="minorEastAsia" w:hAnsi="Calibri"/>
        </w:rPr>
        <w:t>Southwell</w:t>
      </w:r>
      <w:proofErr w:type="spellEnd"/>
      <w:r w:rsidRPr="00EC2C9C">
        <w:rPr>
          <w:rFonts w:ascii="Calibri" w:eastAsiaTheme="minorEastAsia" w:hAnsi="Calibri"/>
        </w:rPr>
        <w:t>, C., and Paxton, C. G. M. (2006).</w:t>
      </w:r>
      <w:proofErr w:type="gramEnd"/>
      <w:r w:rsidRPr="00EC2C9C">
        <w:rPr>
          <w:rFonts w:ascii="Calibri" w:eastAsiaTheme="minorEastAsia" w:hAnsi="Calibri"/>
        </w:rPr>
        <w:t xml:space="preserve"> </w:t>
      </w:r>
      <w:proofErr w:type="gramStart"/>
      <w:r w:rsidRPr="00EC2C9C">
        <w:rPr>
          <w:rFonts w:ascii="Calibri" w:eastAsiaTheme="minorEastAsia" w:hAnsi="Calibri"/>
        </w:rPr>
        <w:t xml:space="preserve">Accommodating </w:t>
      </w:r>
      <w:proofErr w:type="spellStart"/>
      <w:r w:rsidRPr="00EC2C9C">
        <w:rPr>
          <w:rFonts w:ascii="Calibri" w:eastAsiaTheme="minorEastAsia" w:hAnsi="Calibri"/>
        </w:rPr>
        <w:t>unmodeled</w:t>
      </w:r>
      <w:proofErr w:type="spellEnd"/>
      <w:r w:rsidRPr="00EC2C9C">
        <w:rPr>
          <w:rFonts w:ascii="Calibri" w:eastAsiaTheme="minorEastAsia" w:hAnsi="Calibri"/>
        </w:rPr>
        <w:t xml:space="preserve"> heterogeneity in double-observer distance sampling surveys.</w:t>
      </w:r>
      <w:proofErr w:type="gramEnd"/>
      <w:r w:rsidRPr="00EC2C9C">
        <w:rPr>
          <w:rFonts w:ascii="Calibri" w:eastAsiaTheme="minorEastAsia" w:hAnsi="Calibri"/>
        </w:rPr>
        <w:t xml:space="preserve"> </w:t>
      </w:r>
      <w:r w:rsidRPr="00EC2C9C">
        <w:rPr>
          <w:rFonts w:ascii="Calibri" w:eastAsiaTheme="minorEastAsia" w:hAnsi="Calibri"/>
          <w:i/>
        </w:rPr>
        <w:t>Biometrics</w:t>
      </w:r>
      <w:r w:rsidRPr="00EC2C9C">
        <w:rPr>
          <w:rFonts w:ascii="Calibri" w:eastAsiaTheme="minorEastAsia" w:hAnsi="Calibri"/>
        </w:rPr>
        <w:t xml:space="preserve"> </w:t>
      </w:r>
      <w:r w:rsidRPr="00EC2C9C">
        <w:rPr>
          <w:rFonts w:ascii="Calibri" w:eastAsiaTheme="minorEastAsia" w:hAnsi="Calibri"/>
          <w:b/>
        </w:rPr>
        <w:t>62</w:t>
      </w:r>
      <w:r w:rsidRPr="00EC2C9C">
        <w:rPr>
          <w:rFonts w:ascii="Calibri" w:eastAsiaTheme="minorEastAsia" w:hAnsi="Calibri"/>
        </w:rPr>
        <w:t>, 372-378.</w:t>
      </w:r>
    </w:p>
    <w:p w:rsidR="00760228" w:rsidRDefault="00760228" w:rsidP="00760228">
      <w:pPr>
        <w:spacing w:after="0" w:line="240" w:lineRule="auto"/>
        <w:rPr>
          <w:rFonts w:ascii="Calibri" w:eastAsiaTheme="minorEastAsia" w:hAnsi="Calibri"/>
        </w:rPr>
      </w:pPr>
    </w:p>
    <w:p w:rsidR="00760228" w:rsidRPr="00EC2C9C" w:rsidRDefault="00760228" w:rsidP="00760228">
      <w:pPr>
        <w:spacing w:after="0" w:line="240" w:lineRule="auto"/>
        <w:rPr>
          <w:rFonts w:ascii="Calibri" w:eastAsiaTheme="minorEastAsia" w:hAnsi="Calibri"/>
        </w:rPr>
      </w:pPr>
      <w:proofErr w:type="gramStart"/>
      <w:r w:rsidRPr="00EC2C9C">
        <w:rPr>
          <w:rFonts w:ascii="Calibri" w:eastAsiaTheme="minorEastAsia" w:hAnsi="Calibri"/>
        </w:rPr>
        <w:t>Bradshaw, C. J. A., Barker, R. J., and Davis, L. S. (2000).</w:t>
      </w:r>
      <w:proofErr w:type="gramEnd"/>
      <w:r w:rsidRPr="00EC2C9C">
        <w:rPr>
          <w:rFonts w:ascii="Calibri" w:eastAsiaTheme="minorEastAsia" w:hAnsi="Calibri"/>
        </w:rPr>
        <w:t xml:space="preserve"> Modeling tag loss in New Zealand fur seal pups. </w:t>
      </w:r>
      <w:r w:rsidRPr="00EC2C9C">
        <w:rPr>
          <w:rFonts w:ascii="Calibri" w:eastAsiaTheme="minorEastAsia" w:hAnsi="Calibri"/>
          <w:i/>
        </w:rPr>
        <w:t>Journal of Agricultural Biological and Environmental Statistics</w:t>
      </w:r>
      <w:r w:rsidRPr="00EC2C9C">
        <w:rPr>
          <w:rFonts w:ascii="Calibri" w:eastAsiaTheme="minorEastAsia" w:hAnsi="Calibri"/>
        </w:rPr>
        <w:t xml:space="preserve"> </w:t>
      </w:r>
      <w:r w:rsidRPr="00EC2C9C">
        <w:rPr>
          <w:rFonts w:ascii="Calibri" w:eastAsiaTheme="minorEastAsia" w:hAnsi="Calibri"/>
          <w:b/>
        </w:rPr>
        <w:t>5</w:t>
      </w:r>
      <w:r w:rsidRPr="00EC2C9C">
        <w:rPr>
          <w:rFonts w:ascii="Calibri" w:eastAsiaTheme="minorEastAsia" w:hAnsi="Calibri"/>
        </w:rPr>
        <w:t>, 475-485.</w:t>
      </w:r>
    </w:p>
    <w:p w:rsidR="00760228" w:rsidRDefault="00760228" w:rsidP="00760228">
      <w:pPr>
        <w:spacing w:after="0" w:line="240" w:lineRule="auto"/>
        <w:rPr>
          <w:rFonts w:ascii="Calibri" w:eastAsiaTheme="minorEastAsia" w:hAnsi="Calibri"/>
        </w:rPr>
      </w:pPr>
    </w:p>
    <w:p w:rsidR="00760228" w:rsidRPr="00EC2C9C" w:rsidRDefault="00760228" w:rsidP="00760228">
      <w:pPr>
        <w:spacing w:after="0" w:line="240" w:lineRule="auto"/>
        <w:rPr>
          <w:rFonts w:ascii="Calibri" w:eastAsiaTheme="minorEastAsia" w:hAnsi="Calibri"/>
        </w:rPr>
      </w:pPr>
      <w:proofErr w:type="spellStart"/>
      <w:proofErr w:type="gramStart"/>
      <w:r w:rsidRPr="00EC2C9C">
        <w:rPr>
          <w:rFonts w:ascii="Calibri" w:eastAsiaTheme="minorEastAsia" w:hAnsi="Calibri"/>
        </w:rPr>
        <w:t>Diefenbach</w:t>
      </w:r>
      <w:proofErr w:type="spellEnd"/>
      <w:r w:rsidRPr="00EC2C9C">
        <w:rPr>
          <w:rFonts w:ascii="Calibri" w:eastAsiaTheme="minorEastAsia" w:hAnsi="Calibri"/>
        </w:rPr>
        <w:t>, D. R., and Alt, G. L. (1998).</w:t>
      </w:r>
      <w:proofErr w:type="gramEnd"/>
      <w:r w:rsidRPr="00EC2C9C">
        <w:rPr>
          <w:rFonts w:ascii="Calibri" w:eastAsiaTheme="minorEastAsia" w:hAnsi="Calibri"/>
        </w:rPr>
        <w:t xml:space="preserve"> Modeling and evaluation of ear tag loss in black bears. </w:t>
      </w:r>
      <w:r w:rsidRPr="00EC2C9C">
        <w:rPr>
          <w:rFonts w:ascii="Calibri" w:eastAsiaTheme="minorEastAsia" w:hAnsi="Calibri"/>
          <w:i/>
        </w:rPr>
        <w:t>Journal of Wildlife Management</w:t>
      </w:r>
      <w:r w:rsidRPr="00EC2C9C">
        <w:rPr>
          <w:rFonts w:ascii="Calibri" w:eastAsiaTheme="minorEastAsia" w:hAnsi="Calibri"/>
        </w:rPr>
        <w:t xml:space="preserve"> </w:t>
      </w:r>
      <w:r w:rsidRPr="00EC2C9C">
        <w:rPr>
          <w:rFonts w:ascii="Calibri" w:eastAsiaTheme="minorEastAsia" w:hAnsi="Calibri"/>
          <w:b/>
        </w:rPr>
        <w:t>62</w:t>
      </w:r>
      <w:r w:rsidRPr="00EC2C9C">
        <w:rPr>
          <w:rFonts w:ascii="Calibri" w:eastAsiaTheme="minorEastAsia" w:hAnsi="Calibri"/>
        </w:rPr>
        <w:t>, 1292-1300.</w:t>
      </w:r>
    </w:p>
    <w:p w:rsidR="00760228" w:rsidRDefault="00760228" w:rsidP="00760228">
      <w:pPr>
        <w:spacing w:after="0" w:line="240" w:lineRule="auto"/>
        <w:rPr>
          <w:rFonts w:ascii="Calibri" w:eastAsiaTheme="minorEastAsia" w:hAnsi="Calibri"/>
        </w:rPr>
      </w:pPr>
    </w:p>
    <w:p w:rsidR="00760228" w:rsidRPr="00EC2C9C" w:rsidRDefault="00760228" w:rsidP="00760228">
      <w:pPr>
        <w:spacing w:after="0" w:line="240" w:lineRule="auto"/>
        <w:rPr>
          <w:rFonts w:ascii="Calibri" w:eastAsiaTheme="minorEastAsia" w:hAnsi="Calibri"/>
        </w:rPr>
      </w:pPr>
      <w:proofErr w:type="spellStart"/>
      <w:proofErr w:type="gramStart"/>
      <w:r w:rsidRPr="00EC2C9C">
        <w:rPr>
          <w:rFonts w:ascii="Calibri" w:eastAsiaTheme="minorEastAsia" w:hAnsi="Calibri"/>
        </w:rPr>
        <w:t>Pistorius</w:t>
      </w:r>
      <w:proofErr w:type="spellEnd"/>
      <w:r w:rsidRPr="00EC2C9C">
        <w:rPr>
          <w:rFonts w:ascii="Calibri" w:eastAsiaTheme="minorEastAsia" w:hAnsi="Calibri"/>
        </w:rPr>
        <w:t xml:space="preserve">, P. A., Bester, M. N., </w:t>
      </w:r>
      <w:proofErr w:type="spellStart"/>
      <w:r w:rsidRPr="00EC2C9C">
        <w:rPr>
          <w:rFonts w:ascii="Calibri" w:eastAsiaTheme="minorEastAsia" w:hAnsi="Calibri"/>
        </w:rPr>
        <w:t>Kirkman</w:t>
      </w:r>
      <w:proofErr w:type="spellEnd"/>
      <w:r w:rsidRPr="00EC2C9C">
        <w:rPr>
          <w:rFonts w:ascii="Calibri" w:eastAsiaTheme="minorEastAsia" w:hAnsi="Calibri"/>
        </w:rPr>
        <w:t xml:space="preserve">, S. P., and </w:t>
      </w:r>
      <w:proofErr w:type="spellStart"/>
      <w:r w:rsidRPr="00EC2C9C">
        <w:rPr>
          <w:rFonts w:ascii="Calibri" w:eastAsiaTheme="minorEastAsia" w:hAnsi="Calibri"/>
        </w:rPr>
        <w:t>Boveng</w:t>
      </w:r>
      <w:proofErr w:type="spellEnd"/>
      <w:r w:rsidRPr="00EC2C9C">
        <w:rPr>
          <w:rFonts w:ascii="Calibri" w:eastAsiaTheme="minorEastAsia" w:hAnsi="Calibri"/>
        </w:rPr>
        <w:t>, P. L. (2000).</w:t>
      </w:r>
      <w:proofErr w:type="gramEnd"/>
      <w:r w:rsidRPr="00EC2C9C">
        <w:rPr>
          <w:rFonts w:ascii="Calibri" w:eastAsiaTheme="minorEastAsia" w:hAnsi="Calibri"/>
        </w:rPr>
        <w:t xml:space="preserve"> Evaluation of age- and sex-dependent rates of tag loss in southern elephant seals. </w:t>
      </w:r>
      <w:r w:rsidRPr="00EC2C9C">
        <w:rPr>
          <w:rFonts w:ascii="Calibri" w:eastAsiaTheme="minorEastAsia" w:hAnsi="Calibri"/>
          <w:i/>
        </w:rPr>
        <w:t>Journal of Wildlife Management</w:t>
      </w:r>
      <w:r w:rsidRPr="00EC2C9C">
        <w:rPr>
          <w:rFonts w:ascii="Calibri" w:eastAsiaTheme="minorEastAsia" w:hAnsi="Calibri"/>
        </w:rPr>
        <w:t xml:space="preserve"> </w:t>
      </w:r>
      <w:r w:rsidRPr="00EC2C9C">
        <w:rPr>
          <w:rFonts w:ascii="Calibri" w:eastAsiaTheme="minorEastAsia" w:hAnsi="Calibri"/>
          <w:b/>
        </w:rPr>
        <w:t>64</w:t>
      </w:r>
      <w:r w:rsidRPr="00EC2C9C">
        <w:rPr>
          <w:rFonts w:ascii="Calibri" w:eastAsiaTheme="minorEastAsia" w:hAnsi="Calibri"/>
        </w:rPr>
        <w:t>, 373-380.</w:t>
      </w:r>
    </w:p>
    <w:p w:rsidR="00760228" w:rsidRDefault="00760228" w:rsidP="00760228">
      <w:pPr>
        <w:spacing w:after="0" w:line="240" w:lineRule="auto"/>
        <w:rPr>
          <w:rFonts w:ascii="Calibri" w:eastAsiaTheme="minorEastAsia" w:hAnsi="Calibri"/>
        </w:rPr>
      </w:pPr>
    </w:p>
    <w:p w:rsidR="00760228" w:rsidRPr="00EC2C9C" w:rsidRDefault="00760228" w:rsidP="00760228">
      <w:pPr>
        <w:spacing w:after="0" w:line="240" w:lineRule="auto"/>
        <w:rPr>
          <w:rFonts w:ascii="Calibri" w:eastAsiaTheme="minorEastAsia" w:hAnsi="Calibri"/>
        </w:rPr>
      </w:pPr>
      <w:proofErr w:type="spellStart"/>
      <w:proofErr w:type="gramStart"/>
      <w:r w:rsidRPr="00EC2C9C">
        <w:rPr>
          <w:rFonts w:ascii="Calibri" w:eastAsiaTheme="minorEastAsia" w:hAnsi="Calibri"/>
        </w:rPr>
        <w:t>Rivalan</w:t>
      </w:r>
      <w:proofErr w:type="spellEnd"/>
      <w:r w:rsidRPr="00EC2C9C">
        <w:rPr>
          <w:rFonts w:ascii="Calibri" w:eastAsiaTheme="minorEastAsia" w:hAnsi="Calibri"/>
        </w:rPr>
        <w:t xml:space="preserve">, P., Godfrey, M. H., </w:t>
      </w:r>
      <w:proofErr w:type="spellStart"/>
      <w:r w:rsidRPr="00EC2C9C">
        <w:rPr>
          <w:rFonts w:ascii="Calibri" w:eastAsiaTheme="minorEastAsia" w:hAnsi="Calibri"/>
        </w:rPr>
        <w:t>Prevot</w:t>
      </w:r>
      <w:proofErr w:type="spellEnd"/>
      <w:r w:rsidRPr="00EC2C9C">
        <w:rPr>
          <w:rFonts w:ascii="Calibri" w:eastAsiaTheme="minorEastAsia" w:hAnsi="Calibri"/>
        </w:rPr>
        <w:t xml:space="preserve">-Julliard, A. C., and </w:t>
      </w:r>
      <w:proofErr w:type="spellStart"/>
      <w:r w:rsidRPr="00EC2C9C">
        <w:rPr>
          <w:rFonts w:ascii="Calibri" w:eastAsiaTheme="minorEastAsia" w:hAnsi="Calibri"/>
        </w:rPr>
        <w:t>Girondot</w:t>
      </w:r>
      <w:proofErr w:type="spellEnd"/>
      <w:r w:rsidRPr="00EC2C9C">
        <w:rPr>
          <w:rFonts w:ascii="Calibri" w:eastAsiaTheme="minorEastAsia" w:hAnsi="Calibri"/>
        </w:rPr>
        <w:t>, M. (2005).</w:t>
      </w:r>
      <w:proofErr w:type="gramEnd"/>
      <w:r w:rsidRPr="00EC2C9C">
        <w:rPr>
          <w:rFonts w:ascii="Calibri" w:eastAsiaTheme="minorEastAsia" w:hAnsi="Calibri"/>
        </w:rPr>
        <w:t xml:space="preserve"> Maximum likelihood estimates of tag loss in leatherback sea turtles. </w:t>
      </w:r>
      <w:r w:rsidRPr="00EC2C9C">
        <w:rPr>
          <w:rFonts w:ascii="Calibri" w:eastAsiaTheme="minorEastAsia" w:hAnsi="Calibri"/>
          <w:i/>
        </w:rPr>
        <w:t>Journal of Wildlife Management</w:t>
      </w:r>
      <w:r w:rsidRPr="00EC2C9C">
        <w:rPr>
          <w:rFonts w:ascii="Calibri" w:eastAsiaTheme="minorEastAsia" w:hAnsi="Calibri"/>
        </w:rPr>
        <w:t xml:space="preserve"> </w:t>
      </w:r>
      <w:r w:rsidRPr="00EC2C9C">
        <w:rPr>
          <w:rFonts w:ascii="Calibri" w:eastAsiaTheme="minorEastAsia" w:hAnsi="Calibri"/>
          <w:b/>
        </w:rPr>
        <w:t>69</w:t>
      </w:r>
      <w:r w:rsidRPr="00EC2C9C">
        <w:rPr>
          <w:rFonts w:ascii="Calibri" w:eastAsiaTheme="minorEastAsia" w:hAnsi="Calibri"/>
        </w:rPr>
        <w:t>, 540-548.</w:t>
      </w:r>
    </w:p>
    <w:p w:rsidR="00760228" w:rsidRDefault="00760228" w:rsidP="00760228">
      <w:pPr>
        <w:spacing w:after="0" w:line="240" w:lineRule="auto"/>
        <w:rPr>
          <w:rFonts w:ascii="Calibri" w:eastAsiaTheme="minorEastAsia" w:hAnsi="Calibri"/>
        </w:rPr>
      </w:pPr>
    </w:p>
    <w:p w:rsidR="00760228" w:rsidRDefault="00760228" w:rsidP="00760228">
      <w:pPr>
        <w:spacing w:after="0" w:line="240" w:lineRule="auto"/>
        <w:rPr>
          <w:rFonts w:ascii="Calibri" w:eastAsiaTheme="minorEastAsia" w:hAnsi="Calibri"/>
        </w:rPr>
      </w:pPr>
      <w:proofErr w:type="spellStart"/>
      <w:proofErr w:type="gramStart"/>
      <w:r w:rsidRPr="00EC2C9C">
        <w:rPr>
          <w:rFonts w:ascii="Calibri" w:eastAsiaTheme="minorEastAsia" w:hAnsi="Calibri"/>
        </w:rPr>
        <w:t>Siniff</w:t>
      </w:r>
      <w:proofErr w:type="spellEnd"/>
      <w:r w:rsidRPr="00EC2C9C">
        <w:rPr>
          <w:rFonts w:ascii="Calibri" w:eastAsiaTheme="minorEastAsia" w:hAnsi="Calibri"/>
        </w:rPr>
        <w:t>, D. B., and Ralls, K. (1991).</w:t>
      </w:r>
      <w:proofErr w:type="gramEnd"/>
      <w:r w:rsidRPr="00EC2C9C">
        <w:rPr>
          <w:rFonts w:ascii="Calibri" w:eastAsiaTheme="minorEastAsia" w:hAnsi="Calibri"/>
        </w:rPr>
        <w:t xml:space="preserve"> </w:t>
      </w:r>
      <w:proofErr w:type="gramStart"/>
      <w:r w:rsidRPr="00EC2C9C">
        <w:rPr>
          <w:rFonts w:ascii="Calibri" w:eastAsiaTheme="minorEastAsia" w:hAnsi="Calibri"/>
        </w:rPr>
        <w:t>Reproduction, Survival and Tag Loss in California Sea Otters.</w:t>
      </w:r>
      <w:proofErr w:type="gramEnd"/>
      <w:r w:rsidRPr="00EC2C9C">
        <w:rPr>
          <w:rFonts w:ascii="Calibri" w:eastAsiaTheme="minorEastAsia" w:hAnsi="Calibri"/>
        </w:rPr>
        <w:t xml:space="preserve"> </w:t>
      </w:r>
      <w:r w:rsidRPr="00EC2C9C">
        <w:rPr>
          <w:rFonts w:ascii="Calibri" w:eastAsiaTheme="minorEastAsia" w:hAnsi="Calibri"/>
          <w:i/>
        </w:rPr>
        <w:t>Marine Mammal Science</w:t>
      </w:r>
      <w:r w:rsidRPr="00EC2C9C">
        <w:rPr>
          <w:rFonts w:ascii="Calibri" w:eastAsiaTheme="minorEastAsia" w:hAnsi="Calibri"/>
        </w:rPr>
        <w:t xml:space="preserve"> </w:t>
      </w:r>
      <w:r w:rsidRPr="00EC2C9C">
        <w:rPr>
          <w:rFonts w:ascii="Calibri" w:eastAsiaTheme="minorEastAsia" w:hAnsi="Calibri"/>
          <w:b/>
        </w:rPr>
        <w:t>7</w:t>
      </w:r>
      <w:r w:rsidRPr="00EC2C9C">
        <w:rPr>
          <w:rFonts w:ascii="Calibri" w:eastAsiaTheme="minorEastAsia" w:hAnsi="Calibri"/>
        </w:rPr>
        <w:t>, 211-229.</w:t>
      </w:r>
    </w:p>
    <w:p w:rsidR="00760228" w:rsidRDefault="00760228" w:rsidP="00760228">
      <w:pPr>
        <w:spacing w:after="0" w:line="240" w:lineRule="auto"/>
        <w:rPr>
          <w:rFonts w:ascii="Calibri" w:eastAsiaTheme="minorEastAsia" w:hAnsi="Calibri"/>
        </w:rPr>
      </w:pPr>
    </w:p>
    <w:p w:rsidR="00760228" w:rsidRPr="001C75E2" w:rsidRDefault="00760228" w:rsidP="00760228">
      <w:pPr>
        <w:rPr>
          <w:rFonts w:ascii="Calibri" w:eastAsia="Calibri" w:hAnsi="Calibri" w:cs="Times New Roman"/>
        </w:rPr>
      </w:pPr>
      <w:proofErr w:type="gramStart"/>
      <w:r w:rsidRPr="001C75E2">
        <w:rPr>
          <w:rFonts w:ascii="Calibri" w:eastAsia="Calibri" w:hAnsi="Calibri" w:cs="Times New Roman"/>
        </w:rPr>
        <w:t xml:space="preserve">Alt, G. L., C. R. </w:t>
      </w:r>
      <w:proofErr w:type="spellStart"/>
      <w:r w:rsidRPr="001C75E2">
        <w:rPr>
          <w:rFonts w:ascii="Calibri" w:eastAsia="Calibri" w:hAnsi="Calibri" w:cs="Times New Roman"/>
        </w:rPr>
        <w:t>McClaughlin</w:t>
      </w:r>
      <w:proofErr w:type="spellEnd"/>
      <w:r w:rsidRPr="001C75E2">
        <w:rPr>
          <w:rFonts w:ascii="Calibri" w:eastAsia="Calibri" w:hAnsi="Calibri" w:cs="Times New Roman"/>
        </w:rPr>
        <w:t>, and K. H. Pollock.</w:t>
      </w:r>
      <w:proofErr w:type="gramEnd"/>
      <w:r w:rsidRPr="001C75E2">
        <w:rPr>
          <w:rFonts w:ascii="Calibri" w:eastAsia="Calibri" w:hAnsi="Calibri" w:cs="Times New Roman"/>
        </w:rPr>
        <w:t xml:space="preserve"> 1985. Ear tag loss by black bears in </w:t>
      </w:r>
      <w:smartTag w:uri="urn:schemas-microsoft-com:office:smarttags" w:element="State">
        <w:smartTag w:uri="urn:schemas-microsoft-com:office:smarttags" w:element="place">
          <w:r w:rsidRPr="001C75E2">
            <w:rPr>
              <w:rFonts w:ascii="Calibri" w:eastAsia="Calibri" w:hAnsi="Calibri" w:cs="Times New Roman"/>
            </w:rPr>
            <w:t>Pennsylvania</w:t>
          </w:r>
        </w:smartTag>
      </w:smartTag>
      <w:r w:rsidRPr="001C75E2">
        <w:rPr>
          <w:rFonts w:ascii="Calibri" w:eastAsia="Calibri" w:hAnsi="Calibri" w:cs="Times New Roman"/>
        </w:rPr>
        <w:t>. Journal of Wildlife Management 49:316-320.</w:t>
      </w:r>
    </w:p>
    <w:p w:rsidR="00760228" w:rsidRPr="001C75E2" w:rsidRDefault="00760228" w:rsidP="00760228">
      <w:pPr>
        <w:rPr>
          <w:rFonts w:ascii="Calibri" w:eastAsia="Calibri" w:hAnsi="Calibri" w:cs="Times New Roman"/>
        </w:rPr>
      </w:pPr>
      <w:proofErr w:type="spellStart"/>
      <w:proofErr w:type="gramStart"/>
      <w:r w:rsidRPr="001C75E2">
        <w:rPr>
          <w:rFonts w:ascii="Calibri" w:eastAsia="Calibri" w:hAnsi="Calibri" w:cs="Times New Roman"/>
        </w:rPr>
        <w:t>Arnason</w:t>
      </w:r>
      <w:proofErr w:type="spellEnd"/>
      <w:r w:rsidRPr="001C75E2">
        <w:rPr>
          <w:rFonts w:ascii="Calibri" w:eastAsia="Calibri" w:hAnsi="Calibri" w:cs="Times New Roman"/>
        </w:rPr>
        <w:t>, A. N., and K. H. Mills.</w:t>
      </w:r>
      <w:proofErr w:type="gramEnd"/>
      <w:r w:rsidRPr="001C75E2">
        <w:rPr>
          <w:rFonts w:ascii="Calibri" w:eastAsia="Calibri" w:hAnsi="Calibri" w:cs="Times New Roman"/>
        </w:rPr>
        <w:t xml:space="preserve"> 1981. Bias and loss of precision due to tag loss in Jolly-</w:t>
      </w:r>
      <w:proofErr w:type="spellStart"/>
      <w:r w:rsidRPr="001C75E2">
        <w:rPr>
          <w:rFonts w:ascii="Calibri" w:eastAsia="Calibri" w:hAnsi="Calibri" w:cs="Times New Roman"/>
        </w:rPr>
        <w:t>Seber</w:t>
      </w:r>
      <w:proofErr w:type="spellEnd"/>
      <w:r w:rsidRPr="001C75E2">
        <w:rPr>
          <w:rFonts w:ascii="Calibri" w:eastAsia="Calibri" w:hAnsi="Calibri" w:cs="Times New Roman"/>
        </w:rPr>
        <w:t xml:space="preserve"> estimates for mark-recapture experiments. Canadian Journal of Fisheries and Aquatic Sciences 38:1077-1095.</w:t>
      </w:r>
    </w:p>
    <w:p w:rsidR="00760228" w:rsidRPr="001C75E2" w:rsidRDefault="00760228" w:rsidP="00760228">
      <w:pPr>
        <w:rPr>
          <w:rFonts w:ascii="Calibri" w:eastAsia="Calibri" w:hAnsi="Calibri" w:cs="Times New Roman"/>
        </w:rPr>
      </w:pPr>
      <w:proofErr w:type="gramStart"/>
      <w:r w:rsidRPr="001C75E2">
        <w:rPr>
          <w:rFonts w:ascii="Calibri" w:eastAsia="Calibri" w:hAnsi="Calibri" w:cs="Times New Roman"/>
        </w:rPr>
        <w:t>Bradshaw, C. J. A., Barker, R. J., and Davis, L. S. (2000).</w:t>
      </w:r>
      <w:proofErr w:type="gramEnd"/>
      <w:r w:rsidRPr="001C75E2">
        <w:rPr>
          <w:rFonts w:ascii="Calibri" w:eastAsia="Calibri" w:hAnsi="Calibri" w:cs="Times New Roman"/>
        </w:rPr>
        <w:t xml:space="preserve"> Modeling tag loss in </w:t>
      </w:r>
      <w:smartTag w:uri="urn:schemas-microsoft-com:office:smarttags" w:element="country-region">
        <w:smartTag w:uri="urn:schemas-microsoft-com:office:smarttags" w:element="place">
          <w:r w:rsidRPr="001C75E2">
            <w:rPr>
              <w:rFonts w:ascii="Calibri" w:eastAsia="Calibri" w:hAnsi="Calibri" w:cs="Times New Roman"/>
            </w:rPr>
            <w:t>New Zealand</w:t>
          </w:r>
        </w:smartTag>
      </w:smartTag>
      <w:r w:rsidRPr="001C75E2">
        <w:rPr>
          <w:rFonts w:ascii="Calibri" w:eastAsia="Calibri" w:hAnsi="Calibri" w:cs="Times New Roman"/>
        </w:rPr>
        <w:t xml:space="preserve"> fur seal pups. Journal of Agricultural, Biological, and Environmental Statistics</w:t>
      </w:r>
      <w:r>
        <w:rPr>
          <w:rFonts w:ascii="Calibri" w:eastAsia="Calibri" w:hAnsi="Calibri" w:cs="Times New Roman"/>
        </w:rPr>
        <w:t xml:space="preserve"> </w:t>
      </w:r>
      <w:r w:rsidRPr="001C75E2">
        <w:rPr>
          <w:rFonts w:ascii="Calibri" w:eastAsia="Calibri" w:hAnsi="Calibri" w:cs="Times New Roman"/>
        </w:rPr>
        <w:t>5:475–485.</w:t>
      </w:r>
    </w:p>
    <w:p w:rsidR="00760228" w:rsidRPr="001C75E2" w:rsidRDefault="00760228" w:rsidP="00760228">
      <w:pPr>
        <w:rPr>
          <w:rFonts w:ascii="Calibri" w:eastAsia="Calibri" w:hAnsi="Calibri" w:cs="Times New Roman"/>
        </w:rPr>
      </w:pPr>
      <w:proofErr w:type="gramStart"/>
      <w:r w:rsidRPr="001C75E2">
        <w:rPr>
          <w:rFonts w:ascii="Calibri" w:eastAsia="Calibri" w:hAnsi="Calibri" w:cs="Times New Roman"/>
        </w:rPr>
        <w:t>Cowen, L., and C. J. Schwartz.</w:t>
      </w:r>
      <w:proofErr w:type="gramEnd"/>
      <w:r w:rsidRPr="001C75E2">
        <w:rPr>
          <w:rFonts w:ascii="Calibri" w:eastAsia="Calibri" w:hAnsi="Calibri" w:cs="Times New Roman"/>
        </w:rPr>
        <w:t xml:space="preserve"> 2006. The Jolly-</w:t>
      </w:r>
      <w:proofErr w:type="spellStart"/>
      <w:r w:rsidRPr="001C75E2">
        <w:rPr>
          <w:rFonts w:ascii="Calibri" w:eastAsia="Calibri" w:hAnsi="Calibri" w:cs="Times New Roman"/>
        </w:rPr>
        <w:t>Seber</w:t>
      </w:r>
      <w:proofErr w:type="spellEnd"/>
      <w:r w:rsidRPr="001C75E2">
        <w:rPr>
          <w:rFonts w:ascii="Calibri" w:eastAsia="Calibri" w:hAnsi="Calibri" w:cs="Times New Roman"/>
        </w:rPr>
        <w:t xml:space="preserve"> model with tag loss. Biometrics 62:699-705.</w:t>
      </w:r>
    </w:p>
    <w:p w:rsidR="00760228" w:rsidRPr="001C75E2" w:rsidRDefault="00760228" w:rsidP="00760228">
      <w:pPr>
        <w:rPr>
          <w:rFonts w:ascii="Calibri" w:eastAsia="Calibri" w:hAnsi="Calibri" w:cs="Times New Roman"/>
        </w:rPr>
      </w:pPr>
      <w:proofErr w:type="spellStart"/>
      <w:r w:rsidRPr="001C75E2">
        <w:rPr>
          <w:rFonts w:ascii="Calibri" w:eastAsia="Calibri" w:hAnsi="Calibri" w:cs="Times New Roman"/>
        </w:rPr>
        <w:t>Fabrizio</w:t>
      </w:r>
      <w:proofErr w:type="spellEnd"/>
      <w:r w:rsidRPr="001C75E2">
        <w:rPr>
          <w:rFonts w:ascii="Calibri" w:eastAsia="Calibri" w:hAnsi="Calibri" w:cs="Times New Roman"/>
        </w:rPr>
        <w:t xml:space="preserve"> MC, Nichols JD, Hines JE, Swanson BL, </w:t>
      </w:r>
      <w:proofErr w:type="spellStart"/>
      <w:r w:rsidRPr="001C75E2">
        <w:rPr>
          <w:rFonts w:ascii="Calibri" w:eastAsia="Calibri" w:hAnsi="Calibri" w:cs="Times New Roman"/>
        </w:rPr>
        <w:t>Schram</w:t>
      </w:r>
      <w:proofErr w:type="spellEnd"/>
      <w:r w:rsidRPr="001C75E2">
        <w:rPr>
          <w:rFonts w:ascii="Calibri" w:eastAsia="Calibri" w:hAnsi="Calibri" w:cs="Times New Roman"/>
        </w:rPr>
        <w:t xml:space="preserve"> ST. 1999. </w:t>
      </w:r>
      <w:proofErr w:type="gramStart"/>
      <w:r w:rsidRPr="001C75E2">
        <w:rPr>
          <w:rFonts w:ascii="Calibri" w:eastAsia="Calibri" w:hAnsi="Calibri" w:cs="Times New Roman"/>
        </w:rPr>
        <w:t>Modeling data from double-tagging experiments to estimate heterogeneous rates of tag shedding in lake trout (</w:t>
      </w:r>
      <w:proofErr w:type="spellStart"/>
      <w:r w:rsidRPr="001C75E2">
        <w:rPr>
          <w:rFonts w:ascii="Calibri" w:eastAsia="Calibri" w:hAnsi="Calibri" w:cs="Times New Roman"/>
          <w:i/>
        </w:rPr>
        <w:t>Salvelinus</w:t>
      </w:r>
      <w:proofErr w:type="spellEnd"/>
      <w:r w:rsidRPr="001C75E2">
        <w:rPr>
          <w:rFonts w:ascii="Calibri" w:eastAsia="Calibri" w:hAnsi="Calibri" w:cs="Times New Roman"/>
          <w:i/>
        </w:rPr>
        <w:t xml:space="preserve"> </w:t>
      </w:r>
      <w:proofErr w:type="spellStart"/>
      <w:r w:rsidRPr="001C75E2">
        <w:rPr>
          <w:rFonts w:ascii="Calibri" w:eastAsia="Calibri" w:hAnsi="Calibri" w:cs="Times New Roman"/>
          <w:i/>
        </w:rPr>
        <w:t>namaycush</w:t>
      </w:r>
      <w:proofErr w:type="spellEnd"/>
      <w:r w:rsidRPr="001C75E2">
        <w:rPr>
          <w:rFonts w:ascii="Calibri" w:eastAsia="Calibri" w:hAnsi="Calibri" w:cs="Times New Roman"/>
        </w:rPr>
        <w:t>).</w:t>
      </w:r>
      <w:proofErr w:type="gramEnd"/>
      <w:r w:rsidRPr="001C75E2">
        <w:rPr>
          <w:rFonts w:ascii="Calibri" w:eastAsia="Calibri" w:hAnsi="Calibri" w:cs="Times New Roman"/>
        </w:rPr>
        <w:t xml:space="preserve"> Canadian Journal of Fisheries and Aquatic Sciences 56:1409-1419.</w:t>
      </w:r>
    </w:p>
    <w:p w:rsidR="00760228" w:rsidRPr="001C75E2" w:rsidRDefault="00760228" w:rsidP="00760228">
      <w:pPr>
        <w:rPr>
          <w:rFonts w:ascii="Calibri" w:eastAsia="Calibri" w:hAnsi="Calibri" w:cs="Times New Roman"/>
        </w:rPr>
      </w:pPr>
      <w:proofErr w:type="spellStart"/>
      <w:r w:rsidRPr="001C75E2">
        <w:rPr>
          <w:rFonts w:ascii="Calibri" w:eastAsia="Calibri" w:hAnsi="Calibri" w:cs="Times New Roman"/>
        </w:rPr>
        <w:t>Fosgate</w:t>
      </w:r>
      <w:proofErr w:type="spellEnd"/>
      <w:r w:rsidRPr="001C75E2">
        <w:rPr>
          <w:rFonts w:ascii="Calibri" w:eastAsia="Calibri" w:hAnsi="Calibri" w:cs="Times New Roman"/>
        </w:rPr>
        <w:t xml:space="preserve"> GT, </w:t>
      </w:r>
      <w:proofErr w:type="spellStart"/>
      <w:r w:rsidRPr="001C75E2">
        <w:rPr>
          <w:rFonts w:ascii="Calibri" w:eastAsia="Calibri" w:hAnsi="Calibri" w:cs="Times New Roman"/>
        </w:rPr>
        <w:t>Adesiyun</w:t>
      </w:r>
      <w:proofErr w:type="spellEnd"/>
      <w:r w:rsidRPr="001C75E2">
        <w:rPr>
          <w:rFonts w:ascii="Calibri" w:eastAsia="Calibri" w:hAnsi="Calibri" w:cs="Times New Roman"/>
        </w:rPr>
        <w:t xml:space="preserve"> AA, </w:t>
      </w:r>
      <w:proofErr w:type="spellStart"/>
      <w:r w:rsidRPr="001C75E2">
        <w:rPr>
          <w:rFonts w:ascii="Calibri" w:eastAsia="Calibri" w:hAnsi="Calibri" w:cs="Times New Roman"/>
        </w:rPr>
        <w:t>Hird</w:t>
      </w:r>
      <w:proofErr w:type="spellEnd"/>
      <w:r w:rsidRPr="001C75E2">
        <w:rPr>
          <w:rFonts w:ascii="Calibri" w:eastAsia="Calibri" w:hAnsi="Calibri" w:cs="Times New Roman"/>
        </w:rPr>
        <w:t xml:space="preserve"> DW. 2006. Ear-tag retention and identification methods for extensively managed water buffalo (</w:t>
      </w:r>
      <w:proofErr w:type="spellStart"/>
      <w:r w:rsidRPr="001C75E2">
        <w:rPr>
          <w:rFonts w:ascii="Calibri" w:eastAsia="Calibri" w:hAnsi="Calibri" w:cs="Times New Roman"/>
          <w:i/>
        </w:rPr>
        <w:t>Bubalus</w:t>
      </w:r>
      <w:proofErr w:type="spellEnd"/>
      <w:r w:rsidRPr="001C75E2">
        <w:rPr>
          <w:rFonts w:ascii="Calibri" w:eastAsia="Calibri" w:hAnsi="Calibri" w:cs="Times New Roman"/>
          <w:i/>
        </w:rPr>
        <w:t xml:space="preserve"> </w:t>
      </w:r>
      <w:proofErr w:type="spellStart"/>
      <w:r w:rsidRPr="001C75E2">
        <w:rPr>
          <w:rFonts w:ascii="Calibri" w:eastAsia="Calibri" w:hAnsi="Calibri" w:cs="Times New Roman"/>
          <w:i/>
        </w:rPr>
        <w:t>bubalis</w:t>
      </w:r>
      <w:proofErr w:type="spellEnd"/>
      <w:r w:rsidRPr="001C75E2">
        <w:rPr>
          <w:rFonts w:ascii="Calibri" w:eastAsia="Calibri" w:hAnsi="Calibri" w:cs="Times New Roman"/>
        </w:rPr>
        <w:t xml:space="preserve">) in </w:t>
      </w:r>
      <w:smartTag w:uri="urn:schemas-microsoft-com:office:smarttags" w:element="place">
        <w:r w:rsidRPr="001C75E2">
          <w:rPr>
            <w:rFonts w:ascii="Calibri" w:eastAsia="Calibri" w:hAnsi="Calibri" w:cs="Times New Roman"/>
          </w:rPr>
          <w:t>Trinidad</w:t>
        </w:r>
      </w:smartTag>
      <w:r w:rsidRPr="001C75E2">
        <w:rPr>
          <w:rFonts w:ascii="Calibri" w:eastAsia="Calibri" w:hAnsi="Calibri" w:cs="Times New Roman"/>
        </w:rPr>
        <w:t>. Preventive Veterinary Medicine 73:287-296.</w:t>
      </w:r>
    </w:p>
    <w:p w:rsidR="00760228" w:rsidRPr="00B5410F" w:rsidRDefault="00760228" w:rsidP="00760228">
      <w:pPr>
        <w:rPr>
          <w:rFonts w:ascii="Calibri" w:eastAsia="Calibri" w:hAnsi="Calibri" w:cs="Times New Roman"/>
        </w:rPr>
      </w:pPr>
      <w:proofErr w:type="gramStart"/>
      <w:r w:rsidRPr="00B5410F">
        <w:rPr>
          <w:rFonts w:ascii="Calibri" w:eastAsia="Calibri" w:hAnsi="Calibri" w:cs="Times New Roman"/>
        </w:rPr>
        <w:t xml:space="preserve">Pollock KH (Pollock, Kenneth H.), </w:t>
      </w:r>
      <w:proofErr w:type="spellStart"/>
      <w:r w:rsidRPr="00B5410F">
        <w:rPr>
          <w:rFonts w:ascii="Calibri" w:eastAsia="Calibri" w:hAnsi="Calibri" w:cs="Times New Roman"/>
        </w:rPr>
        <w:t>Yoshizaki</w:t>
      </w:r>
      <w:proofErr w:type="spellEnd"/>
      <w:r w:rsidRPr="00B5410F">
        <w:rPr>
          <w:rFonts w:ascii="Calibri" w:eastAsia="Calibri" w:hAnsi="Calibri" w:cs="Times New Roman"/>
        </w:rPr>
        <w:t xml:space="preserve"> J (</w:t>
      </w:r>
      <w:proofErr w:type="spellStart"/>
      <w:r w:rsidRPr="00B5410F">
        <w:rPr>
          <w:rFonts w:ascii="Calibri" w:eastAsia="Calibri" w:hAnsi="Calibri" w:cs="Times New Roman"/>
        </w:rPr>
        <w:t>Yoshizaki</w:t>
      </w:r>
      <w:proofErr w:type="spellEnd"/>
      <w:r w:rsidRPr="00B5410F">
        <w:rPr>
          <w:rFonts w:ascii="Calibri" w:eastAsia="Calibri" w:hAnsi="Calibri" w:cs="Times New Roman"/>
        </w:rPr>
        <w:t xml:space="preserve">, Jun), </w:t>
      </w:r>
      <w:proofErr w:type="spellStart"/>
      <w:r w:rsidRPr="00B5410F">
        <w:rPr>
          <w:rFonts w:ascii="Calibri" w:eastAsia="Calibri" w:hAnsi="Calibri" w:cs="Times New Roman"/>
        </w:rPr>
        <w:t>Fabrizio</w:t>
      </w:r>
      <w:proofErr w:type="spellEnd"/>
      <w:r w:rsidRPr="00B5410F">
        <w:rPr>
          <w:rFonts w:ascii="Calibri" w:eastAsia="Calibri" w:hAnsi="Calibri" w:cs="Times New Roman"/>
        </w:rPr>
        <w:t xml:space="preserve"> MC (</w:t>
      </w:r>
      <w:proofErr w:type="spellStart"/>
      <w:r w:rsidRPr="00B5410F">
        <w:rPr>
          <w:rFonts w:ascii="Calibri" w:eastAsia="Calibri" w:hAnsi="Calibri" w:cs="Times New Roman"/>
        </w:rPr>
        <w:t>Fabrizio</w:t>
      </w:r>
      <w:proofErr w:type="spellEnd"/>
      <w:r w:rsidRPr="00B5410F">
        <w:rPr>
          <w:rFonts w:ascii="Calibri" w:eastAsia="Calibri" w:hAnsi="Calibri" w:cs="Times New Roman"/>
        </w:rPr>
        <w:t xml:space="preserve">, Mary C.), </w:t>
      </w:r>
      <w:proofErr w:type="spellStart"/>
      <w:r w:rsidRPr="00B5410F">
        <w:rPr>
          <w:rFonts w:ascii="Calibri" w:eastAsia="Calibri" w:hAnsi="Calibri" w:cs="Times New Roman"/>
        </w:rPr>
        <w:t>Schram</w:t>
      </w:r>
      <w:proofErr w:type="spellEnd"/>
      <w:r w:rsidRPr="00B5410F">
        <w:rPr>
          <w:rFonts w:ascii="Calibri" w:eastAsia="Calibri" w:hAnsi="Calibri" w:cs="Times New Roman"/>
        </w:rPr>
        <w:t xml:space="preserve"> ST (</w:t>
      </w:r>
      <w:proofErr w:type="spellStart"/>
      <w:r w:rsidRPr="00B5410F">
        <w:rPr>
          <w:rFonts w:ascii="Calibri" w:eastAsia="Calibri" w:hAnsi="Calibri" w:cs="Times New Roman"/>
        </w:rPr>
        <w:t>Schram</w:t>
      </w:r>
      <w:proofErr w:type="spellEnd"/>
      <w:r w:rsidRPr="00B5410F">
        <w:rPr>
          <w:rFonts w:ascii="Calibri" w:eastAsia="Calibri" w:hAnsi="Calibri" w:cs="Times New Roman"/>
        </w:rPr>
        <w:t>, Stephen T.)</w:t>
      </w:r>
      <w:r>
        <w:rPr>
          <w:rFonts w:ascii="Calibri" w:eastAsia="Calibri" w:hAnsi="Calibri" w:cs="Times New Roman"/>
        </w:rPr>
        <w:t>.</w:t>
      </w:r>
      <w:proofErr w:type="gramEnd"/>
      <w:r>
        <w:rPr>
          <w:rFonts w:ascii="Calibri" w:eastAsia="Calibri" w:hAnsi="Calibri" w:cs="Times New Roman"/>
        </w:rPr>
        <w:t xml:space="preserve"> 2007. </w:t>
      </w:r>
      <w:r w:rsidRPr="00B5410F">
        <w:rPr>
          <w:rFonts w:ascii="Calibri" w:eastAsia="Calibri" w:hAnsi="Calibri" w:cs="Times New Roman"/>
        </w:rPr>
        <w:t>Factors affecting survival rates of a recovering lake trout population estimated by mark-recapture in Lake Superior, 1969-1996</w:t>
      </w:r>
      <w:r>
        <w:rPr>
          <w:rFonts w:ascii="Calibri" w:eastAsia="Calibri" w:hAnsi="Calibri" w:cs="Times New Roman"/>
        </w:rPr>
        <w:t>. Transactions o</w:t>
      </w:r>
      <w:r w:rsidRPr="00B5410F">
        <w:rPr>
          <w:rFonts w:ascii="Calibri" w:eastAsia="Calibri" w:hAnsi="Calibri" w:cs="Times New Roman"/>
        </w:rPr>
        <w:t xml:space="preserve">f </w:t>
      </w:r>
      <w:r>
        <w:rPr>
          <w:rFonts w:ascii="Calibri" w:eastAsia="Calibri" w:hAnsi="Calibri" w:cs="Times New Roman"/>
        </w:rPr>
        <w:t>t</w:t>
      </w:r>
      <w:r w:rsidRPr="00B5410F">
        <w:rPr>
          <w:rFonts w:ascii="Calibri" w:eastAsia="Calibri" w:hAnsi="Calibri" w:cs="Times New Roman"/>
        </w:rPr>
        <w:t>he American Fisheries Society</w:t>
      </w:r>
      <w:r>
        <w:rPr>
          <w:rFonts w:ascii="Calibri" w:eastAsia="Calibri" w:hAnsi="Calibri" w:cs="Times New Roman"/>
        </w:rPr>
        <w:t xml:space="preserve"> 136:185-194.</w:t>
      </w:r>
    </w:p>
    <w:p w:rsidR="00760228" w:rsidRPr="001C75E2" w:rsidRDefault="00760228" w:rsidP="00760228">
      <w:pPr>
        <w:rPr>
          <w:rFonts w:ascii="Calibri" w:eastAsia="Calibri" w:hAnsi="Calibri" w:cs="Times New Roman"/>
        </w:rPr>
      </w:pPr>
      <w:proofErr w:type="spellStart"/>
      <w:proofErr w:type="gramStart"/>
      <w:r w:rsidRPr="001C75E2">
        <w:rPr>
          <w:rFonts w:ascii="Calibri" w:eastAsia="Calibri" w:hAnsi="Calibri" w:cs="Times New Roman"/>
        </w:rPr>
        <w:t>Rotella</w:t>
      </w:r>
      <w:proofErr w:type="spellEnd"/>
      <w:r w:rsidRPr="001C75E2">
        <w:rPr>
          <w:rFonts w:ascii="Calibri" w:eastAsia="Calibri" w:hAnsi="Calibri" w:cs="Times New Roman"/>
        </w:rPr>
        <w:t>, J. J., and J. E. Hines.</w:t>
      </w:r>
      <w:proofErr w:type="gramEnd"/>
      <w:r w:rsidRPr="001C75E2">
        <w:rPr>
          <w:rFonts w:ascii="Calibri" w:eastAsia="Calibri" w:hAnsi="Calibri" w:cs="Times New Roman"/>
        </w:rPr>
        <w:t xml:space="preserve"> 2005. Effects of tag loss on direct estimates of population growth rate. Ecology 86:821-827.</w:t>
      </w:r>
    </w:p>
    <w:p w:rsidR="00760228" w:rsidRPr="001C75E2" w:rsidRDefault="00760228" w:rsidP="00760228">
      <w:pPr>
        <w:rPr>
          <w:rFonts w:ascii="Calibri" w:eastAsia="Calibri" w:hAnsi="Calibri" w:cs="Times New Roman"/>
        </w:rPr>
      </w:pPr>
      <w:proofErr w:type="spellStart"/>
      <w:r w:rsidRPr="001C75E2">
        <w:rPr>
          <w:rFonts w:ascii="Calibri" w:eastAsia="Calibri" w:hAnsi="Calibri" w:cs="Times New Roman"/>
        </w:rPr>
        <w:t>Stevick</w:t>
      </w:r>
      <w:proofErr w:type="spellEnd"/>
      <w:r w:rsidRPr="001C75E2">
        <w:rPr>
          <w:rFonts w:ascii="Calibri" w:eastAsia="Calibri" w:hAnsi="Calibri" w:cs="Times New Roman"/>
        </w:rPr>
        <w:t xml:space="preserve"> PT, </w:t>
      </w:r>
      <w:proofErr w:type="spellStart"/>
      <w:r w:rsidRPr="001C75E2">
        <w:rPr>
          <w:rFonts w:ascii="Calibri" w:eastAsia="Calibri" w:hAnsi="Calibri" w:cs="Times New Roman"/>
        </w:rPr>
        <w:t>Palsboll</w:t>
      </w:r>
      <w:proofErr w:type="spellEnd"/>
      <w:r w:rsidRPr="001C75E2">
        <w:rPr>
          <w:rFonts w:ascii="Calibri" w:eastAsia="Calibri" w:hAnsi="Calibri" w:cs="Times New Roman"/>
        </w:rPr>
        <w:t xml:space="preserve"> PJ, Smith TD, </w:t>
      </w:r>
      <w:proofErr w:type="spellStart"/>
      <w:r w:rsidRPr="001C75E2">
        <w:rPr>
          <w:rFonts w:ascii="Calibri" w:eastAsia="Calibri" w:hAnsi="Calibri" w:cs="Times New Roman"/>
        </w:rPr>
        <w:t>Bravington</w:t>
      </w:r>
      <w:proofErr w:type="spellEnd"/>
      <w:r w:rsidRPr="001C75E2">
        <w:rPr>
          <w:rFonts w:ascii="Calibri" w:eastAsia="Calibri" w:hAnsi="Calibri" w:cs="Times New Roman"/>
        </w:rPr>
        <w:t xml:space="preserve"> MV, Hammond PS. 2001. Errors in identification using natural markings: rates, sources, and effects on capture-recapture estimates of abundance. Canadian Journal of Fisheries and Aquatic Sciences 58:1861-1870.</w:t>
      </w:r>
    </w:p>
    <w:sectPr w:rsidR="00760228" w:rsidRPr="001C75E2" w:rsidSect="008C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docVars>
    <w:docVar w:name="EN.InstantFormat" w:val="&lt;ENInstantFormat&gt;&lt;Enabled&gt;0&lt;/Enabled&gt;&lt;ScanUnformatted&gt;1&lt;/ScanUnformatted&gt;&lt;ScanChanges&gt;1&lt;/ScanChanges&gt;&lt;/ENInstantFormat&gt;"/>
  </w:docVars>
  <w:rsids>
    <w:rsidRoot w:val="00F7475C"/>
    <w:rsid w:val="000E29AA"/>
    <w:rsid w:val="001C37CF"/>
    <w:rsid w:val="001C68D4"/>
    <w:rsid w:val="004121F3"/>
    <w:rsid w:val="00517564"/>
    <w:rsid w:val="00624C61"/>
    <w:rsid w:val="006A3293"/>
    <w:rsid w:val="006C53B3"/>
    <w:rsid w:val="00760228"/>
    <w:rsid w:val="007E510F"/>
    <w:rsid w:val="008C01CD"/>
    <w:rsid w:val="00A70CD0"/>
    <w:rsid w:val="00AE7371"/>
    <w:rsid w:val="00B61CF3"/>
    <w:rsid w:val="00BB63D9"/>
    <w:rsid w:val="00C22477"/>
    <w:rsid w:val="00DA14CE"/>
    <w:rsid w:val="00DC5051"/>
    <w:rsid w:val="00DC660D"/>
    <w:rsid w:val="00EF01DE"/>
    <w:rsid w:val="00F7475C"/>
    <w:rsid w:val="00F74C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7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75C"/>
    <w:rPr>
      <w:color w:val="808080"/>
    </w:rPr>
  </w:style>
  <w:style w:type="paragraph" w:styleId="BalloonText">
    <w:name w:val="Balloon Text"/>
    <w:basedOn w:val="Normal"/>
    <w:link w:val="BalloonTextChar"/>
    <w:uiPriority w:val="99"/>
    <w:semiHidden/>
    <w:unhideWhenUsed/>
    <w:rsid w:val="00F74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75C"/>
    <w:rPr>
      <w:rFonts w:ascii="Tahoma" w:hAnsi="Tahoma" w:cs="Tahoma"/>
      <w:sz w:val="16"/>
      <w:szCs w:val="16"/>
    </w:rPr>
  </w:style>
  <w:style w:type="table" w:styleId="TableGrid">
    <w:name w:val="Table Grid"/>
    <w:basedOn w:val="TableNormal"/>
    <w:uiPriority w:val="59"/>
    <w:rsid w:val="00F747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F7475C"/>
    <w:rPr>
      <w:sz w:val="16"/>
      <w:szCs w:val="16"/>
    </w:rPr>
  </w:style>
  <w:style w:type="paragraph" w:styleId="CommentText">
    <w:name w:val="annotation text"/>
    <w:basedOn w:val="Normal"/>
    <w:link w:val="CommentTextChar"/>
    <w:semiHidden/>
    <w:unhideWhenUsed/>
    <w:rsid w:val="00F7475C"/>
    <w:pPr>
      <w:spacing w:line="240" w:lineRule="auto"/>
    </w:pPr>
    <w:rPr>
      <w:sz w:val="20"/>
      <w:szCs w:val="20"/>
    </w:rPr>
  </w:style>
  <w:style w:type="character" w:customStyle="1" w:styleId="CommentTextChar">
    <w:name w:val="Comment Text Char"/>
    <w:basedOn w:val="DefaultParagraphFont"/>
    <w:link w:val="CommentText"/>
    <w:uiPriority w:val="99"/>
    <w:semiHidden/>
    <w:rsid w:val="00F7475C"/>
    <w:rPr>
      <w:sz w:val="20"/>
      <w:szCs w:val="20"/>
    </w:rPr>
  </w:style>
  <w:style w:type="paragraph" w:styleId="CommentSubject">
    <w:name w:val="annotation subject"/>
    <w:basedOn w:val="CommentText"/>
    <w:next w:val="CommentText"/>
    <w:link w:val="CommentSubjectChar"/>
    <w:uiPriority w:val="99"/>
    <w:semiHidden/>
    <w:unhideWhenUsed/>
    <w:rsid w:val="00F7475C"/>
    <w:rPr>
      <w:b/>
      <w:bCs/>
    </w:rPr>
  </w:style>
  <w:style w:type="character" w:customStyle="1" w:styleId="CommentSubjectChar">
    <w:name w:val="Comment Subject Char"/>
    <w:basedOn w:val="CommentTextChar"/>
    <w:link w:val="CommentSubject"/>
    <w:uiPriority w:val="99"/>
    <w:semiHidden/>
    <w:rsid w:val="00F7475C"/>
    <w:rPr>
      <w:b/>
      <w:bCs/>
    </w:rPr>
  </w:style>
  <w:style w:type="character" w:styleId="FollowedHyperlink">
    <w:name w:val="FollowedHyperlink"/>
    <w:basedOn w:val="DefaultParagraphFont"/>
    <w:uiPriority w:val="99"/>
    <w:semiHidden/>
    <w:unhideWhenUsed/>
    <w:rsid w:val="00F7475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11</Pages>
  <Words>3281</Words>
  <Characters>18706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Jeff Laake</dc:creator>
  <cp:keywords/>
  <dc:description/>
  <cp:lastModifiedBy> Jeff Laake</cp:lastModifiedBy>
  <cp:revision>3</cp:revision>
  <cp:lastPrinted>2008-08-06T22:45:00Z</cp:lastPrinted>
  <dcterms:created xsi:type="dcterms:W3CDTF">2008-08-06T22:51:00Z</dcterms:created>
  <dcterms:modified xsi:type="dcterms:W3CDTF">2008-08-13T00:05:00Z</dcterms:modified>
</cp:coreProperties>
</file>