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67A530" w14:textId="77777777" w:rsidR="00E4761C" w:rsidRPr="00B56D29" w:rsidRDefault="00E4761C" w:rsidP="001040EC">
      <w:pPr>
        <w:rPr>
          <w:rFonts w:ascii="Times New Roman" w:hAnsi="Times New Roman"/>
          <w:sz w:val="24"/>
          <w:szCs w:val="24"/>
        </w:rPr>
      </w:pPr>
    </w:p>
    <w:p w14:paraId="60391EF7" w14:textId="77777777" w:rsidR="001040EC" w:rsidRPr="00B56D29" w:rsidRDefault="001040EC" w:rsidP="001040EC">
      <w:pPr>
        <w:rPr>
          <w:rFonts w:ascii="Times New Roman" w:hAnsi="Times New Roman"/>
          <w:sz w:val="24"/>
          <w:szCs w:val="24"/>
        </w:rPr>
      </w:pPr>
    </w:p>
    <w:p w14:paraId="0A65E597" w14:textId="77777777" w:rsidR="00E4761C" w:rsidRPr="00B56D29" w:rsidRDefault="00E4761C" w:rsidP="00E4761C">
      <w:pPr>
        <w:jc w:val="center"/>
        <w:rPr>
          <w:rFonts w:ascii="Times New Roman" w:hAnsi="Times New Roman"/>
          <w:sz w:val="24"/>
          <w:szCs w:val="24"/>
        </w:rPr>
      </w:pPr>
    </w:p>
    <w:p w14:paraId="02258F00" w14:textId="77777777" w:rsidR="006C3ABB" w:rsidRDefault="006C3ABB" w:rsidP="00C51525">
      <w:pPr>
        <w:spacing w:after="0" w:line="480" w:lineRule="auto"/>
        <w:rPr>
          <w:rFonts w:ascii="Times New Roman" w:hAnsi="Times New Roman"/>
          <w:sz w:val="24"/>
          <w:szCs w:val="24"/>
        </w:rPr>
      </w:pPr>
    </w:p>
    <w:p w14:paraId="75EBAEDD" w14:textId="77777777" w:rsidR="00C51525" w:rsidRDefault="00C51525" w:rsidP="00C51525">
      <w:pPr>
        <w:spacing w:after="0" w:line="480" w:lineRule="auto"/>
        <w:rPr>
          <w:rStyle w:val="fnt0"/>
          <w:rFonts w:ascii="Times New Roman" w:hAnsi="Times New Roman"/>
          <w:sz w:val="24"/>
          <w:szCs w:val="24"/>
        </w:rPr>
      </w:pPr>
    </w:p>
    <w:p w14:paraId="6DA05982" w14:textId="77777777" w:rsidR="006C3ABB" w:rsidRDefault="006C3ABB" w:rsidP="00C51525">
      <w:pPr>
        <w:spacing w:after="0" w:line="480" w:lineRule="auto"/>
        <w:rPr>
          <w:rStyle w:val="fnt0"/>
          <w:rFonts w:ascii="Times New Roman" w:hAnsi="Times New Roman"/>
          <w:sz w:val="24"/>
          <w:szCs w:val="24"/>
        </w:rPr>
      </w:pPr>
    </w:p>
    <w:p w14:paraId="3B96BF7F" w14:textId="77777777" w:rsidR="006C3ABB" w:rsidRDefault="006C3ABB" w:rsidP="000D23D2">
      <w:pPr>
        <w:spacing w:after="0" w:line="480" w:lineRule="auto"/>
        <w:jc w:val="center"/>
        <w:rPr>
          <w:rStyle w:val="fnt0"/>
          <w:rFonts w:ascii="Times New Roman" w:hAnsi="Times New Roman"/>
          <w:sz w:val="24"/>
          <w:szCs w:val="24"/>
        </w:rPr>
      </w:pPr>
    </w:p>
    <w:p w14:paraId="7B410167" w14:textId="6903D98F" w:rsidR="00552FEB" w:rsidRPr="00552FEB" w:rsidRDefault="00552FEB" w:rsidP="00552FEB">
      <w:pPr>
        <w:spacing w:line="480" w:lineRule="auto"/>
        <w:jc w:val="center"/>
        <w:rPr>
          <w:rFonts w:ascii="Times New Roman" w:hAnsi="Times New Roman"/>
          <w:b/>
          <w:bCs/>
          <w:color w:val="000000"/>
          <w:sz w:val="24"/>
          <w:szCs w:val="24"/>
          <w:shd w:val="clear" w:color="auto" w:fill="FFFFFF"/>
        </w:rPr>
      </w:pPr>
      <w:r w:rsidRPr="00552FEB">
        <w:rPr>
          <w:rFonts w:ascii="Times New Roman" w:hAnsi="Times New Roman"/>
          <w:b/>
          <w:bCs/>
          <w:color w:val="000000"/>
          <w:sz w:val="24"/>
          <w:szCs w:val="24"/>
          <w:shd w:val="clear" w:color="auto" w:fill="FFFFFF"/>
        </w:rPr>
        <w:t xml:space="preserve">Prosper Loan Portfolio Valuation Report </w:t>
      </w:r>
    </w:p>
    <w:p w14:paraId="4C2BC670" w14:textId="541B2D63" w:rsidR="00683E0C" w:rsidRPr="00683E0C" w:rsidRDefault="0079560E" w:rsidP="00203EC3">
      <w:pPr>
        <w:spacing w:line="480" w:lineRule="auto"/>
        <w:jc w:val="center"/>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Justin Ladrillono</w:t>
      </w:r>
      <w:r w:rsidRPr="00683E0C">
        <w:rPr>
          <w:rFonts w:ascii="Times New Roman" w:hAnsi="Times New Roman"/>
          <w:color w:val="000000"/>
          <w:sz w:val="24"/>
          <w:szCs w:val="24"/>
          <w:shd w:val="clear" w:color="auto" w:fill="FFFFFF"/>
        </w:rPr>
        <w:t xml:space="preserve"> </w:t>
      </w:r>
      <w:r w:rsidR="00683E0C" w:rsidRPr="00683E0C">
        <w:rPr>
          <w:rFonts w:ascii="Times New Roman" w:hAnsi="Times New Roman"/>
          <w:color w:val="000000"/>
          <w:sz w:val="24"/>
          <w:szCs w:val="24"/>
          <w:shd w:val="clear" w:color="auto" w:fill="FFFFFF"/>
        </w:rPr>
        <w:br/>
      </w:r>
      <w:r w:rsidR="002F5888">
        <w:rPr>
          <w:rFonts w:ascii="Times New Roman" w:hAnsi="Times New Roman"/>
          <w:color w:val="000000"/>
          <w:sz w:val="24"/>
          <w:szCs w:val="24"/>
          <w:shd w:val="clear" w:color="auto" w:fill="FFFFFF"/>
        </w:rPr>
        <w:t>0</w:t>
      </w:r>
      <w:r w:rsidR="00F7775D">
        <w:rPr>
          <w:rFonts w:ascii="Times New Roman" w:hAnsi="Times New Roman"/>
          <w:color w:val="000000"/>
          <w:sz w:val="24"/>
          <w:szCs w:val="24"/>
          <w:shd w:val="clear" w:color="auto" w:fill="FFFFFF"/>
        </w:rPr>
        <w:t>6</w:t>
      </w:r>
      <w:r w:rsidR="002F5888">
        <w:rPr>
          <w:rFonts w:ascii="Times New Roman" w:hAnsi="Times New Roman"/>
          <w:color w:val="000000"/>
          <w:sz w:val="24"/>
          <w:szCs w:val="24"/>
          <w:shd w:val="clear" w:color="auto" w:fill="FFFFFF"/>
        </w:rPr>
        <w:t>/</w:t>
      </w:r>
      <w:r w:rsidR="00552FEB">
        <w:rPr>
          <w:rFonts w:ascii="Times New Roman" w:hAnsi="Times New Roman"/>
          <w:color w:val="000000"/>
          <w:sz w:val="24"/>
          <w:szCs w:val="24"/>
          <w:shd w:val="clear" w:color="auto" w:fill="FFFFFF"/>
        </w:rPr>
        <w:t>17</w:t>
      </w:r>
      <w:r w:rsidR="002F5888">
        <w:rPr>
          <w:rFonts w:ascii="Times New Roman" w:hAnsi="Times New Roman"/>
          <w:color w:val="000000"/>
          <w:sz w:val="24"/>
          <w:szCs w:val="24"/>
          <w:shd w:val="clear" w:color="auto" w:fill="FFFFFF"/>
        </w:rPr>
        <w:t>/2025</w:t>
      </w:r>
    </w:p>
    <w:p w14:paraId="390B7838" w14:textId="77777777" w:rsidR="00C51525" w:rsidRDefault="00C51525" w:rsidP="00734565">
      <w:pPr>
        <w:spacing w:line="480" w:lineRule="auto"/>
        <w:jc w:val="center"/>
        <w:rPr>
          <w:rFonts w:ascii="Times New Roman" w:hAnsi="Times New Roman"/>
          <w:sz w:val="24"/>
          <w:szCs w:val="24"/>
        </w:rPr>
      </w:pPr>
    </w:p>
    <w:p w14:paraId="080FCCBF" w14:textId="77777777" w:rsidR="00C51525" w:rsidRDefault="00C51525" w:rsidP="00734565">
      <w:pPr>
        <w:spacing w:line="480" w:lineRule="auto"/>
        <w:jc w:val="center"/>
        <w:rPr>
          <w:rFonts w:ascii="Times New Roman" w:hAnsi="Times New Roman"/>
          <w:sz w:val="24"/>
          <w:szCs w:val="24"/>
        </w:rPr>
      </w:pPr>
    </w:p>
    <w:p w14:paraId="612E6B0A" w14:textId="77777777" w:rsidR="00C51525" w:rsidRDefault="00C51525" w:rsidP="00734565">
      <w:pPr>
        <w:tabs>
          <w:tab w:val="left" w:pos="3355"/>
        </w:tabs>
        <w:spacing w:line="480" w:lineRule="auto"/>
        <w:rPr>
          <w:rFonts w:ascii="Times New Roman" w:hAnsi="Times New Roman"/>
          <w:sz w:val="24"/>
          <w:szCs w:val="24"/>
        </w:rPr>
      </w:pPr>
      <w:r>
        <w:rPr>
          <w:rFonts w:ascii="Times New Roman" w:hAnsi="Times New Roman"/>
          <w:sz w:val="24"/>
          <w:szCs w:val="24"/>
        </w:rPr>
        <w:tab/>
      </w:r>
    </w:p>
    <w:p w14:paraId="6BE44F86" w14:textId="673B619D" w:rsidR="00F818BB" w:rsidRPr="00C52E74" w:rsidRDefault="009B5B1F" w:rsidP="00F818BB">
      <w:pPr>
        <w:spacing w:after="0" w:line="480" w:lineRule="auto"/>
        <w:jc w:val="center"/>
        <w:rPr>
          <w:rFonts w:ascii="Times New Roman" w:hAnsi="Times New Roman"/>
          <w:b/>
          <w:bCs/>
          <w:sz w:val="24"/>
          <w:szCs w:val="24"/>
        </w:rPr>
      </w:pPr>
      <w:r w:rsidRPr="00C51525">
        <w:rPr>
          <w:rFonts w:ascii="Times New Roman" w:hAnsi="Times New Roman"/>
          <w:b/>
          <w:bCs/>
          <w:sz w:val="24"/>
          <w:szCs w:val="24"/>
        </w:rPr>
        <w:br w:type="page"/>
      </w:r>
      <w:r w:rsidR="00435939">
        <w:rPr>
          <w:rFonts w:ascii="Times New Roman" w:hAnsi="Times New Roman"/>
          <w:b/>
          <w:bCs/>
          <w:sz w:val="24"/>
          <w:szCs w:val="24"/>
        </w:rPr>
        <w:lastRenderedPageBreak/>
        <w:t>Executive Summary</w:t>
      </w:r>
    </w:p>
    <w:p w14:paraId="4F5D134C" w14:textId="663CF833" w:rsidR="0030463E" w:rsidRPr="001B55DE" w:rsidRDefault="0030463E" w:rsidP="0001637C">
      <w:pPr>
        <w:pBdr>
          <w:top w:val="nil"/>
          <w:left w:val="nil"/>
          <w:bottom w:val="nil"/>
          <w:right w:val="nil"/>
          <w:between w:val="nil"/>
        </w:pBdr>
        <w:spacing w:after="240" w:line="480" w:lineRule="auto"/>
        <w:rPr>
          <w:rFonts w:ascii="Times New Roman" w:eastAsia="Google Sans Text" w:hAnsi="Times New Roman"/>
          <w:b/>
          <w:sz w:val="24"/>
          <w:szCs w:val="24"/>
        </w:rPr>
      </w:pPr>
      <w:r w:rsidRPr="001B55DE">
        <w:rPr>
          <w:rFonts w:ascii="Times New Roman" w:eastAsia="Google Sans Text" w:hAnsi="Times New Roman"/>
          <w:b/>
          <w:sz w:val="24"/>
          <w:szCs w:val="24"/>
        </w:rPr>
        <w:t>The estimated Net Present Value (NPV) of the "Core Non-Performing" Prosper loan portfolio is $1,721,975.13 as of January 1, 2015, highlighting the portfolio's estimated value under current assumptions.</w:t>
      </w:r>
    </w:p>
    <w:p w14:paraId="0B26A84E" w14:textId="2512D647" w:rsidR="001B55DE" w:rsidRPr="001B55DE" w:rsidRDefault="001B55DE" w:rsidP="001B55DE">
      <w:pPr>
        <w:spacing w:after="0" w:line="480" w:lineRule="auto"/>
        <w:ind w:firstLine="720"/>
        <w:rPr>
          <w:rFonts w:ascii="Times New Roman" w:hAnsi="Times New Roman"/>
          <w:sz w:val="24"/>
          <w:szCs w:val="24"/>
        </w:rPr>
      </w:pPr>
      <w:r w:rsidRPr="001B55DE">
        <w:rPr>
          <w:rFonts w:ascii="Times New Roman" w:hAnsi="Times New Roman"/>
          <w:sz w:val="24"/>
          <w:szCs w:val="24"/>
        </w:rPr>
        <w:t>This report details the valuation of a historical personal loan portfolio (originated ~2005-2014) from the Prosper platform, focusing on loans that have charged off or defaulted. I created a data pipeline to create a segmented Discounted Cash Flow (DCF) model. This model incorporates granular segmentation based on FICO scores and loan original amounts, applying segment-specific recovery curves that account for loan seasoning.</w:t>
      </w:r>
    </w:p>
    <w:p w14:paraId="548C54C1" w14:textId="6D4A9EB3" w:rsidR="000C047A" w:rsidRPr="001B55DE" w:rsidRDefault="001B55DE" w:rsidP="001B55DE">
      <w:pPr>
        <w:spacing w:after="0" w:line="480" w:lineRule="auto"/>
        <w:ind w:firstLine="720"/>
        <w:rPr>
          <w:rFonts w:ascii="Times New Roman" w:hAnsi="Times New Roman"/>
          <w:sz w:val="24"/>
          <w:szCs w:val="24"/>
        </w:rPr>
      </w:pPr>
      <w:r w:rsidRPr="001B55DE">
        <w:rPr>
          <w:rFonts w:ascii="Times New Roman" w:hAnsi="Times New Roman"/>
          <w:sz w:val="24"/>
          <w:szCs w:val="24"/>
        </w:rPr>
        <w:t xml:space="preserve">Sensitivity analysis reveals that the valuation is </w:t>
      </w:r>
      <w:r w:rsidRPr="001B55DE">
        <w:rPr>
          <w:rFonts w:ascii="Times New Roman" w:hAnsi="Times New Roman"/>
          <w:b/>
          <w:sz w:val="24"/>
          <w:szCs w:val="24"/>
        </w:rPr>
        <w:t>most significantly impacted by changes in recovery rates</w:t>
      </w:r>
      <w:r w:rsidRPr="001B55DE">
        <w:rPr>
          <w:rFonts w:ascii="Times New Roman" w:hAnsi="Times New Roman"/>
          <w:sz w:val="24"/>
          <w:szCs w:val="24"/>
        </w:rPr>
        <w:t>, followed by the discount rate and collection costs. While the calculated gross recovery rate of ~5.84% is conservative compared to broader industry benchmarks (10-30% for unsecured personal loans pre-2019), this analysis provides a clear, data-driven framework for assessing portfolio value and understanding key risk drivers under various market conditions</w:t>
      </w:r>
      <w:r w:rsidR="00F7775D" w:rsidRPr="001B55DE">
        <w:rPr>
          <w:rFonts w:ascii="Times New Roman" w:hAnsi="Times New Roman"/>
          <w:sz w:val="24"/>
          <w:szCs w:val="24"/>
        </w:rPr>
        <w:t>.</w:t>
      </w:r>
    </w:p>
    <w:p w14:paraId="77FFE9B5" w14:textId="77777777" w:rsidR="006A004A" w:rsidRDefault="006A004A" w:rsidP="002554E8">
      <w:pPr>
        <w:spacing w:after="0" w:line="480" w:lineRule="auto"/>
        <w:rPr>
          <w:rFonts w:ascii="Times New Roman" w:hAnsi="Times New Roman"/>
          <w:b/>
          <w:bCs/>
          <w:sz w:val="24"/>
          <w:szCs w:val="24"/>
        </w:rPr>
      </w:pPr>
    </w:p>
    <w:p w14:paraId="1CFBA957" w14:textId="77777777" w:rsidR="00E957D7" w:rsidRDefault="00E957D7">
      <w:pPr>
        <w:spacing w:after="0" w:line="240" w:lineRule="auto"/>
        <w:rPr>
          <w:rFonts w:asciiTheme="majorHAnsi" w:eastAsiaTheme="majorEastAsia" w:hAnsiTheme="majorHAnsi" w:cstheme="majorBidi"/>
          <w:color w:val="2F5496" w:themeColor="accent1" w:themeShade="BF"/>
          <w:sz w:val="26"/>
          <w:szCs w:val="26"/>
        </w:rPr>
      </w:pPr>
      <w:r>
        <w:br w:type="page"/>
      </w:r>
    </w:p>
    <w:p w14:paraId="210AFA00" w14:textId="6119270B" w:rsidR="002554E8" w:rsidRDefault="00235D9E" w:rsidP="00E957D7">
      <w:pPr>
        <w:pStyle w:val="Heading2"/>
      </w:pPr>
      <w:r w:rsidRPr="00235D9E">
        <w:lastRenderedPageBreak/>
        <w:t>1. Introduction &amp; Project Objectives</w:t>
      </w:r>
    </w:p>
    <w:p w14:paraId="345B7B37" w14:textId="4B0335B4" w:rsidR="00F5469F" w:rsidRPr="00CC70C6" w:rsidRDefault="00740D19" w:rsidP="00802E5A">
      <w:pPr>
        <w:spacing w:after="0" w:line="480" w:lineRule="auto"/>
        <w:ind w:firstLine="720"/>
        <w:rPr>
          <w:rFonts w:ascii="Times New Roman" w:hAnsi="Times New Roman"/>
          <w:sz w:val="24"/>
          <w:szCs w:val="24"/>
        </w:rPr>
      </w:pPr>
      <w:r w:rsidRPr="00740D19">
        <w:rPr>
          <w:rFonts w:ascii="Times New Roman" w:hAnsi="Times New Roman"/>
          <w:sz w:val="24"/>
          <w:szCs w:val="24"/>
        </w:rPr>
        <w:t>The primary objective of this project was to establish a fair market valuation for a defined segment of a historical personal loan portfolio. This valuation serves as a foundational step for potential investment decisions, risk assessment, and performance benchmarking for distressed assets. Our core focus was on loans that had already transitioned to a "</w:t>
      </w:r>
      <w:proofErr w:type="spellStart"/>
      <w:r w:rsidRPr="00740D19">
        <w:rPr>
          <w:rFonts w:ascii="Times New Roman" w:hAnsi="Times New Roman"/>
          <w:sz w:val="24"/>
          <w:szCs w:val="24"/>
        </w:rPr>
        <w:t>Chargedoff</w:t>
      </w:r>
      <w:proofErr w:type="spellEnd"/>
      <w:r w:rsidRPr="00740D19">
        <w:rPr>
          <w:rFonts w:ascii="Times New Roman" w:hAnsi="Times New Roman"/>
          <w:sz w:val="24"/>
          <w:szCs w:val="24"/>
        </w:rPr>
        <w:t>" or "Defaulted" status, termed the "Core Non-Performing" portfolio</w:t>
      </w:r>
      <w:r w:rsidR="00802E5A" w:rsidRPr="00802E5A">
        <w:rPr>
          <w:rFonts w:ascii="Times New Roman" w:hAnsi="Times New Roman"/>
          <w:sz w:val="24"/>
          <w:szCs w:val="24"/>
        </w:rPr>
        <w:t>.</w:t>
      </w:r>
    </w:p>
    <w:p w14:paraId="574A7CFA" w14:textId="49DC9769" w:rsidR="00442E72" w:rsidRDefault="0083035D" w:rsidP="003D5E55">
      <w:pPr>
        <w:spacing w:after="0" w:line="240" w:lineRule="auto"/>
        <w:rPr>
          <w:rFonts w:ascii="Times New Roman" w:hAnsi="Times New Roman"/>
          <w:b/>
          <w:bCs/>
          <w:sz w:val="24"/>
          <w:szCs w:val="24"/>
        </w:rPr>
      </w:pPr>
      <w:r w:rsidRPr="0083035D">
        <w:rPr>
          <w:rFonts w:ascii="Times New Roman" w:hAnsi="Times New Roman"/>
          <w:b/>
          <w:bCs/>
          <w:sz w:val="24"/>
          <w:szCs w:val="24"/>
        </w:rPr>
        <w:t>Key Deliverables</w:t>
      </w:r>
    </w:p>
    <w:p w14:paraId="33ED75E7" w14:textId="77777777" w:rsidR="003D5E55" w:rsidRPr="00442E72" w:rsidRDefault="003D5E55" w:rsidP="003D5E55">
      <w:pPr>
        <w:spacing w:after="0" w:line="240" w:lineRule="auto"/>
        <w:rPr>
          <w:rFonts w:ascii="Times New Roman" w:hAnsi="Times New Roman"/>
          <w:b/>
          <w:bCs/>
          <w:sz w:val="24"/>
          <w:szCs w:val="24"/>
        </w:rPr>
      </w:pPr>
    </w:p>
    <w:p w14:paraId="1A1E02D1" w14:textId="77777777" w:rsidR="007A009D" w:rsidRPr="00E8645D" w:rsidRDefault="007A009D" w:rsidP="00E8645D">
      <w:pPr>
        <w:pStyle w:val="ListParagraph"/>
        <w:numPr>
          <w:ilvl w:val="0"/>
          <w:numId w:val="24"/>
        </w:numPr>
        <w:spacing w:after="0" w:line="480" w:lineRule="auto"/>
        <w:rPr>
          <w:rFonts w:ascii="Times New Roman" w:hAnsi="Times New Roman"/>
          <w:sz w:val="24"/>
          <w:szCs w:val="24"/>
        </w:rPr>
      </w:pPr>
      <w:r w:rsidRPr="00E8645D">
        <w:rPr>
          <w:rFonts w:ascii="Times New Roman" w:hAnsi="Times New Roman"/>
          <w:sz w:val="24"/>
          <w:szCs w:val="24"/>
        </w:rPr>
        <w:t>A PostgreSQL database (</w:t>
      </w:r>
      <w:proofErr w:type="spellStart"/>
      <w:r w:rsidRPr="00E8645D">
        <w:rPr>
          <w:rFonts w:ascii="Times New Roman" w:hAnsi="Times New Roman"/>
          <w:sz w:val="24"/>
          <w:szCs w:val="24"/>
        </w:rPr>
        <w:t>debt_portfolio</w:t>
      </w:r>
      <w:proofErr w:type="spellEnd"/>
      <w:r w:rsidRPr="00E8645D">
        <w:rPr>
          <w:rFonts w:ascii="Times New Roman" w:hAnsi="Times New Roman"/>
          <w:sz w:val="24"/>
          <w:szCs w:val="24"/>
        </w:rPr>
        <w:t xml:space="preserve">) containing </w:t>
      </w:r>
      <w:proofErr w:type="gramStart"/>
      <w:r w:rsidRPr="00E8645D">
        <w:rPr>
          <w:rFonts w:ascii="Times New Roman" w:hAnsi="Times New Roman"/>
          <w:sz w:val="24"/>
          <w:szCs w:val="24"/>
        </w:rPr>
        <w:t>cleaned</w:t>
      </w:r>
      <w:proofErr w:type="gramEnd"/>
      <w:r w:rsidRPr="00E8645D">
        <w:rPr>
          <w:rFonts w:ascii="Times New Roman" w:hAnsi="Times New Roman"/>
          <w:sz w:val="24"/>
          <w:szCs w:val="24"/>
        </w:rPr>
        <w:t>, transformed, and segmented loan data.</w:t>
      </w:r>
    </w:p>
    <w:p w14:paraId="0C5ED2E3" w14:textId="77777777" w:rsidR="007A009D" w:rsidRPr="00E8645D" w:rsidRDefault="007A009D" w:rsidP="00E8645D">
      <w:pPr>
        <w:pStyle w:val="ListParagraph"/>
        <w:numPr>
          <w:ilvl w:val="0"/>
          <w:numId w:val="24"/>
        </w:numPr>
        <w:spacing w:after="0" w:line="480" w:lineRule="auto"/>
        <w:rPr>
          <w:rFonts w:ascii="Times New Roman" w:hAnsi="Times New Roman"/>
          <w:sz w:val="24"/>
          <w:szCs w:val="24"/>
        </w:rPr>
      </w:pPr>
      <w:r w:rsidRPr="00E8645D">
        <w:rPr>
          <w:rFonts w:ascii="Times New Roman" w:hAnsi="Times New Roman"/>
          <w:sz w:val="24"/>
          <w:szCs w:val="24"/>
        </w:rPr>
        <w:t>A functional Discounted Cash Flow (DCF) model to calculate portfolio NPV.</w:t>
      </w:r>
    </w:p>
    <w:p w14:paraId="2CCD0277" w14:textId="77777777" w:rsidR="007A009D" w:rsidRPr="00E8645D" w:rsidRDefault="007A009D" w:rsidP="00E8645D">
      <w:pPr>
        <w:pStyle w:val="ListParagraph"/>
        <w:numPr>
          <w:ilvl w:val="0"/>
          <w:numId w:val="24"/>
        </w:numPr>
        <w:spacing w:after="0" w:line="480" w:lineRule="auto"/>
        <w:rPr>
          <w:rFonts w:ascii="Times New Roman" w:hAnsi="Times New Roman"/>
          <w:sz w:val="24"/>
          <w:szCs w:val="24"/>
        </w:rPr>
      </w:pPr>
      <w:r w:rsidRPr="00E8645D">
        <w:rPr>
          <w:rFonts w:ascii="Times New Roman" w:hAnsi="Times New Roman"/>
          <w:sz w:val="24"/>
          <w:szCs w:val="24"/>
        </w:rPr>
        <w:t>Comprehensive sensitivity and scenario analyses of the valuation.</w:t>
      </w:r>
    </w:p>
    <w:p w14:paraId="4951F95C" w14:textId="4F27BC25" w:rsidR="002C314E" w:rsidRPr="003D5E55" w:rsidRDefault="007A009D" w:rsidP="002C314E">
      <w:pPr>
        <w:pStyle w:val="ListParagraph"/>
        <w:numPr>
          <w:ilvl w:val="0"/>
          <w:numId w:val="24"/>
        </w:numPr>
        <w:spacing w:after="0" w:line="480" w:lineRule="auto"/>
        <w:rPr>
          <w:rFonts w:ascii="Times New Roman" w:hAnsi="Times New Roman"/>
          <w:sz w:val="24"/>
          <w:szCs w:val="24"/>
        </w:rPr>
      </w:pPr>
      <w:r w:rsidRPr="00E8645D">
        <w:rPr>
          <w:rFonts w:ascii="Times New Roman" w:hAnsi="Times New Roman"/>
          <w:sz w:val="24"/>
          <w:szCs w:val="24"/>
        </w:rPr>
        <w:t>A detailed project report and presentation, designed to convey clear and actionable insights.</w:t>
      </w:r>
    </w:p>
    <w:p w14:paraId="5CC29AF4" w14:textId="77777777" w:rsidR="00F90BCF" w:rsidRPr="00F90BCF" w:rsidRDefault="00F90BCF" w:rsidP="0001637C">
      <w:pPr>
        <w:pStyle w:val="Heading2"/>
      </w:pPr>
      <w:r w:rsidRPr="00F90BCF">
        <w:t>2. Data Sources &amp; Preparation</w:t>
      </w:r>
    </w:p>
    <w:p w14:paraId="57E25A6F" w14:textId="21B441F2" w:rsidR="0000492A" w:rsidRDefault="0000492A" w:rsidP="0000492A">
      <w:pPr>
        <w:spacing w:after="0" w:line="480" w:lineRule="auto"/>
        <w:rPr>
          <w:rFonts w:ascii="Times New Roman" w:hAnsi="Times New Roman"/>
          <w:sz w:val="24"/>
          <w:szCs w:val="24"/>
        </w:rPr>
      </w:pPr>
      <w:r w:rsidRPr="0000492A">
        <w:rPr>
          <w:rFonts w:ascii="Times New Roman" w:hAnsi="Times New Roman"/>
          <w:sz w:val="24"/>
          <w:szCs w:val="24"/>
        </w:rPr>
        <w:t>The analysis is based on the prosperLoanData.csv dataset, encompassing personal loans originated approximately between 2005 and 2014</w:t>
      </w:r>
      <w:r>
        <w:rPr>
          <w:rFonts w:ascii="Times New Roman" w:hAnsi="Times New Roman"/>
          <w:sz w:val="24"/>
          <w:szCs w:val="24"/>
        </w:rPr>
        <w:t>.</w:t>
      </w:r>
    </w:p>
    <w:p w14:paraId="39FD779B" w14:textId="50BCE5F4" w:rsidR="00DE6B7C" w:rsidRPr="0088003A" w:rsidRDefault="0088003A" w:rsidP="0001637C">
      <w:pPr>
        <w:pStyle w:val="H3"/>
        <w:rPr>
          <w:sz w:val="22"/>
          <w:szCs w:val="22"/>
        </w:rPr>
      </w:pPr>
      <w:r w:rsidRPr="0088003A">
        <w:t>2.1 Database Design</w:t>
      </w:r>
    </w:p>
    <w:p w14:paraId="60E7F786" w14:textId="77777777" w:rsidR="00CA21C7" w:rsidRPr="00CA21C7" w:rsidRDefault="00CA21C7" w:rsidP="00CA21C7">
      <w:pPr>
        <w:spacing w:after="0" w:line="480" w:lineRule="auto"/>
        <w:ind w:firstLine="720"/>
        <w:rPr>
          <w:rFonts w:ascii="Times New Roman" w:hAnsi="Times New Roman"/>
          <w:sz w:val="24"/>
          <w:szCs w:val="24"/>
        </w:rPr>
      </w:pPr>
      <w:bookmarkStart w:id="0" w:name="_Hlk201114259"/>
      <w:r w:rsidRPr="00CA21C7">
        <w:rPr>
          <w:rFonts w:ascii="Times New Roman" w:hAnsi="Times New Roman"/>
          <w:sz w:val="24"/>
          <w:szCs w:val="24"/>
        </w:rPr>
        <w:t xml:space="preserve">A PostgreSQL database named </w:t>
      </w:r>
      <w:proofErr w:type="spellStart"/>
      <w:r w:rsidRPr="00CA21C7">
        <w:rPr>
          <w:rFonts w:ascii="Times New Roman" w:hAnsi="Times New Roman"/>
          <w:sz w:val="24"/>
          <w:szCs w:val="24"/>
        </w:rPr>
        <w:t>debt_portfolio</w:t>
      </w:r>
      <w:proofErr w:type="spellEnd"/>
      <w:r w:rsidRPr="00CA21C7">
        <w:rPr>
          <w:rFonts w:ascii="Times New Roman" w:hAnsi="Times New Roman"/>
          <w:sz w:val="24"/>
          <w:szCs w:val="24"/>
        </w:rPr>
        <w:t xml:space="preserve"> was designed with a structured schema to facilitate robust data processing and analysis:</w:t>
      </w:r>
    </w:p>
    <w:p w14:paraId="3E0FB97B" w14:textId="77777777" w:rsidR="00CA21C7" w:rsidRPr="00CA21C7" w:rsidRDefault="00CA21C7" w:rsidP="00CA21C7">
      <w:pPr>
        <w:pStyle w:val="ListParagraph"/>
        <w:numPr>
          <w:ilvl w:val="0"/>
          <w:numId w:val="26"/>
        </w:numPr>
        <w:spacing w:after="0" w:line="480" w:lineRule="auto"/>
        <w:rPr>
          <w:rFonts w:ascii="Times New Roman" w:hAnsi="Times New Roman"/>
          <w:sz w:val="24"/>
          <w:szCs w:val="24"/>
        </w:rPr>
      </w:pPr>
      <w:proofErr w:type="spellStart"/>
      <w:r w:rsidRPr="00CA21C7">
        <w:rPr>
          <w:rFonts w:ascii="Times New Roman" w:hAnsi="Times New Roman"/>
          <w:b/>
          <w:sz w:val="24"/>
          <w:szCs w:val="24"/>
        </w:rPr>
        <w:t>staging_</w:t>
      </w:r>
      <w:bookmarkEnd w:id="0"/>
      <w:r w:rsidRPr="00CA21C7">
        <w:rPr>
          <w:rFonts w:ascii="Times New Roman" w:hAnsi="Times New Roman"/>
          <w:b/>
          <w:sz w:val="24"/>
          <w:szCs w:val="24"/>
        </w:rPr>
        <w:t>prosper</w:t>
      </w:r>
      <w:proofErr w:type="spellEnd"/>
      <w:r w:rsidRPr="00CA21C7">
        <w:rPr>
          <w:rFonts w:ascii="Times New Roman" w:hAnsi="Times New Roman"/>
          <w:sz w:val="24"/>
          <w:szCs w:val="24"/>
        </w:rPr>
        <w:t>: Serves as the initial landing zone for raw imported data, with all columns initially stored as TEXT.</w:t>
      </w:r>
    </w:p>
    <w:p w14:paraId="7C4B6970" w14:textId="77777777" w:rsidR="00CA21C7" w:rsidRPr="00CA21C7" w:rsidRDefault="00CA21C7" w:rsidP="00CA21C7">
      <w:pPr>
        <w:pStyle w:val="ListParagraph"/>
        <w:numPr>
          <w:ilvl w:val="0"/>
          <w:numId w:val="26"/>
        </w:numPr>
        <w:spacing w:after="0" w:line="480" w:lineRule="auto"/>
        <w:rPr>
          <w:rFonts w:ascii="Times New Roman" w:hAnsi="Times New Roman"/>
          <w:sz w:val="24"/>
          <w:szCs w:val="24"/>
        </w:rPr>
      </w:pPr>
      <w:proofErr w:type="spellStart"/>
      <w:r w:rsidRPr="00CA21C7">
        <w:rPr>
          <w:rFonts w:ascii="Times New Roman" w:hAnsi="Times New Roman"/>
          <w:b/>
          <w:sz w:val="24"/>
          <w:szCs w:val="24"/>
        </w:rPr>
        <w:t>portfolio_accounts_core</w:t>
      </w:r>
      <w:proofErr w:type="spellEnd"/>
      <w:r w:rsidRPr="00CA21C7">
        <w:rPr>
          <w:rFonts w:ascii="Times New Roman" w:hAnsi="Times New Roman"/>
          <w:sz w:val="24"/>
          <w:szCs w:val="24"/>
        </w:rPr>
        <w:t xml:space="preserve">: The central table containing </w:t>
      </w:r>
      <w:proofErr w:type="gramStart"/>
      <w:r w:rsidRPr="00CA21C7">
        <w:rPr>
          <w:rFonts w:ascii="Times New Roman" w:hAnsi="Times New Roman"/>
          <w:sz w:val="24"/>
          <w:szCs w:val="24"/>
        </w:rPr>
        <w:t>cleaned</w:t>
      </w:r>
      <w:proofErr w:type="gramEnd"/>
      <w:r w:rsidRPr="00CA21C7">
        <w:rPr>
          <w:rFonts w:ascii="Times New Roman" w:hAnsi="Times New Roman"/>
          <w:sz w:val="24"/>
          <w:szCs w:val="24"/>
        </w:rPr>
        <w:t>, filtered (only '</w:t>
      </w:r>
      <w:proofErr w:type="spellStart"/>
      <w:r w:rsidRPr="00CA21C7">
        <w:rPr>
          <w:rFonts w:ascii="Times New Roman" w:hAnsi="Times New Roman"/>
          <w:sz w:val="24"/>
          <w:szCs w:val="24"/>
        </w:rPr>
        <w:t>Chargedoff</w:t>
      </w:r>
      <w:proofErr w:type="spellEnd"/>
      <w:r w:rsidRPr="00CA21C7">
        <w:rPr>
          <w:rFonts w:ascii="Times New Roman" w:hAnsi="Times New Roman"/>
          <w:sz w:val="24"/>
          <w:szCs w:val="24"/>
        </w:rPr>
        <w:t>' or 'Defaulted' loans), and extensively feature-engineered data specific to the 'Core Non-Performing' portfolio.</w:t>
      </w:r>
    </w:p>
    <w:p w14:paraId="7418F202" w14:textId="77777777" w:rsidR="00CA21C7" w:rsidRPr="00CA21C7" w:rsidRDefault="00CA21C7" w:rsidP="00CA21C7">
      <w:pPr>
        <w:pStyle w:val="ListParagraph"/>
        <w:numPr>
          <w:ilvl w:val="0"/>
          <w:numId w:val="26"/>
        </w:numPr>
        <w:spacing w:after="0" w:line="480" w:lineRule="auto"/>
        <w:rPr>
          <w:rFonts w:ascii="Times New Roman" w:hAnsi="Times New Roman"/>
          <w:sz w:val="24"/>
          <w:szCs w:val="24"/>
        </w:rPr>
      </w:pPr>
      <w:proofErr w:type="spellStart"/>
      <w:r w:rsidRPr="00CA21C7">
        <w:rPr>
          <w:rFonts w:ascii="Times New Roman" w:hAnsi="Times New Roman"/>
          <w:b/>
          <w:sz w:val="24"/>
          <w:szCs w:val="24"/>
        </w:rPr>
        <w:lastRenderedPageBreak/>
        <w:t>score_risk_mapping</w:t>
      </w:r>
      <w:proofErr w:type="spellEnd"/>
      <w:r w:rsidRPr="00CA21C7">
        <w:rPr>
          <w:rFonts w:ascii="Times New Roman" w:hAnsi="Times New Roman"/>
          <w:sz w:val="24"/>
          <w:szCs w:val="24"/>
        </w:rPr>
        <w:t>: A lookup table explicitly mapping FICO score bands to predefined risk multipliers, essential for tailoring recovery rates.</w:t>
      </w:r>
    </w:p>
    <w:p w14:paraId="7C092E89" w14:textId="77777777" w:rsidR="00CA21C7" w:rsidRPr="00CA21C7" w:rsidRDefault="00CA21C7" w:rsidP="00CA21C7">
      <w:pPr>
        <w:pStyle w:val="ListParagraph"/>
        <w:numPr>
          <w:ilvl w:val="0"/>
          <w:numId w:val="26"/>
        </w:numPr>
        <w:spacing w:after="0" w:line="480" w:lineRule="auto"/>
        <w:rPr>
          <w:rFonts w:ascii="Times New Roman" w:hAnsi="Times New Roman"/>
          <w:sz w:val="24"/>
          <w:szCs w:val="24"/>
        </w:rPr>
      </w:pPr>
      <w:proofErr w:type="spellStart"/>
      <w:r w:rsidRPr="00CA21C7">
        <w:rPr>
          <w:rFonts w:ascii="Times New Roman" w:hAnsi="Times New Roman"/>
          <w:b/>
          <w:sz w:val="24"/>
          <w:szCs w:val="24"/>
        </w:rPr>
        <w:t>recovery_curve_parameters</w:t>
      </w:r>
      <w:proofErr w:type="spellEnd"/>
      <w:r w:rsidRPr="00CA21C7">
        <w:rPr>
          <w:rFonts w:ascii="Times New Roman" w:hAnsi="Times New Roman"/>
          <w:sz w:val="24"/>
          <w:szCs w:val="24"/>
        </w:rPr>
        <w:t>: Stores detailed segment-specific monthly recovery percentages over the entire 84-month forecast horizon.</w:t>
      </w:r>
    </w:p>
    <w:p w14:paraId="074B28B2" w14:textId="77777777" w:rsidR="00CA21C7" w:rsidRPr="00CA21C7" w:rsidRDefault="00CA21C7" w:rsidP="00CA21C7">
      <w:pPr>
        <w:pStyle w:val="ListParagraph"/>
        <w:numPr>
          <w:ilvl w:val="0"/>
          <w:numId w:val="26"/>
        </w:numPr>
        <w:spacing w:after="0" w:line="480" w:lineRule="auto"/>
        <w:rPr>
          <w:rFonts w:ascii="Times New Roman" w:hAnsi="Times New Roman"/>
          <w:sz w:val="24"/>
          <w:szCs w:val="24"/>
        </w:rPr>
      </w:pPr>
      <w:proofErr w:type="spellStart"/>
      <w:r w:rsidRPr="00CA21C7">
        <w:rPr>
          <w:rFonts w:ascii="Times New Roman" w:hAnsi="Times New Roman"/>
          <w:b/>
          <w:sz w:val="24"/>
          <w:szCs w:val="24"/>
        </w:rPr>
        <w:t>model_parameters</w:t>
      </w:r>
      <w:proofErr w:type="spellEnd"/>
      <w:r w:rsidRPr="00CA21C7">
        <w:rPr>
          <w:rFonts w:ascii="Times New Roman" w:hAnsi="Times New Roman"/>
          <w:sz w:val="24"/>
          <w:szCs w:val="24"/>
        </w:rPr>
        <w:t>: A dedicated configuration table housing global assumptions critical to the DCF model.</w:t>
      </w:r>
    </w:p>
    <w:p w14:paraId="0A38A7B3" w14:textId="7A87F06D" w:rsidR="00C473AB" w:rsidRPr="00C473AB" w:rsidRDefault="00C473AB" w:rsidP="003D5E55">
      <w:pPr>
        <w:pStyle w:val="H3"/>
      </w:pPr>
      <w:r w:rsidRPr="00C473AB">
        <w:t>2.</w:t>
      </w:r>
      <w:r w:rsidR="000F64A6">
        <w:t xml:space="preserve">2 </w:t>
      </w:r>
      <w:r w:rsidR="000F64A6" w:rsidRPr="000F64A6">
        <w:t>Data Cleaning &amp; Feature Engineering</w:t>
      </w:r>
    </w:p>
    <w:p w14:paraId="1C16ED38" w14:textId="0AEA54DC" w:rsidR="007A7A8E" w:rsidRPr="007A7A8E" w:rsidRDefault="007A7A8E" w:rsidP="007A7A8E">
      <w:pPr>
        <w:spacing w:after="0" w:line="480" w:lineRule="auto"/>
        <w:rPr>
          <w:rFonts w:ascii="Times New Roman" w:hAnsi="Times New Roman"/>
          <w:sz w:val="24"/>
          <w:szCs w:val="24"/>
        </w:rPr>
      </w:pPr>
      <w:r w:rsidRPr="007A7A8E">
        <w:rPr>
          <w:rFonts w:ascii="Times New Roman" w:hAnsi="Times New Roman"/>
          <w:sz w:val="24"/>
          <w:szCs w:val="24"/>
        </w:rPr>
        <w:t xml:space="preserve">The SQL scripts are the queries I used to transform the raw data from </w:t>
      </w:r>
      <w:proofErr w:type="spellStart"/>
      <w:r w:rsidRPr="007A7A8E">
        <w:rPr>
          <w:rFonts w:ascii="Times New Roman" w:hAnsi="Times New Roman"/>
          <w:sz w:val="24"/>
          <w:szCs w:val="24"/>
        </w:rPr>
        <w:t>staging_prosper</w:t>
      </w:r>
      <w:proofErr w:type="spellEnd"/>
      <w:r w:rsidRPr="007A7A8E">
        <w:rPr>
          <w:rFonts w:ascii="Times New Roman" w:hAnsi="Times New Roman"/>
          <w:sz w:val="24"/>
          <w:szCs w:val="24"/>
        </w:rPr>
        <w:t xml:space="preserve"> into a cleaned dataset for analysis, the </w:t>
      </w:r>
      <w:proofErr w:type="spellStart"/>
      <w:r w:rsidRPr="007A7A8E">
        <w:rPr>
          <w:rFonts w:ascii="Times New Roman" w:hAnsi="Times New Roman"/>
          <w:sz w:val="24"/>
          <w:szCs w:val="24"/>
        </w:rPr>
        <w:t>portfolio_accounts_core</w:t>
      </w:r>
      <w:proofErr w:type="spellEnd"/>
      <w:r w:rsidRPr="007A7A8E">
        <w:rPr>
          <w:rFonts w:ascii="Times New Roman" w:hAnsi="Times New Roman"/>
          <w:sz w:val="24"/>
          <w:szCs w:val="24"/>
        </w:rPr>
        <w:t xml:space="preserve"> table. Key transformations included:</w:t>
      </w:r>
    </w:p>
    <w:p w14:paraId="36972E59" w14:textId="77777777" w:rsidR="007A7A8E" w:rsidRPr="009E5C16" w:rsidRDefault="007A7A8E" w:rsidP="009E5C16">
      <w:pPr>
        <w:pStyle w:val="ListParagraph"/>
        <w:numPr>
          <w:ilvl w:val="0"/>
          <w:numId w:val="26"/>
        </w:numPr>
        <w:spacing w:after="0" w:line="480" w:lineRule="auto"/>
        <w:rPr>
          <w:rFonts w:ascii="Times New Roman" w:hAnsi="Times New Roman"/>
          <w:sz w:val="24"/>
          <w:szCs w:val="24"/>
        </w:rPr>
      </w:pPr>
      <w:r w:rsidRPr="009E5C16">
        <w:rPr>
          <w:rFonts w:ascii="Times New Roman" w:hAnsi="Times New Roman"/>
          <w:b/>
          <w:sz w:val="24"/>
          <w:szCs w:val="24"/>
        </w:rPr>
        <w:t>Targeted Filtering</w:t>
      </w:r>
      <w:r w:rsidRPr="009E5C16">
        <w:rPr>
          <w:rFonts w:ascii="Times New Roman" w:hAnsi="Times New Roman"/>
          <w:sz w:val="24"/>
          <w:szCs w:val="24"/>
        </w:rPr>
        <w:t xml:space="preserve">: Only loans with </w:t>
      </w:r>
      <w:proofErr w:type="spellStart"/>
      <w:r w:rsidRPr="009E5C16">
        <w:rPr>
          <w:rFonts w:ascii="Times New Roman" w:hAnsi="Times New Roman"/>
          <w:sz w:val="24"/>
          <w:szCs w:val="24"/>
        </w:rPr>
        <w:t>LoanStatus</w:t>
      </w:r>
      <w:proofErr w:type="spellEnd"/>
      <w:r w:rsidRPr="009E5C16">
        <w:rPr>
          <w:rFonts w:ascii="Times New Roman" w:hAnsi="Times New Roman"/>
          <w:sz w:val="24"/>
          <w:szCs w:val="24"/>
        </w:rPr>
        <w:t xml:space="preserve"> of '</w:t>
      </w:r>
      <w:proofErr w:type="spellStart"/>
      <w:r w:rsidRPr="009E5C16">
        <w:rPr>
          <w:rFonts w:ascii="Times New Roman" w:hAnsi="Times New Roman"/>
          <w:sz w:val="24"/>
          <w:szCs w:val="24"/>
        </w:rPr>
        <w:t>Chargedoff</w:t>
      </w:r>
      <w:proofErr w:type="spellEnd"/>
      <w:r w:rsidRPr="009E5C16">
        <w:rPr>
          <w:rFonts w:ascii="Times New Roman" w:hAnsi="Times New Roman"/>
          <w:sz w:val="24"/>
          <w:szCs w:val="24"/>
        </w:rPr>
        <w:t xml:space="preserve">' or 'Defaulted' and a positive </w:t>
      </w:r>
      <w:proofErr w:type="spellStart"/>
      <w:r w:rsidRPr="009E5C16">
        <w:rPr>
          <w:rFonts w:ascii="Times New Roman" w:hAnsi="Times New Roman"/>
          <w:sz w:val="24"/>
          <w:szCs w:val="24"/>
        </w:rPr>
        <w:t>LP_GrossPrincipalLoss</w:t>
      </w:r>
      <w:proofErr w:type="spellEnd"/>
      <w:r w:rsidRPr="009E5C16">
        <w:rPr>
          <w:rFonts w:ascii="Times New Roman" w:hAnsi="Times New Roman"/>
          <w:sz w:val="24"/>
          <w:szCs w:val="24"/>
        </w:rPr>
        <w:t xml:space="preserve"> were included, ensuring focus on the relevant distressed assets.</w:t>
      </w:r>
    </w:p>
    <w:p w14:paraId="60D9DE3A" w14:textId="77777777" w:rsidR="007A7A8E" w:rsidRPr="00DC0DC3" w:rsidRDefault="007A7A8E" w:rsidP="00DC0DC3">
      <w:pPr>
        <w:pStyle w:val="ListParagraph"/>
        <w:numPr>
          <w:ilvl w:val="0"/>
          <w:numId w:val="26"/>
        </w:numPr>
        <w:spacing w:after="0" w:line="480" w:lineRule="auto"/>
        <w:rPr>
          <w:rFonts w:ascii="Times New Roman" w:hAnsi="Times New Roman"/>
          <w:sz w:val="24"/>
          <w:szCs w:val="24"/>
        </w:rPr>
      </w:pPr>
      <w:r w:rsidRPr="00DC0DC3">
        <w:rPr>
          <w:rFonts w:ascii="Times New Roman" w:hAnsi="Times New Roman"/>
          <w:b/>
          <w:sz w:val="24"/>
          <w:szCs w:val="24"/>
        </w:rPr>
        <w:t>Resilient Data Type Casting</w:t>
      </w:r>
      <w:r w:rsidRPr="00DC0DC3">
        <w:rPr>
          <w:rFonts w:ascii="Times New Roman" w:hAnsi="Times New Roman"/>
          <w:sz w:val="24"/>
          <w:szCs w:val="24"/>
        </w:rPr>
        <w:t>: Employed extensive use of TRIM, NULLIF, COALESCE, CAST, and CASE statements to handle problematic text fields (e.g., empty strings, non-numeric characters in numeric columns, various date formats). This ensures data integrity when converting to NUMERIC, INT, or DATE types.</w:t>
      </w:r>
    </w:p>
    <w:p w14:paraId="212F455E" w14:textId="77777777" w:rsidR="007A7A8E" w:rsidRPr="00DC0DC3" w:rsidRDefault="007A7A8E" w:rsidP="00DC0DC3">
      <w:pPr>
        <w:pStyle w:val="ListParagraph"/>
        <w:numPr>
          <w:ilvl w:val="0"/>
          <w:numId w:val="26"/>
        </w:numPr>
        <w:spacing w:after="0" w:line="480" w:lineRule="auto"/>
        <w:rPr>
          <w:rFonts w:ascii="Times New Roman" w:hAnsi="Times New Roman"/>
          <w:sz w:val="24"/>
          <w:szCs w:val="24"/>
        </w:rPr>
      </w:pPr>
      <w:r w:rsidRPr="00DC0DC3">
        <w:rPr>
          <w:rFonts w:ascii="Times New Roman" w:hAnsi="Times New Roman"/>
          <w:b/>
          <w:sz w:val="24"/>
          <w:szCs w:val="24"/>
        </w:rPr>
        <w:t xml:space="preserve">Enhanced </w:t>
      </w:r>
      <w:proofErr w:type="spellStart"/>
      <w:r w:rsidRPr="00DC0DC3">
        <w:rPr>
          <w:rFonts w:ascii="Times New Roman" w:hAnsi="Times New Roman"/>
          <w:b/>
          <w:sz w:val="24"/>
          <w:szCs w:val="24"/>
        </w:rPr>
        <w:t>prosper_score</w:t>
      </w:r>
      <w:proofErr w:type="spellEnd"/>
      <w:r w:rsidRPr="00DC0DC3">
        <w:rPr>
          <w:rFonts w:ascii="Times New Roman" w:hAnsi="Times New Roman"/>
          <w:b/>
          <w:sz w:val="24"/>
          <w:szCs w:val="24"/>
        </w:rPr>
        <w:t xml:space="preserve"> Handling</w:t>
      </w:r>
      <w:r w:rsidRPr="00DC0DC3">
        <w:rPr>
          <w:rFonts w:ascii="Times New Roman" w:hAnsi="Times New Roman"/>
          <w:sz w:val="24"/>
          <w:szCs w:val="24"/>
        </w:rPr>
        <w:t xml:space="preserve">: A critical CASE logic was implemented to correctly parse the </w:t>
      </w:r>
      <w:proofErr w:type="spellStart"/>
      <w:r w:rsidRPr="00DC0DC3">
        <w:rPr>
          <w:rFonts w:ascii="Times New Roman" w:hAnsi="Times New Roman"/>
          <w:sz w:val="24"/>
          <w:szCs w:val="24"/>
        </w:rPr>
        <w:t>prosper_score</w:t>
      </w:r>
      <w:proofErr w:type="spellEnd"/>
      <w:r w:rsidRPr="00DC0DC3">
        <w:rPr>
          <w:rFonts w:ascii="Times New Roman" w:hAnsi="Times New Roman"/>
          <w:sz w:val="24"/>
          <w:szCs w:val="24"/>
        </w:rPr>
        <w:t xml:space="preserve"> (which in raw form could contain decimals or non-numeric text). Valid numeric scores are cast to INT, while invalid or empty entries are now correctly assigned NULL, rectifying a previous default-to-0 issue.</w:t>
      </w:r>
    </w:p>
    <w:p w14:paraId="2D84E903" w14:textId="77777777" w:rsidR="007A7A8E" w:rsidRPr="00DC0DC3" w:rsidRDefault="007A7A8E" w:rsidP="00DC0DC3">
      <w:pPr>
        <w:pStyle w:val="ListParagraph"/>
        <w:numPr>
          <w:ilvl w:val="0"/>
          <w:numId w:val="26"/>
        </w:numPr>
        <w:spacing w:after="0" w:line="480" w:lineRule="auto"/>
        <w:rPr>
          <w:rFonts w:ascii="Times New Roman" w:hAnsi="Times New Roman"/>
          <w:sz w:val="24"/>
          <w:szCs w:val="24"/>
        </w:rPr>
      </w:pPr>
      <w:proofErr w:type="spellStart"/>
      <w:r w:rsidRPr="00DC0DC3">
        <w:rPr>
          <w:rFonts w:ascii="Times New Roman" w:hAnsi="Times New Roman"/>
          <w:b/>
          <w:sz w:val="24"/>
          <w:szCs w:val="24"/>
        </w:rPr>
        <w:t>estimated_loss</w:t>
      </w:r>
      <w:proofErr w:type="spellEnd"/>
      <w:r w:rsidRPr="00DC0DC3">
        <w:rPr>
          <w:rFonts w:ascii="Times New Roman" w:hAnsi="Times New Roman"/>
          <w:b/>
          <w:sz w:val="24"/>
          <w:szCs w:val="24"/>
        </w:rPr>
        <w:t xml:space="preserve"> &amp; </w:t>
      </w:r>
      <w:proofErr w:type="spellStart"/>
      <w:r w:rsidRPr="00DC0DC3">
        <w:rPr>
          <w:rFonts w:ascii="Times New Roman" w:hAnsi="Times New Roman"/>
          <w:b/>
          <w:sz w:val="24"/>
          <w:szCs w:val="24"/>
        </w:rPr>
        <w:t>estimated_return</w:t>
      </w:r>
      <w:proofErr w:type="spellEnd"/>
      <w:r w:rsidRPr="00DC0DC3">
        <w:rPr>
          <w:rFonts w:ascii="Times New Roman" w:hAnsi="Times New Roman"/>
          <w:b/>
          <w:sz w:val="24"/>
          <w:szCs w:val="24"/>
        </w:rPr>
        <w:t xml:space="preserve"> Integration</w:t>
      </w:r>
      <w:r w:rsidRPr="00DC0DC3">
        <w:rPr>
          <w:rFonts w:ascii="Times New Roman" w:hAnsi="Times New Roman"/>
          <w:sz w:val="24"/>
          <w:szCs w:val="24"/>
        </w:rPr>
        <w:t xml:space="preserve">: These fields, indicative of Prosper's own risk assessments, were carefully processed to ensure proper NUMERIC casting and </w:t>
      </w:r>
      <w:r w:rsidRPr="00DC0DC3">
        <w:rPr>
          <w:rFonts w:ascii="Times New Roman" w:hAnsi="Times New Roman"/>
          <w:sz w:val="24"/>
          <w:szCs w:val="24"/>
        </w:rPr>
        <w:lastRenderedPageBreak/>
        <w:t>NULL handling for missing data points, making them available for future detailed analysis.</w:t>
      </w:r>
    </w:p>
    <w:p w14:paraId="5EEBE4F7" w14:textId="77777777" w:rsidR="007A7A8E" w:rsidRPr="00DC0DC3" w:rsidRDefault="007A7A8E" w:rsidP="00DC0DC3">
      <w:pPr>
        <w:pStyle w:val="ListParagraph"/>
        <w:numPr>
          <w:ilvl w:val="0"/>
          <w:numId w:val="26"/>
        </w:numPr>
        <w:spacing w:after="0" w:line="480" w:lineRule="auto"/>
        <w:rPr>
          <w:rFonts w:ascii="Times New Roman" w:hAnsi="Times New Roman"/>
          <w:sz w:val="24"/>
          <w:szCs w:val="24"/>
        </w:rPr>
      </w:pPr>
      <w:r w:rsidRPr="00DC0DC3">
        <w:rPr>
          <w:rFonts w:ascii="Times New Roman" w:hAnsi="Times New Roman"/>
          <w:b/>
          <w:sz w:val="24"/>
          <w:szCs w:val="24"/>
        </w:rPr>
        <w:t>Strategic Feature Engineering</w:t>
      </w:r>
      <w:r w:rsidRPr="00DC0DC3">
        <w:rPr>
          <w:rFonts w:ascii="Times New Roman" w:hAnsi="Times New Roman"/>
          <w:sz w:val="24"/>
          <w:szCs w:val="24"/>
        </w:rPr>
        <w:t>: The following variables were calculated to improve the accuracy of my valuation:</w:t>
      </w:r>
    </w:p>
    <w:p w14:paraId="1ABBBF82" w14:textId="77777777" w:rsidR="007A7A8E" w:rsidRPr="00DC0DC3" w:rsidRDefault="007A7A8E" w:rsidP="00DC0DC3">
      <w:pPr>
        <w:pStyle w:val="ListParagraph"/>
        <w:numPr>
          <w:ilvl w:val="0"/>
          <w:numId w:val="31"/>
        </w:numPr>
        <w:spacing w:after="0" w:line="480" w:lineRule="auto"/>
        <w:rPr>
          <w:rFonts w:ascii="Times New Roman" w:hAnsi="Times New Roman"/>
          <w:sz w:val="24"/>
          <w:szCs w:val="24"/>
        </w:rPr>
      </w:pPr>
      <w:proofErr w:type="spellStart"/>
      <w:r w:rsidRPr="00DC0DC3">
        <w:rPr>
          <w:rFonts w:ascii="Times New Roman" w:hAnsi="Times New Roman"/>
          <w:sz w:val="24"/>
          <w:szCs w:val="24"/>
        </w:rPr>
        <w:t>charge_off_date</w:t>
      </w:r>
      <w:proofErr w:type="spellEnd"/>
      <w:r w:rsidRPr="00DC0DC3">
        <w:rPr>
          <w:rFonts w:ascii="Times New Roman" w:hAnsi="Times New Roman"/>
          <w:sz w:val="24"/>
          <w:szCs w:val="24"/>
        </w:rPr>
        <w:t xml:space="preserve">: Precisely determined from the </w:t>
      </w:r>
      <w:proofErr w:type="spellStart"/>
      <w:r w:rsidRPr="00DC0DC3">
        <w:rPr>
          <w:rFonts w:ascii="Times New Roman" w:hAnsi="Times New Roman"/>
          <w:sz w:val="24"/>
          <w:szCs w:val="24"/>
        </w:rPr>
        <w:t>ClosedDate</w:t>
      </w:r>
      <w:proofErr w:type="spellEnd"/>
      <w:r w:rsidRPr="00DC0DC3">
        <w:rPr>
          <w:rFonts w:ascii="Times New Roman" w:hAnsi="Times New Roman"/>
          <w:sz w:val="24"/>
          <w:szCs w:val="24"/>
        </w:rPr>
        <w:t xml:space="preserve"> for </w:t>
      </w:r>
      <w:proofErr w:type="gramStart"/>
      <w:r w:rsidRPr="00DC0DC3">
        <w:rPr>
          <w:rFonts w:ascii="Times New Roman" w:hAnsi="Times New Roman"/>
          <w:sz w:val="24"/>
          <w:szCs w:val="24"/>
        </w:rPr>
        <w:t>charged-off</w:t>
      </w:r>
      <w:proofErr w:type="gramEnd"/>
      <w:r w:rsidRPr="00DC0DC3">
        <w:rPr>
          <w:rFonts w:ascii="Times New Roman" w:hAnsi="Times New Roman"/>
          <w:sz w:val="24"/>
          <w:szCs w:val="24"/>
        </w:rPr>
        <w:t>/defaulted loans.</w:t>
      </w:r>
    </w:p>
    <w:p w14:paraId="2FAEA7A8" w14:textId="77777777" w:rsidR="007A7A8E" w:rsidRPr="00DC0DC3" w:rsidRDefault="007A7A8E" w:rsidP="00DC0DC3">
      <w:pPr>
        <w:pStyle w:val="ListParagraph"/>
        <w:numPr>
          <w:ilvl w:val="0"/>
          <w:numId w:val="31"/>
        </w:numPr>
        <w:spacing w:after="0" w:line="480" w:lineRule="auto"/>
        <w:rPr>
          <w:rFonts w:ascii="Times New Roman" w:hAnsi="Times New Roman"/>
          <w:sz w:val="24"/>
          <w:szCs w:val="24"/>
        </w:rPr>
      </w:pPr>
      <w:proofErr w:type="spellStart"/>
      <w:r w:rsidRPr="00DC0DC3">
        <w:rPr>
          <w:rFonts w:ascii="Times New Roman" w:hAnsi="Times New Roman"/>
          <w:sz w:val="24"/>
          <w:szCs w:val="24"/>
        </w:rPr>
        <w:t>fico_score_proxy</w:t>
      </w:r>
      <w:proofErr w:type="spellEnd"/>
      <w:r w:rsidRPr="00DC0DC3">
        <w:rPr>
          <w:rFonts w:ascii="Times New Roman" w:hAnsi="Times New Roman"/>
          <w:sz w:val="24"/>
          <w:szCs w:val="24"/>
        </w:rPr>
        <w:t xml:space="preserve">: Calculated as the midpoint of </w:t>
      </w:r>
      <w:proofErr w:type="spellStart"/>
      <w:r w:rsidRPr="00DC0DC3">
        <w:rPr>
          <w:rFonts w:ascii="Times New Roman" w:hAnsi="Times New Roman"/>
          <w:sz w:val="24"/>
          <w:szCs w:val="24"/>
        </w:rPr>
        <w:t>CreditScoreRangeLower</w:t>
      </w:r>
      <w:proofErr w:type="spellEnd"/>
      <w:r w:rsidRPr="00DC0DC3">
        <w:rPr>
          <w:rFonts w:ascii="Times New Roman" w:hAnsi="Times New Roman"/>
          <w:sz w:val="24"/>
          <w:szCs w:val="24"/>
        </w:rPr>
        <w:t xml:space="preserve"> and </w:t>
      </w:r>
      <w:proofErr w:type="spellStart"/>
      <w:r w:rsidRPr="00DC0DC3">
        <w:rPr>
          <w:rFonts w:ascii="Times New Roman" w:hAnsi="Times New Roman"/>
          <w:sz w:val="24"/>
          <w:szCs w:val="24"/>
        </w:rPr>
        <w:t>CreditScoreRangeUpper</w:t>
      </w:r>
      <w:proofErr w:type="spellEnd"/>
      <w:r w:rsidRPr="00DC0DC3">
        <w:rPr>
          <w:rFonts w:ascii="Times New Roman" w:hAnsi="Times New Roman"/>
          <w:sz w:val="24"/>
          <w:szCs w:val="24"/>
        </w:rPr>
        <w:t xml:space="preserve"> to provide a consistent FICO representation.</w:t>
      </w:r>
    </w:p>
    <w:p w14:paraId="5A62B22B" w14:textId="77777777" w:rsidR="007A7A8E" w:rsidRPr="00DC0DC3" w:rsidRDefault="007A7A8E" w:rsidP="00DC0DC3">
      <w:pPr>
        <w:pStyle w:val="ListParagraph"/>
        <w:numPr>
          <w:ilvl w:val="0"/>
          <w:numId w:val="31"/>
        </w:numPr>
        <w:spacing w:after="0" w:line="480" w:lineRule="auto"/>
        <w:rPr>
          <w:rFonts w:ascii="Times New Roman" w:hAnsi="Times New Roman"/>
          <w:sz w:val="24"/>
          <w:szCs w:val="24"/>
        </w:rPr>
      </w:pPr>
      <w:proofErr w:type="spellStart"/>
      <w:r w:rsidRPr="00DC0DC3">
        <w:rPr>
          <w:rFonts w:ascii="Times New Roman" w:hAnsi="Times New Roman"/>
          <w:sz w:val="24"/>
          <w:szCs w:val="24"/>
        </w:rPr>
        <w:t>loan_age_at_charge_off_months</w:t>
      </w:r>
      <w:proofErr w:type="spellEnd"/>
      <w:r w:rsidRPr="00DC0DC3">
        <w:rPr>
          <w:rFonts w:ascii="Times New Roman" w:hAnsi="Times New Roman"/>
          <w:sz w:val="24"/>
          <w:szCs w:val="24"/>
        </w:rPr>
        <w:t>: Quantifies the loan's age at the point of charge-off.</w:t>
      </w:r>
    </w:p>
    <w:p w14:paraId="175A092B" w14:textId="77777777" w:rsidR="007A7A8E" w:rsidRPr="00DC0DC3" w:rsidRDefault="007A7A8E" w:rsidP="00DC0DC3">
      <w:pPr>
        <w:pStyle w:val="ListParagraph"/>
        <w:numPr>
          <w:ilvl w:val="0"/>
          <w:numId w:val="30"/>
        </w:numPr>
        <w:spacing w:after="0" w:line="480" w:lineRule="auto"/>
        <w:rPr>
          <w:rFonts w:ascii="Times New Roman" w:hAnsi="Times New Roman"/>
          <w:sz w:val="24"/>
          <w:szCs w:val="24"/>
        </w:rPr>
      </w:pPr>
      <w:proofErr w:type="spellStart"/>
      <w:r w:rsidRPr="00DC0DC3">
        <w:rPr>
          <w:rFonts w:ascii="Times New Roman" w:hAnsi="Times New Roman"/>
          <w:sz w:val="24"/>
          <w:szCs w:val="24"/>
        </w:rPr>
        <w:t>months_since_charge_off_at_valuation</w:t>
      </w:r>
      <w:proofErr w:type="spellEnd"/>
      <w:r w:rsidRPr="00DC0DC3">
        <w:rPr>
          <w:rFonts w:ascii="Times New Roman" w:hAnsi="Times New Roman"/>
          <w:sz w:val="24"/>
          <w:szCs w:val="24"/>
        </w:rPr>
        <w:t>: Measures the elapsed time from charge-off to the valuation date (January 1, 2015), crucial for "seasoning" adjustments.</w:t>
      </w:r>
    </w:p>
    <w:p w14:paraId="741E7F86" w14:textId="77777777" w:rsidR="007A7A8E" w:rsidRPr="00DC0DC3" w:rsidRDefault="007A7A8E" w:rsidP="00DC0DC3">
      <w:pPr>
        <w:pStyle w:val="ListParagraph"/>
        <w:numPr>
          <w:ilvl w:val="0"/>
          <w:numId w:val="32"/>
        </w:numPr>
        <w:spacing w:after="0" w:line="480" w:lineRule="auto"/>
        <w:rPr>
          <w:rFonts w:ascii="Times New Roman" w:hAnsi="Times New Roman"/>
          <w:sz w:val="24"/>
          <w:szCs w:val="24"/>
        </w:rPr>
      </w:pPr>
      <w:r w:rsidRPr="00DC0DC3">
        <w:rPr>
          <w:rFonts w:ascii="Times New Roman" w:hAnsi="Times New Roman"/>
          <w:b/>
          <w:sz w:val="24"/>
          <w:szCs w:val="24"/>
        </w:rPr>
        <w:t>Granular Segmentation</w:t>
      </w:r>
      <w:r w:rsidRPr="00DC0DC3">
        <w:rPr>
          <w:rFonts w:ascii="Times New Roman" w:hAnsi="Times New Roman"/>
          <w:sz w:val="24"/>
          <w:szCs w:val="24"/>
        </w:rPr>
        <w:t xml:space="preserve">: Loans in </w:t>
      </w:r>
      <w:proofErr w:type="spellStart"/>
      <w:r w:rsidRPr="00DC0DC3">
        <w:rPr>
          <w:rFonts w:ascii="Times New Roman" w:hAnsi="Times New Roman"/>
          <w:sz w:val="24"/>
          <w:szCs w:val="24"/>
        </w:rPr>
        <w:t>portfolio_accounts_core</w:t>
      </w:r>
      <w:proofErr w:type="spellEnd"/>
      <w:r w:rsidRPr="00DC0DC3">
        <w:rPr>
          <w:rFonts w:ascii="Times New Roman" w:hAnsi="Times New Roman"/>
          <w:sz w:val="24"/>
          <w:szCs w:val="24"/>
        </w:rPr>
        <w:t xml:space="preserve"> were systematically assigned a </w:t>
      </w:r>
      <w:proofErr w:type="spellStart"/>
      <w:r w:rsidRPr="00DC0DC3">
        <w:rPr>
          <w:rFonts w:ascii="Times New Roman" w:hAnsi="Times New Roman"/>
          <w:sz w:val="24"/>
          <w:szCs w:val="24"/>
        </w:rPr>
        <w:t>segment_id</w:t>
      </w:r>
      <w:proofErr w:type="spellEnd"/>
      <w:r w:rsidRPr="00DC0DC3">
        <w:rPr>
          <w:rFonts w:ascii="Times New Roman" w:hAnsi="Times New Roman"/>
          <w:sz w:val="24"/>
          <w:szCs w:val="24"/>
        </w:rPr>
        <w:t xml:space="preserve"> based on a 4x4 matrix, combining distinct </w:t>
      </w:r>
      <w:proofErr w:type="spellStart"/>
      <w:r w:rsidRPr="00DC0DC3">
        <w:rPr>
          <w:rFonts w:ascii="Times New Roman" w:hAnsi="Times New Roman"/>
          <w:sz w:val="24"/>
          <w:szCs w:val="24"/>
        </w:rPr>
        <w:t>fico_score_proxy</w:t>
      </w:r>
      <w:proofErr w:type="spellEnd"/>
      <w:r w:rsidRPr="00DC0DC3">
        <w:rPr>
          <w:rFonts w:ascii="Times New Roman" w:hAnsi="Times New Roman"/>
          <w:sz w:val="24"/>
          <w:szCs w:val="24"/>
        </w:rPr>
        <w:t xml:space="preserve"> bands (&lt;620, 620-679, 680-719, 720+) with </w:t>
      </w:r>
      <w:proofErr w:type="spellStart"/>
      <w:r w:rsidRPr="00DC0DC3">
        <w:rPr>
          <w:rFonts w:ascii="Times New Roman" w:hAnsi="Times New Roman"/>
          <w:sz w:val="24"/>
          <w:szCs w:val="24"/>
        </w:rPr>
        <w:t>LoanOriginalAmount</w:t>
      </w:r>
      <w:proofErr w:type="spellEnd"/>
      <w:r w:rsidRPr="00DC0DC3">
        <w:rPr>
          <w:rFonts w:ascii="Times New Roman" w:hAnsi="Times New Roman"/>
          <w:sz w:val="24"/>
          <w:szCs w:val="24"/>
        </w:rPr>
        <w:t xml:space="preserve"> quartiles. All 16 segments were successfully populated, enabling a more precise valuation.</w:t>
      </w:r>
    </w:p>
    <w:p w14:paraId="510F2DC4" w14:textId="77777777" w:rsidR="007A7A8E" w:rsidRPr="00DC0DC3" w:rsidRDefault="007A7A8E" w:rsidP="00DC0DC3">
      <w:pPr>
        <w:pStyle w:val="ListParagraph"/>
        <w:numPr>
          <w:ilvl w:val="0"/>
          <w:numId w:val="32"/>
        </w:numPr>
        <w:spacing w:after="0" w:line="480" w:lineRule="auto"/>
        <w:rPr>
          <w:rFonts w:ascii="Times New Roman" w:hAnsi="Times New Roman"/>
          <w:sz w:val="24"/>
          <w:szCs w:val="24"/>
        </w:rPr>
      </w:pPr>
      <w:r w:rsidRPr="00DC0DC3">
        <w:rPr>
          <w:rFonts w:ascii="Times New Roman" w:hAnsi="Times New Roman"/>
          <w:b/>
          <w:sz w:val="24"/>
          <w:szCs w:val="24"/>
        </w:rPr>
        <w:t>Data Integrity Assurance</w:t>
      </w:r>
      <w:r w:rsidRPr="00DC0DC3">
        <w:rPr>
          <w:rFonts w:ascii="Times New Roman" w:hAnsi="Times New Roman"/>
          <w:sz w:val="24"/>
          <w:szCs w:val="24"/>
        </w:rPr>
        <w:t xml:space="preserve">: Through iterative diagnostics and refinement, </w:t>
      </w:r>
      <w:proofErr w:type="gramStart"/>
      <w:r w:rsidRPr="00DC0DC3">
        <w:rPr>
          <w:rFonts w:ascii="Times New Roman" w:hAnsi="Times New Roman"/>
          <w:sz w:val="24"/>
          <w:szCs w:val="24"/>
        </w:rPr>
        <w:t>initial data</w:t>
      </w:r>
      <w:proofErr w:type="gramEnd"/>
      <w:r w:rsidRPr="00DC0DC3">
        <w:rPr>
          <w:rFonts w:ascii="Times New Roman" w:hAnsi="Times New Roman"/>
          <w:sz w:val="24"/>
          <w:szCs w:val="24"/>
        </w:rPr>
        <w:t xml:space="preserve"> quality issues were successfully addressed, ensuring a clean and reliable dataset for the core model.</w:t>
      </w:r>
    </w:p>
    <w:p w14:paraId="585CD9DE" w14:textId="4E5B9C3B" w:rsidR="00160B80" w:rsidRDefault="00160B80" w:rsidP="007A7A8E">
      <w:pPr>
        <w:spacing w:after="0" w:line="480" w:lineRule="auto"/>
        <w:rPr>
          <w:rFonts w:ascii="Times New Roman" w:hAnsi="Times New Roman"/>
          <w:b/>
          <w:bCs/>
          <w:sz w:val="24"/>
          <w:szCs w:val="24"/>
        </w:rPr>
      </w:pPr>
      <w:r>
        <w:rPr>
          <w:rFonts w:ascii="Times New Roman" w:hAnsi="Times New Roman"/>
          <w:b/>
          <w:bCs/>
          <w:sz w:val="24"/>
          <w:szCs w:val="24"/>
        </w:rPr>
        <w:br w:type="page"/>
      </w:r>
    </w:p>
    <w:p w14:paraId="7F30CA55" w14:textId="77777777" w:rsidR="004F4785" w:rsidRPr="0001637C" w:rsidRDefault="004F4785" w:rsidP="0001637C">
      <w:pPr>
        <w:pStyle w:val="Heading2"/>
      </w:pPr>
      <w:r w:rsidRPr="0001637C">
        <w:lastRenderedPageBreak/>
        <w:t>3. Valuation Methodology: Segmented Discounted Cash Flow (DCF)</w:t>
      </w:r>
    </w:p>
    <w:p w14:paraId="0DCF2B13" w14:textId="77777777" w:rsidR="004F4785" w:rsidRPr="00153867" w:rsidRDefault="004F4785" w:rsidP="00153867">
      <w:pPr>
        <w:spacing w:line="480" w:lineRule="auto"/>
        <w:rPr>
          <w:rFonts w:asciiTheme="majorHAnsi" w:hAnsiTheme="majorHAnsi" w:cstheme="majorHAnsi"/>
          <w:sz w:val="24"/>
          <w:szCs w:val="24"/>
        </w:rPr>
      </w:pPr>
      <w:r w:rsidRPr="00153867">
        <w:rPr>
          <w:rFonts w:asciiTheme="majorHAnsi" w:hAnsiTheme="majorHAnsi" w:cstheme="majorHAnsi"/>
          <w:sz w:val="24"/>
          <w:szCs w:val="24"/>
        </w:rPr>
        <w:t>The portfolio was valued using a segmented Discounted Cash Flow (DCF) model, a widely accepted approach for valuing assets based on their future cash flow generation.</w:t>
      </w:r>
    </w:p>
    <w:p w14:paraId="5FB425AF" w14:textId="77777777" w:rsidR="004F4785" w:rsidRPr="00D53A8B" w:rsidRDefault="004F4785" w:rsidP="0001637C">
      <w:pPr>
        <w:pStyle w:val="H3"/>
      </w:pPr>
      <w:r w:rsidRPr="00D53A8B">
        <w:t>3.1 Core Components of the DCF Model</w:t>
      </w:r>
    </w:p>
    <w:p w14:paraId="1D1683BE" w14:textId="77777777" w:rsidR="004F4785" w:rsidRPr="00EB4DED" w:rsidRDefault="004F4785" w:rsidP="00EB4DED">
      <w:pPr>
        <w:pStyle w:val="ListParagraph"/>
        <w:widowControl w:val="0"/>
        <w:numPr>
          <w:ilvl w:val="0"/>
          <w:numId w:val="32"/>
        </w:numPr>
        <w:pBdr>
          <w:top w:val="nil"/>
          <w:left w:val="nil"/>
          <w:bottom w:val="nil"/>
          <w:right w:val="nil"/>
          <w:between w:val="nil"/>
        </w:pBdr>
        <w:spacing w:after="0" w:line="480" w:lineRule="auto"/>
        <w:rPr>
          <w:rFonts w:ascii="Times New Roman" w:hAnsi="Times New Roman"/>
        </w:rPr>
      </w:pPr>
      <w:r w:rsidRPr="00EB4DED">
        <w:rPr>
          <w:rFonts w:ascii="Times New Roman" w:eastAsia="Google Sans Text" w:hAnsi="Times New Roman"/>
          <w:b/>
          <w:sz w:val="24"/>
          <w:szCs w:val="24"/>
        </w:rPr>
        <w:t>Core Principle</w:t>
      </w:r>
      <w:r w:rsidRPr="00EB4DED">
        <w:rPr>
          <w:rFonts w:ascii="Times New Roman" w:eastAsia="Google Sans Text" w:hAnsi="Times New Roman"/>
          <w:sz w:val="24"/>
          <w:szCs w:val="24"/>
        </w:rPr>
        <w:t>: The fundamental concept involves discounting projected future net cash flows back to the valuation date to determine their present value.</w:t>
      </w:r>
    </w:p>
    <w:p w14:paraId="03C8C959" w14:textId="77777777" w:rsidR="004F4785" w:rsidRPr="00EB4DED" w:rsidRDefault="004F4785" w:rsidP="00EB4DED">
      <w:pPr>
        <w:pStyle w:val="ListParagraph"/>
        <w:widowControl w:val="0"/>
        <w:numPr>
          <w:ilvl w:val="0"/>
          <w:numId w:val="32"/>
        </w:numPr>
        <w:pBdr>
          <w:top w:val="nil"/>
          <w:left w:val="nil"/>
          <w:bottom w:val="nil"/>
          <w:right w:val="nil"/>
          <w:between w:val="nil"/>
        </w:pBdr>
        <w:spacing w:after="0" w:line="480" w:lineRule="auto"/>
        <w:rPr>
          <w:rFonts w:ascii="Times New Roman" w:hAnsi="Times New Roman"/>
        </w:rPr>
      </w:pPr>
      <w:r w:rsidRPr="00EB4DED">
        <w:rPr>
          <w:rFonts w:ascii="Times New Roman" w:eastAsia="Google Sans Text" w:hAnsi="Times New Roman"/>
          <w:b/>
          <w:sz w:val="24"/>
          <w:szCs w:val="24"/>
        </w:rPr>
        <w:t>Recovery Base</w:t>
      </w:r>
      <w:r w:rsidRPr="00EB4DED">
        <w:rPr>
          <w:rFonts w:ascii="Times New Roman" w:eastAsia="Google Sans Text" w:hAnsi="Times New Roman"/>
          <w:sz w:val="24"/>
          <w:szCs w:val="24"/>
        </w:rPr>
        <w:t xml:space="preserve">: </w:t>
      </w:r>
      <w:proofErr w:type="spellStart"/>
      <w:r w:rsidRPr="00EB4DED">
        <w:rPr>
          <w:rFonts w:ascii="Times New Roman" w:eastAsia="Google Sans Text" w:hAnsi="Times New Roman"/>
          <w:sz w:val="24"/>
          <w:szCs w:val="24"/>
        </w:rPr>
        <w:t>LP_GrossPrincipalLoss</w:t>
      </w:r>
      <w:proofErr w:type="spellEnd"/>
      <w:r w:rsidRPr="00EB4DED">
        <w:rPr>
          <w:rFonts w:ascii="Times New Roman" w:eastAsia="Google Sans Text" w:hAnsi="Times New Roman"/>
          <w:sz w:val="24"/>
          <w:szCs w:val="24"/>
        </w:rPr>
        <w:t xml:space="preserve"> serves as the initial principal amount charged off for each loan, forming the base upon which recoveries are calculated.</w:t>
      </w:r>
    </w:p>
    <w:p w14:paraId="48E10D16" w14:textId="77777777" w:rsidR="004F4785" w:rsidRPr="00EB4DED" w:rsidRDefault="004F4785" w:rsidP="00EB4DED">
      <w:pPr>
        <w:pStyle w:val="ListParagraph"/>
        <w:widowControl w:val="0"/>
        <w:numPr>
          <w:ilvl w:val="0"/>
          <w:numId w:val="32"/>
        </w:numPr>
        <w:pBdr>
          <w:top w:val="nil"/>
          <w:left w:val="nil"/>
          <w:bottom w:val="nil"/>
          <w:right w:val="nil"/>
          <w:between w:val="nil"/>
        </w:pBdr>
        <w:spacing w:after="0" w:line="480" w:lineRule="auto"/>
        <w:rPr>
          <w:rFonts w:ascii="Times New Roman" w:hAnsi="Times New Roman"/>
        </w:rPr>
      </w:pPr>
      <w:r w:rsidRPr="00EB4DED">
        <w:rPr>
          <w:rFonts w:ascii="Times New Roman" w:eastAsia="Google Sans Text" w:hAnsi="Times New Roman"/>
          <w:b/>
          <w:sz w:val="24"/>
          <w:szCs w:val="24"/>
        </w:rPr>
        <w:t>Segment-Specific Recovery Curves</w:t>
      </w:r>
      <w:r w:rsidRPr="00EB4DED">
        <w:rPr>
          <w:rFonts w:ascii="Times New Roman" w:eastAsia="Google Sans Text" w:hAnsi="Times New Roman"/>
          <w:sz w:val="24"/>
          <w:szCs w:val="24"/>
        </w:rPr>
        <w:t xml:space="preserve">: This is a cornerstone of the model's accuracy. The </w:t>
      </w:r>
      <w:proofErr w:type="spellStart"/>
      <w:r w:rsidRPr="00EB4DED">
        <w:rPr>
          <w:rFonts w:ascii="Times New Roman" w:eastAsia="Google Sans Text" w:hAnsi="Times New Roman"/>
          <w:sz w:val="24"/>
          <w:szCs w:val="24"/>
        </w:rPr>
        <w:t>recovery_curve_parameters</w:t>
      </w:r>
      <w:proofErr w:type="spellEnd"/>
      <w:r w:rsidRPr="00EB4DED">
        <w:rPr>
          <w:rFonts w:ascii="Times New Roman" w:eastAsia="Google Sans Text" w:hAnsi="Times New Roman"/>
          <w:sz w:val="24"/>
          <w:szCs w:val="24"/>
        </w:rPr>
        <w:t xml:space="preserve"> table stores unique monthly recovery percentages for each of the 16 defined segments over the 84-month forecast horizon. These curves are dynamic, applying a base monthly recovery rate, adjusted by a </w:t>
      </w:r>
      <w:proofErr w:type="spellStart"/>
      <w:r w:rsidRPr="00EB4DED">
        <w:rPr>
          <w:rFonts w:ascii="Times New Roman" w:eastAsia="Google Sans Text" w:hAnsi="Times New Roman"/>
          <w:sz w:val="24"/>
          <w:szCs w:val="24"/>
        </w:rPr>
        <w:t>risk_multiplier</w:t>
      </w:r>
      <w:proofErr w:type="spellEnd"/>
      <w:r w:rsidRPr="00EB4DED">
        <w:rPr>
          <w:rFonts w:ascii="Times New Roman" w:eastAsia="Google Sans Text" w:hAnsi="Times New Roman"/>
          <w:sz w:val="24"/>
          <w:szCs w:val="24"/>
        </w:rPr>
        <w:t xml:space="preserve"> (derived from </w:t>
      </w:r>
      <w:proofErr w:type="spellStart"/>
      <w:r w:rsidRPr="00EB4DED">
        <w:rPr>
          <w:rFonts w:ascii="Times New Roman" w:eastAsia="Google Sans Text" w:hAnsi="Times New Roman"/>
          <w:sz w:val="24"/>
          <w:szCs w:val="24"/>
        </w:rPr>
        <w:t>score_risk_mapping</w:t>
      </w:r>
      <w:proofErr w:type="spellEnd"/>
      <w:r w:rsidRPr="00EB4DED">
        <w:rPr>
          <w:rFonts w:ascii="Times New Roman" w:eastAsia="Google Sans Text" w:hAnsi="Times New Roman"/>
          <w:sz w:val="24"/>
          <w:szCs w:val="24"/>
        </w:rPr>
        <w:t xml:space="preserve"> based on the loan's FICO band), and incorporate an exponential decay factor to reflect diminishing recovery potential over time.</w:t>
      </w:r>
    </w:p>
    <w:p w14:paraId="7CBFCFD8" w14:textId="77777777" w:rsidR="004F4785" w:rsidRPr="00EB4DED" w:rsidRDefault="004F4785" w:rsidP="00EB4DED">
      <w:pPr>
        <w:pStyle w:val="ListParagraph"/>
        <w:widowControl w:val="0"/>
        <w:numPr>
          <w:ilvl w:val="0"/>
          <w:numId w:val="32"/>
        </w:numPr>
        <w:pBdr>
          <w:top w:val="nil"/>
          <w:left w:val="nil"/>
          <w:bottom w:val="nil"/>
          <w:right w:val="nil"/>
          <w:between w:val="nil"/>
        </w:pBdr>
        <w:spacing w:after="0" w:line="480" w:lineRule="auto"/>
        <w:rPr>
          <w:rFonts w:ascii="Times New Roman" w:hAnsi="Times New Roman"/>
        </w:rPr>
      </w:pPr>
      <w:r w:rsidRPr="00EB4DED">
        <w:rPr>
          <w:rFonts w:ascii="Times New Roman" w:eastAsia="Google Sans Text" w:hAnsi="Times New Roman"/>
          <w:b/>
          <w:sz w:val="24"/>
          <w:szCs w:val="24"/>
        </w:rPr>
        <w:t>Loan Seasoning</w:t>
      </w:r>
      <w:r w:rsidRPr="00EB4DED">
        <w:rPr>
          <w:rFonts w:ascii="Times New Roman" w:eastAsia="Google Sans Text" w:hAnsi="Times New Roman"/>
          <w:sz w:val="24"/>
          <w:szCs w:val="24"/>
        </w:rPr>
        <w:t xml:space="preserve">: Crucial for precise forecasting, the model meticulously accounts for each loan's </w:t>
      </w:r>
      <w:proofErr w:type="spellStart"/>
      <w:r w:rsidRPr="00EB4DED">
        <w:rPr>
          <w:rFonts w:ascii="Times New Roman" w:eastAsia="Google Sans Text" w:hAnsi="Times New Roman"/>
          <w:sz w:val="24"/>
          <w:szCs w:val="24"/>
        </w:rPr>
        <w:t>months_since_charge_off_at_valuation</w:t>
      </w:r>
      <w:proofErr w:type="spellEnd"/>
      <w:r w:rsidRPr="00EB4DED">
        <w:rPr>
          <w:rFonts w:ascii="Times New Roman" w:eastAsia="Google Sans Text" w:hAnsi="Times New Roman"/>
          <w:sz w:val="24"/>
          <w:szCs w:val="24"/>
        </w:rPr>
        <w:t xml:space="preserve">. Recoveries are only applied from the appropriate point on the segment's recovery curve, accurately reflecting the loan's existing "seasoning" at the valuation date. </w:t>
      </w:r>
      <w:r w:rsidRPr="00EB4DED">
        <w:rPr>
          <w:rFonts w:ascii="Times New Roman" w:eastAsia="Google Sans Text" w:hAnsi="Times New Roman"/>
          <w:i/>
          <w:sz w:val="24"/>
          <w:szCs w:val="24"/>
        </w:rPr>
        <w:t>(Notably, for this specific portfolio, initial 9 forecast months show zero aggregate recoveries, as all loans contributing significant principal loss were already seasoned by at least 9 months at the valuation date.)</w:t>
      </w:r>
    </w:p>
    <w:p w14:paraId="65957CEA" w14:textId="77777777" w:rsidR="004F4785" w:rsidRPr="00EB4DED" w:rsidRDefault="004F4785" w:rsidP="00EB4DED">
      <w:pPr>
        <w:pStyle w:val="ListParagraph"/>
        <w:widowControl w:val="0"/>
        <w:numPr>
          <w:ilvl w:val="0"/>
          <w:numId w:val="32"/>
        </w:numPr>
        <w:pBdr>
          <w:top w:val="nil"/>
          <w:left w:val="nil"/>
          <w:bottom w:val="nil"/>
          <w:right w:val="nil"/>
          <w:between w:val="nil"/>
        </w:pBdr>
        <w:spacing w:after="0" w:line="480" w:lineRule="auto"/>
        <w:rPr>
          <w:rFonts w:ascii="Times New Roman" w:hAnsi="Times New Roman"/>
        </w:rPr>
      </w:pPr>
      <w:r w:rsidRPr="00EB4DED">
        <w:rPr>
          <w:rFonts w:ascii="Times New Roman" w:eastAsia="Google Sans Text" w:hAnsi="Times New Roman"/>
          <w:b/>
          <w:sz w:val="24"/>
          <w:szCs w:val="24"/>
        </w:rPr>
        <w:t>Net Cash Flow Calculation</w:t>
      </w:r>
      <w:r w:rsidRPr="00EB4DED">
        <w:rPr>
          <w:rFonts w:ascii="Times New Roman" w:eastAsia="Google Sans Text" w:hAnsi="Times New Roman"/>
          <w:sz w:val="24"/>
          <w:szCs w:val="24"/>
        </w:rPr>
        <w:t xml:space="preserve">: For each segment, forecasted monthly gross recoveries are aggregated. From these gross recoveries, a flat </w:t>
      </w:r>
      <w:proofErr w:type="spellStart"/>
      <w:r w:rsidRPr="00EB4DED">
        <w:rPr>
          <w:rFonts w:ascii="Times New Roman" w:eastAsia="Google Sans Text" w:hAnsi="Times New Roman"/>
          <w:sz w:val="24"/>
          <w:szCs w:val="24"/>
        </w:rPr>
        <w:lastRenderedPageBreak/>
        <w:t>base_case_collection_cost_percentage</w:t>
      </w:r>
      <w:proofErr w:type="spellEnd"/>
      <w:r w:rsidRPr="00EB4DED">
        <w:rPr>
          <w:rFonts w:ascii="Times New Roman" w:eastAsia="Google Sans Text" w:hAnsi="Times New Roman"/>
          <w:sz w:val="24"/>
          <w:szCs w:val="24"/>
        </w:rPr>
        <w:t xml:space="preserve"> (25%) is applied to derive the projected net monthly cash flows.</w:t>
      </w:r>
    </w:p>
    <w:p w14:paraId="32E60921" w14:textId="77777777" w:rsidR="004F4785" w:rsidRPr="00EB4DED" w:rsidRDefault="004F4785" w:rsidP="00EB4DED">
      <w:pPr>
        <w:pStyle w:val="ListParagraph"/>
        <w:widowControl w:val="0"/>
        <w:numPr>
          <w:ilvl w:val="0"/>
          <w:numId w:val="32"/>
        </w:numPr>
        <w:pBdr>
          <w:top w:val="nil"/>
          <w:left w:val="nil"/>
          <w:bottom w:val="nil"/>
          <w:right w:val="nil"/>
          <w:between w:val="nil"/>
        </w:pBdr>
        <w:spacing w:after="0" w:line="480" w:lineRule="auto"/>
        <w:rPr>
          <w:rFonts w:ascii="Times New Roman" w:hAnsi="Times New Roman"/>
        </w:rPr>
      </w:pPr>
      <w:r w:rsidRPr="00EB4DED">
        <w:rPr>
          <w:rFonts w:ascii="Times New Roman" w:eastAsia="Google Sans Text" w:hAnsi="Times New Roman"/>
          <w:b/>
          <w:sz w:val="24"/>
          <w:szCs w:val="24"/>
        </w:rPr>
        <w:t>Discounting</w:t>
      </w:r>
      <w:r w:rsidRPr="00EB4DED">
        <w:rPr>
          <w:rFonts w:ascii="Times New Roman" w:eastAsia="Google Sans Text" w:hAnsi="Times New Roman"/>
          <w:sz w:val="24"/>
          <w:szCs w:val="24"/>
        </w:rPr>
        <w:t xml:space="preserve">: These net monthly cash flows are then discounted back to the </w:t>
      </w:r>
      <w:proofErr w:type="spellStart"/>
      <w:r w:rsidRPr="00EB4DED">
        <w:rPr>
          <w:rFonts w:ascii="Times New Roman" w:eastAsia="Google Sans Text" w:hAnsi="Times New Roman"/>
          <w:sz w:val="24"/>
          <w:szCs w:val="24"/>
        </w:rPr>
        <w:t>valuation_date</w:t>
      </w:r>
      <w:proofErr w:type="spellEnd"/>
      <w:r w:rsidRPr="00EB4DED">
        <w:rPr>
          <w:rFonts w:ascii="Times New Roman" w:eastAsia="Google Sans Text" w:hAnsi="Times New Roman"/>
          <w:sz w:val="24"/>
          <w:szCs w:val="24"/>
        </w:rPr>
        <w:t xml:space="preserve"> (January 1, 2015) using a </w:t>
      </w:r>
      <w:proofErr w:type="spellStart"/>
      <w:r w:rsidRPr="00EB4DED">
        <w:rPr>
          <w:rFonts w:ascii="Times New Roman" w:eastAsia="Google Sans Text" w:hAnsi="Times New Roman"/>
          <w:sz w:val="24"/>
          <w:szCs w:val="24"/>
        </w:rPr>
        <w:t>base_case_discount_rate</w:t>
      </w:r>
      <w:proofErr w:type="spellEnd"/>
      <w:r w:rsidRPr="00EB4DED">
        <w:rPr>
          <w:rFonts w:ascii="Times New Roman" w:eastAsia="Google Sans Text" w:hAnsi="Times New Roman"/>
          <w:sz w:val="24"/>
          <w:szCs w:val="24"/>
        </w:rPr>
        <w:t xml:space="preserve"> (20% annual), which is converted to a precise monthly rate for period-by-period discounting.</w:t>
      </w:r>
    </w:p>
    <w:p w14:paraId="3DF914F3" w14:textId="77777777" w:rsidR="004F4785" w:rsidRPr="00EB4DED" w:rsidRDefault="004F4785" w:rsidP="00EB4DED">
      <w:pPr>
        <w:pStyle w:val="ListParagraph"/>
        <w:widowControl w:val="0"/>
        <w:numPr>
          <w:ilvl w:val="0"/>
          <w:numId w:val="32"/>
        </w:numPr>
        <w:pBdr>
          <w:top w:val="nil"/>
          <w:left w:val="nil"/>
          <w:bottom w:val="nil"/>
          <w:right w:val="nil"/>
          <w:between w:val="nil"/>
        </w:pBdr>
        <w:spacing w:after="120" w:line="480" w:lineRule="auto"/>
        <w:rPr>
          <w:rFonts w:ascii="Times New Roman" w:hAnsi="Times New Roman"/>
        </w:rPr>
      </w:pPr>
      <w:r w:rsidRPr="00EB4DED">
        <w:rPr>
          <w:rFonts w:ascii="Times New Roman" w:eastAsia="Google Sans Text" w:hAnsi="Times New Roman"/>
          <w:b/>
          <w:sz w:val="24"/>
          <w:szCs w:val="24"/>
        </w:rPr>
        <w:t>Net Present Value (NPV)</w:t>
      </w:r>
      <w:r w:rsidRPr="00EB4DED">
        <w:rPr>
          <w:rFonts w:ascii="Times New Roman" w:eastAsia="Google Sans Text" w:hAnsi="Times New Roman"/>
          <w:sz w:val="24"/>
          <w:szCs w:val="24"/>
        </w:rPr>
        <w:t xml:space="preserve">: The </w:t>
      </w:r>
      <w:proofErr w:type="gramStart"/>
      <w:r w:rsidRPr="00EB4DED">
        <w:rPr>
          <w:rFonts w:ascii="Times New Roman" w:eastAsia="Google Sans Text" w:hAnsi="Times New Roman"/>
          <w:sz w:val="24"/>
          <w:szCs w:val="24"/>
        </w:rPr>
        <w:t>discounted monthly</w:t>
      </w:r>
      <w:proofErr w:type="gramEnd"/>
      <w:r w:rsidRPr="00EB4DED">
        <w:rPr>
          <w:rFonts w:ascii="Times New Roman" w:eastAsia="Google Sans Text" w:hAnsi="Times New Roman"/>
          <w:sz w:val="24"/>
          <w:szCs w:val="24"/>
        </w:rPr>
        <w:t xml:space="preserve"> net cash flows for each segment are summed to yield a segment-specific NPV. These segment NPVs are then aggregated to derive the total portfolio NPV.</w:t>
      </w:r>
    </w:p>
    <w:p w14:paraId="17A57F94" w14:textId="77777777" w:rsidR="004F4785" w:rsidRPr="00D53A8B" w:rsidRDefault="004F4785" w:rsidP="004F4785">
      <w:pPr>
        <w:pStyle w:val="Heading3"/>
        <w:spacing w:before="120" w:after="120" w:line="275" w:lineRule="auto"/>
        <w:rPr>
          <w:rFonts w:ascii="Times New Roman" w:eastAsia="Google Sans" w:hAnsi="Times New Roman" w:cs="Times New Roman"/>
        </w:rPr>
      </w:pPr>
      <w:r w:rsidRPr="00D53A8B">
        <w:rPr>
          <w:rFonts w:ascii="Times New Roman" w:eastAsia="Google Sans" w:hAnsi="Times New Roman" w:cs="Times New Roman"/>
        </w:rPr>
        <w:t>3.2 Key Assumptions</w:t>
      </w:r>
    </w:p>
    <w:p w14:paraId="431C0750" w14:textId="77777777" w:rsidR="004F4785" w:rsidRPr="00D53A8B" w:rsidRDefault="004F4785" w:rsidP="00E74DEC">
      <w:pPr>
        <w:widowControl w:val="0"/>
        <w:pBdr>
          <w:top w:val="nil"/>
          <w:left w:val="nil"/>
          <w:bottom w:val="nil"/>
          <w:right w:val="nil"/>
          <w:between w:val="nil"/>
        </w:pBdr>
        <w:spacing w:after="0" w:line="480" w:lineRule="auto"/>
        <w:rPr>
          <w:rFonts w:ascii="Times New Roman" w:hAnsi="Times New Roman"/>
        </w:rPr>
      </w:pPr>
      <w:r w:rsidRPr="00D53A8B">
        <w:rPr>
          <w:rFonts w:ascii="Times New Roman" w:eastAsia="Google Sans Text" w:hAnsi="Times New Roman"/>
          <w:b/>
          <w:sz w:val="24"/>
          <w:szCs w:val="24"/>
        </w:rPr>
        <w:t>Valuation Date</w:t>
      </w:r>
      <w:r w:rsidRPr="00D53A8B">
        <w:rPr>
          <w:rFonts w:ascii="Times New Roman" w:eastAsia="Google Sans Text" w:hAnsi="Times New Roman"/>
          <w:sz w:val="24"/>
          <w:szCs w:val="24"/>
        </w:rPr>
        <w:t>: January 1, 2015.</w:t>
      </w:r>
    </w:p>
    <w:p w14:paraId="25516AE5" w14:textId="77777777" w:rsidR="004F4785" w:rsidRPr="00D53A8B" w:rsidRDefault="004F4785" w:rsidP="00E74DEC">
      <w:pPr>
        <w:widowControl w:val="0"/>
        <w:pBdr>
          <w:top w:val="nil"/>
          <w:left w:val="nil"/>
          <w:bottom w:val="nil"/>
          <w:right w:val="nil"/>
          <w:between w:val="nil"/>
        </w:pBdr>
        <w:spacing w:after="0" w:line="480" w:lineRule="auto"/>
        <w:rPr>
          <w:rFonts w:ascii="Times New Roman" w:hAnsi="Times New Roman"/>
        </w:rPr>
      </w:pPr>
      <w:r w:rsidRPr="00D53A8B">
        <w:rPr>
          <w:rFonts w:ascii="Times New Roman" w:eastAsia="Google Sans Text" w:hAnsi="Times New Roman"/>
          <w:b/>
          <w:sz w:val="24"/>
          <w:szCs w:val="24"/>
        </w:rPr>
        <w:t>Forecast Horizon</w:t>
      </w:r>
      <w:r w:rsidRPr="00D53A8B">
        <w:rPr>
          <w:rFonts w:ascii="Times New Roman" w:eastAsia="Google Sans Text" w:hAnsi="Times New Roman"/>
          <w:sz w:val="24"/>
          <w:szCs w:val="24"/>
        </w:rPr>
        <w:t>: 84 months (7 years).</w:t>
      </w:r>
    </w:p>
    <w:p w14:paraId="3F7E9D12" w14:textId="77777777" w:rsidR="004F4785" w:rsidRPr="00D53A8B" w:rsidRDefault="004F4785" w:rsidP="00E74DEC">
      <w:pPr>
        <w:widowControl w:val="0"/>
        <w:pBdr>
          <w:top w:val="nil"/>
          <w:left w:val="nil"/>
          <w:bottom w:val="nil"/>
          <w:right w:val="nil"/>
          <w:between w:val="nil"/>
        </w:pBdr>
        <w:spacing w:after="0" w:line="480" w:lineRule="auto"/>
        <w:rPr>
          <w:rFonts w:ascii="Times New Roman" w:hAnsi="Times New Roman"/>
        </w:rPr>
      </w:pPr>
      <w:r w:rsidRPr="00D53A8B">
        <w:rPr>
          <w:rFonts w:ascii="Times New Roman" w:eastAsia="Google Sans Text" w:hAnsi="Times New Roman"/>
          <w:b/>
          <w:sz w:val="24"/>
          <w:szCs w:val="24"/>
        </w:rPr>
        <w:t>Base Case Annual Discount Rate</w:t>
      </w:r>
      <w:r w:rsidRPr="00D53A8B">
        <w:rPr>
          <w:rFonts w:ascii="Times New Roman" w:eastAsia="Google Sans Text" w:hAnsi="Times New Roman"/>
          <w:sz w:val="24"/>
          <w:szCs w:val="24"/>
        </w:rPr>
        <w:t>: 20.00%.</w:t>
      </w:r>
    </w:p>
    <w:p w14:paraId="775C991F" w14:textId="77777777" w:rsidR="004F4785" w:rsidRPr="00D53A8B" w:rsidRDefault="004F4785" w:rsidP="00E74DEC">
      <w:pPr>
        <w:widowControl w:val="0"/>
        <w:pBdr>
          <w:top w:val="nil"/>
          <w:left w:val="nil"/>
          <w:bottom w:val="nil"/>
          <w:right w:val="nil"/>
          <w:between w:val="nil"/>
        </w:pBdr>
        <w:spacing w:after="0" w:line="480" w:lineRule="auto"/>
        <w:rPr>
          <w:rFonts w:ascii="Times New Roman" w:hAnsi="Times New Roman"/>
        </w:rPr>
      </w:pPr>
      <w:r w:rsidRPr="00D53A8B">
        <w:rPr>
          <w:rFonts w:ascii="Times New Roman" w:eastAsia="Google Sans Text" w:hAnsi="Times New Roman"/>
          <w:b/>
          <w:sz w:val="24"/>
          <w:szCs w:val="24"/>
        </w:rPr>
        <w:t>Base Case Collection Cost Percentage</w:t>
      </w:r>
      <w:r w:rsidRPr="00D53A8B">
        <w:rPr>
          <w:rFonts w:ascii="Times New Roman" w:eastAsia="Google Sans Text" w:hAnsi="Times New Roman"/>
          <w:sz w:val="24"/>
          <w:szCs w:val="24"/>
        </w:rPr>
        <w:t>: 25.00% of gross recoveries.</w:t>
      </w:r>
    </w:p>
    <w:p w14:paraId="366B3572" w14:textId="77777777" w:rsidR="004F4785" w:rsidRPr="00D53A8B" w:rsidRDefault="004F4785" w:rsidP="00E74DEC">
      <w:pPr>
        <w:widowControl w:val="0"/>
        <w:pBdr>
          <w:top w:val="nil"/>
          <w:left w:val="nil"/>
          <w:bottom w:val="nil"/>
          <w:right w:val="nil"/>
          <w:between w:val="nil"/>
        </w:pBdr>
        <w:spacing w:after="120" w:line="480" w:lineRule="auto"/>
        <w:rPr>
          <w:rFonts w:ascii="Times New Roman" w:hAnsi="Times New Roman"/>
        </w:rPr>
      </w:pPr>
      <w:r w:rsidRPr="00D53A8B">
        <w:rPr>
          <w:rFonts w:ascii="Times New Roman" w:eastAsia="Google Sans Text" w:hAnsi="Times New Roman"/>
          <w:b/>
          <w:sz w:val="24"/>
          <w:szCs w:val="24"/>
        </w:rPr>
        <w:t>Base Monthly Recovery Rate</w:t>
      </w:r>
      <w:r w:rsidRPr="00D53A8B">
        <w:rPr>
          <w:rFonts w:ascii="Times New Roman" w:eastAsia="Google Sans Text" w:hAnsi="Times New Roman"/>
          <w:sz w:val="24"/>
          <w:szCs w:val="24"/>
        </w:rPr>
        <w:t xml:space="preserve">: </w:t>
      </w:r>
      <w:r>
        <w:rPr>
          <w:rFonts w:ascii="Times New Roman" w:eastAsia="Google Sans Text" w:hAnsi="Times New Roman"/>
          <w:sz w:val="24"/>
          <w:szCs w:val="24"/>
        </w:rPr>
        <w:t>1</w:t>
      </w:r>
      <w:r w:rsidRPr="00D53A8B">
        <w:rPr>
          <w:rFonts w:ascii="Times New Roman" w:eastAsia="Google Sans Text" w:hAnsi="Times New Roman"/>
          <w:sz w:val="24"/>
          <w:szCs w:val="24"/>
        </w:rPr>
        <w:t>.</w:t>
      </w:r>
      <w:r>
        <w:rPr>
          <w:rFonts w:ascii="Times New Roman" w:eastAsia="Google Sans Text" w:hAnsi="Times New Roman"/>
          <w:sz w:val="24"/>
          <w:szCs w:val="24"/>
        </w:rPr>
        <w:t>0X</w:t>
      </w:r>
      <w:r w:rsidRPr="00D53A8B">
        <w:rPr>
          <w:rFonts w:ascii="Times New Roman" w:eastAsia="Google Sans Text" w:hAnsi="Times New Roman"/>
          <w:sz w:val="24"/>
          <w:szCs w:val="24"/>
        </w:rPr>
        <w:t xml:space="preserve"> (adjusted by FICO-based risk multipliers and exponential decay).</w:t>
      </w:r>
    </w:p>
    <w:p w14:paraId="49EE2191" w14:textId="77777777" w:rsidR="004F4785" w:rsidRDefault="004F4785" w:rsidP="004F4785">
      <w:pPr>
        <w:rPr>
          <w:rFonts w:ascii="Times New Roman" w:eastAsia="Google Sans" w:hAnsi="Times New Roman"/>
          <w:b/>
          <w:sz w:val="30"/>
          <w:szCs w:val="30"/>
        </w:rPr>
      </w:pPr>
      <w:r>
        <w:rPr>
          <w:rFonts w:ascii="Times New Roman" w:eastAsia="Google Sans" w:hAnsi="Times New Roman"/>
          <w:sz w:val="30"/>
          <w:szCs w:val="30"/>
        </w:rPr>
        <w:br w:type="page"/>
      </w:r>
    </w:p>
    <w:p w14:paraId="4F8A98A2" w14:textId="77777777" w:rsidR="004F4785" w:rsidRPr="00D53A8B" w:rsidRDefault="004F4785" w:rsidP="004F4785">
      <w:pPr>
        <w:pStyle w:val="Heading2"/>
        <w:spacing w:before="120" w:after="120" w:line="275" w:lineRule="auto"/>
        <w:rPr>
          <w:rFonts w:ascii="Times New Roman" w:eastAsia="Google Sans" w:hAnsi="Times New Roman" w:cs="Times New Roman"/>
          <w:sz w:val="30"/>
          <w:szCs w:val="30"/>
        </w:rPr>
      </w:pPr>
      <w:r w:rsidRPr="00D53A8B">
        <w:rPr>
          <w:rFonts w:ascii="Times New Roman" w:eastAsia="Google Sans" w:hAnsi="Times New Roman" w:cs="Times New Roman"/>
          <w:sz w:val="30"/>
          <w:szCs w:val="30"/>
        </w:rPr>
        <w:lastRenderedPageBreak/>
        <w:t>4. Results: Valuing the Portfolio</w:t>
      </w:r>
    </w:p>
    <w:p w14:paraId="130E5A58" w14:textId="77777777" w:rsidR="004F4785" w:rsidRPr="00D53A8B" w:rsidRDefault="004F4785" w:rsidP="004F4785">
      <w:pPr>
        <w:pStyle w:val="Heading3"/>
        <w:spacing w:before="0" w:after="120" w:line="275" w:lineRule="auto"/>
        <w:rPr>
          <w:rFonts w:ascii="Times New Roman" w:eastAsia="Google Sans" w:hAnsi="Times New Roman" w:cs="Times New Roman"/>
        </w:rPr>
      </w:pPr>
      <w:r w:rsidRPr="00D53A8B">
        <w:rPr>
          <w:rFonts w:ascii="Times New Roman" w:eastAsia="Google Sans" w:hAnsi="Times New Roman" w:cs="Times New Roman"/>
        </w:rPr>
        <w:t>4.1 Initial Portfolio Metrics</w:t>
      </w:r>
    </w:p>
    <w:p w14:paraId="28AC8D21" w14:textId="77777777" w:rsidR="004F4785" w:rsidRPr="00D53A8B" w:rsidRDefault="004F4785" w:rsidP="004F4785">
      <w:pPr>
        <w:pBdr>
          <w:top w:val="nil"/>
          <w:left w:val="nil"/>
          <w:bottom w:val="nil"/>
          <w:right w:val="nil"/>
          <w:between w:val="nil"/>
        </w:pBdr>
        <w:spacing w:after="120" w:line="275" w:lineRule="auto"/>
        <w:rPr>
          <w:rFonts w:ascii="Times New Roman" w:eastAsia="Google Sans Text" w:hAnsi="Times New Roman"/>
          <w:sz w:val="24"/>
          <w:szCs w:val="24"/>
        </w:rPr>
      </w:pPr>
      <w:r w:rsidRPr="00D53A8B">
        <w:rPr>
          <w:rFonts w:ascii="Times New Roman" w:eastAsia="Google Sans Text" w:hAnsi="Times New Roman"/>
          <w:sz w:val="24"/>
          <w:szCs w:val="24"/>
        </w:rPr>
        <w:t>Analysis of the 'Core Non-Performing' portfolio yields the following baseline metrics:</w:t>
      </w:r>
    </w:p>
    <w:p w14:paraId="7EAEF670" w14:textId="77777777" w:rsidR="004F4785" w:rsidRPr="00D53A8B" w:rsidRDefault="004F4785" w:rsidP="001F3F6B">
      <w:pPr>
        <w:widowControl w:val="0"/>
        <w:pBdr>
          <w:top w:val="nil"/>
          <w:left w:val="nil"/>
          <w:bottom w:val="nil"/>
          <w:right w:val="nil"/>
          <w:between w:val="nil"/>
        </w:pBdr>
        <w:spacing w:after="0" w:line="480" w:lineRule="auto"/>
        <w:rPr>
          <w:rFonts w:ascii="Times New Roman" w:hAnsi="Times New Roman"/>
        </w:rPr>
      </w:pPr>
      <w:r w:rsidRPr="00D53A8B">
        <w:rPr>
          <w:rFonts w:ascii="Times New Roman" w:eastAsia="Google Sans Text" w:hAnsi="Times New Roman"/>
          <w:b/>
          <w:sz w:val="24"/>
          <w:szCs w:val="24"/>
        </w:rPr>
        <w:t>Total Gross Principal Loss</w:t>
      </w:r>
      <w:r w:rsidRPr="00D53A8B">
        <w:rPr>
          <w:rFonts w:ascii="Times New Roman" w:eastAsia="Google Sans Text" w:hAnsi="Times New Roman"/>
          <w:sz w:val="24"/>
          <w:szCs w:val="24"/>
        </w:rPr>
        <w:t>: $79,806,849.12</w:t>
      </w:r>
    </w:p>
    <w:p w14:paraId="19312385" w14:textId="77777777" w:rsidR="004F4785" w:rsidRPr="00D53A8B" w:rsidRDefault="004F4785" w:rsidP="001F3F6B">
      <w:pPr>
        <w:widowControl w:val="0"/>
        <w:pBdr>
          <w:top w:val="nil"/>
          <w:left w:val="nil"/>
          <w:bottom w:val="nil"/>
          <w:right w:val="nil"/>
          <w:between w:val="nil"/>
        </w:pBdr>
        <w:spacing w:after="0" w:line="480" w:lineRule="auto"/>
        <w:rPr>
          <w:rFonts w:ascii="Times New Roman" w:hAnsi="Times New Roman"/>
        </w:rPr>
      </w:pPr>
      <w:r w:rsidRPr="00D53A8B">
        <w:rPr>
          <w:rFonts w:ascii="Times New Roman" w:eastAsia="Google Sans Text" w:hAnsi="Times New Roman"/>
          <w:b/>
          <w:sz w:val="24"/>
          <w:szCs w:val="24"/>
        </w:rPr>
        <w:t>Forecasted Gross Recovery</w:t>
      </w:r>
      <w:r w:rsidRPr="00D53A8B">
        <w:rPr>
          <w:rFonts w:ascii="Times New Roman" w:eastAsia="Google Sans Text" w:hAnsi="Times New Roman"/>
          <w:sz w:val="24"/>
          <w:szCs w:val="24"/>
        </w:rPr>
        <w:t>: $4,659,168.17</w:t>
      </w:r>
    </w:p>
    <w:p w14:paraId="0D2C7079" w14:textId="77777777" w:rsidR="004F4785" w:rsidRPr="00D53A8B" w:rsidRDefault="004F4785" w:rsidP="001F3F6B">
      <w:pPr>
        <w:widowControl w:val="0"/>
        <w:pBdr>
          <w:top w:val="nil"/>
          <w:left w:val="nil"/>
          <w:bottom w:val="nil"/>
          <w:right w:val="nil"/>
          <w:between w:val="nil"/>
        </w:pBdr>
        <w:spacing w:after="120" w:line="480" w:lineRule="auto"/>
        <w:rPr>
          <w:rFonts w:ascii="Times New Roman" w:hAnsi="Times New Roman"/>
        </w:rPr>
      </w:pPr>
      <w:r w:rsidRPr="00D53A8B">
        <w:rPr>
          <w:rFonts w:ascii="Times New Roman" w:eastAsia="Google Sans Text" w:hAnsi="Times New Roman"/>
          <w:b/>
          <w:sz w:val="24"/>
          <w:szCs w:val="24"/>
        </w:rPr>
        <w:t>Gross Recovery Rate</w:t>
      </w:r>
      <w:r w:rsidRPr="00D53A8B">
        <w:rPr>
          <w:rFonts w:ascii="Times New Roman" w:eastAsia="Google Sans Text" w:hAnsi="Times New Roman"/>
          <w:sz w:val="24"/>
          <w:szCs w:val="24"/>
        </w:rPr>
        <w:t>: 5.84% (Calculated as Forecasted Gross Recovery / Total Gross Principal Loss)</w:t>
      </w:r>
    </w:p>
    <w:p w14:paraId="7CE38C8C" w14:textId="77777777" w:rsidR="004F4785" w:rsidRPr="00D53A8B" w:rsidRDefault="004F4785" w:rsidP="004F4785">
      <w:pPr>
        <w:pStyle w:val="Heading3"/>
        <w:spacing w:before="120" w:after="120" w:line="275" w:lineRule="auto"/>
        <w:rPr>
          <w:rFonts w:ascii="Times New Roman" w:eastAsia="Google Sans" w:hAnsi="Times New Roman" w:cs="Times New Roman"/>
        </w:rPr>
      </w:pPr>
      <w:r w:rsidRPr="00D53A8B">
        <w:rPr>
          <w:rFonts w:ascii="Times New Roman" w:eastAsia="Google Sans" w:hAnsi="Times New Roman" w:cs="Times New Roman"/>
        </w:rPr>
        <w:t>4.2 Base Case Valuation</w:t>
      </w:r>
    </w:p>
    <w:p w14:paraId="4093D8B6" w14:textId="77777777" w:rsidR="004F4785" w:rsidRPr="00D53A8B" w:rsidRDefault="004F4785" w:rsidP="001F3F6B">
      <w:pPr>
        <w:pBdr>
          <w:top w:val="nil"/>
          <w:left w:val="nil"/>
          <w:bottom w:val="nil"/>
          <w:right w:val="nil"/>
          <w:between w:val="nil"/>
        </w:pBdr>
        <w:spacing w:after="120" w:line="480" w:lineRule="auto"/>
        <w:rPr>
          <w:rFonts w:ascii="Times New Roman" w:eastAsia="Google Sans Text" w:hAnsi="Times New Roman"/>
          <w:sz w:val="24"/>
          <w:szCs w:val="24"/>
        </w:rPr>
      </w:pPr>
      <w:r w:rsidRPr="00D53A8B">
        <w:rPr>
          <w:rFonts w:ascii="Times New Roman" w:eastAsia="Google Sans Text" w:hAnsi="Times New Roman"/>
          <w:sz w:val="24"/>
          <w:szCs w:val="24"/>
        </w:rPr>
        <w:t>Applying the segmented DCF model with the base case assumptions:</w:t>
      </w:r>
    </w:p>
    <w:p w14:paraId="02ED8FB8" w14:textId="77777777" w:rsidR="004F4785" w:rsidRPr="00D53A8B" w:rsidRDefault="004F4785" w:rsidP="001F3F6B">
      <w:pPr>
        <w:widowControl w:val="0"/>
        <w:pBdr>
          <w:top w:val="nil"/>
          <w:left w:val="nil"/>
          <w:bottom w:val="nil"/>
          <w:right w:val="nil"/>
          <w:between w:val="nil"/>
        </w:pBdr>
        <w:spacing w:after="120" w:line="480" w:lineRule="auto"/>
        <w:rPr>
          <w:rFonts w:ascii="Times New Roman" w:hAnsi="Times New Roman"/>
        </w:rPr>
      </w:pPr>
      <w:r w:rsidRPr="00D53A8B">
        <w:rPr>
          <w:rFonts w:ascii="Times New Roman" w:eastAsia="Google Sans Text" w:hAnsi="Times New Roman"/>
          <w:b/>
          <w:sz w:val="24"/>
          <w:szCs w:val="24"/>
        </w:rPr>
        <w:t>Total Portfolio Net Present Value (NPV)</w:t>
      </w:r>
      <w:r w:rsidRPr="00D53A8B">
        <w:rPr>
          <w:rFonts w:ascii="Times New Roman" w:eastAsia="Google Sans Text" w:hAnsi="Times New Roman"/>
          <w:sz w:val="24"/>
          <w:szCs w:val="24"/>
        </w:rPr>
        <w:t xml:space="preserve">: </w:t>
      </w:r>
      <w:r w:rsidRPr="00D53A8B">
        <w:rPr>
          <w:rFonts w:ascii="Times New Roman" w:eastAsia="Google Sans Text" w:hAnsi="Times New Roman"/>
          <w:b/>
          <w:sz w:val="24"/>
          <w:szCs w:val="24"/>
        </w:rPr>
        <w:t>$1,</w:t>
      </w:r>
      <w:r>
        <w:rPr>
          <w:rFonts w:ascii="Times New Roman" w:eastAsia="Google Sans Text" w:hAnsi="Times New Roman"/>
          <w:b/>
          <w:sz w:val="24"/>
          <w:szCs w:val="24"/>
        </w:rPr>
        <w:t>721,975.13</w:t>
      </w:r>
    </w:p>
    <w:p w14:paraId="6EAF31E6" w14:textId="77777777" w:rsidR="004F4785" w:rsidRPr="00D53A8B" w:rsidRDefault="004F4785" w:rsidP="004F4785">
      <w:pPr>
        <w:pBdr>
          <w:top w:val="nil"/>
          <w:left w:val="nil"/>
          <w:bottom w:val="nil"/>
          <w:right w:val="nil"/>
          <w:between w:val="nil"/>
        </w:pBdr>
        <w:spacing w:after="120" w:line="275" w:lineRule="auto"/>
        <w:ind w:left="105"/>
        <w:jc w:val="center"/>
        <w:rPr>
          <w:rFonts w:ascii="Times New Roman" w:hAnsi="Times New Roman"/>
        </w:rPr>
      </w:pPr>
      <w:r>
        <w:rPr>
          <w:noProof/>
        </w:rPr>
        <w:drawing>
          <wp:inline distT="0" distB="0" distL="0" distR="0" wp14:anchorId="29EB7C59" wp14:editId="4A0E28B0">
            <wp:extent cx="2598084" cy="3171264"/>
            <wp:effectExtent l="0" t="0" r="0" b="0"/>
            <wp:docPr id="3" name="Picture 2">
              <a:extLst xmlns:a="http://schemas.openxmlformats.org/drawingml/2006/main">
                <a:ext uri="{FF2B5EF4-FFF2-40B4-BE49-F238E27FC236}">
                  <a16:creationId xmlns:a16="http://schemas.microsoft.com/office/drawing/2014/main" id="{FB43C38A-431A-0070-29DD-A360EF40336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FB43C38A-431A-0070-29DD-A360EF403366}"/>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98084" cy="3171264"/>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521A3D44" w14:textId="77777777" w:rsidR="004F4785" w:rsidRDefault="004F4785" w:rsidP="004F4785">
      <w:pPr>
        <w:rPr>
          <w:rFonts w:ascii="Times New Roman" w:eastAsia="Google Sans" w:hAnsi="Times New Roman"/>
          <w:b/>
          <w:sz w:val="30"/>
          <w:szCs w:val="30"/>
        </w:rPr>
      </w:pPr>
      <w:r>
        <w:rPr>
          <w:rFonts w:ascii="Times New Roman" w:eastAsia="Google Sans" w:hAnsi="Times New Roman"/>
          <w:sz w:val="30"/>
          <w:szCs w:val="30"/>
        </w:rPr>
        <w:br w:type="page"/>
      </w:r>
    </w:p>
    <w:p w14:paraId="53AD3C15" w14:textId="77777777" w:rsidR="004F4785" w:rsidRPr="00D53A8B" w:rsidRDefault="004F4785" w:rsidP="004F4785">
      <w:pPr>
        <w:pStyle w:val="Heading2"/>
        <w:spacing w:before="0" w:after="120" w:line="275" w:lineRule="auto"/>
        <w:rPr>
          <w:rFonts w:ascii="Times New Roman" w:eastAsia="Google Sans" w:hAnsi="Times New Roman" w:cs="Times New Roman"/>
          <w:sz w:val="30"/>
          <w:szCs w:val="30"/>
        </w:rPr>
      </w:pPr>
      <w:r w:rsidRPr="00D53A8B">
        <w:rPr>
          <w:rFonts w:ascii="Times New Roman" w:eastAsia="Google Sans" w:hAnsi="Times New Roman" w:cs="Times New Roman"/>
          <w:sz w:val="30"/>
          <w:szCs w:val="30"/>
        </w:rPr>
        <w:lastRenderedPageBreak/>
        <w:t>5. Sensitivity &amp; Scenario Analysis: Understanding Value Drivers</w:t>
      </w:r>
    </w:p>
    <w:p w14:paraId="37E6DE6D" w14:textId="77777777" w:rsidR="004F4785" w:rsidRPr="00D53A8B" w:rsidRDefault="004F4785" w:rsidP="001F3F6B">
      <w:pPr>
        <w:pBdr>
          <w:top w:val="nil"/>
          <w:left w:val="nil"/>
          <w:bottom w:val="nil"/>
          <w:right w:val="nil"/>
          <w:between w:val="nil"/>
        </w:pBdr>
        <w:spacing w:after="240" w:line="480" w:lineRule="auto"/>
        <w:rPr>
          <w:rFonts w:ascii="Times New Roman" w:eastAsia="Google Sans Text" w:hAnsi="Times New Roman"/>
          <w:sz w:val="24"/>
          <w:szCs w:val="24"/>
        </w:rPr>
      </w:pPr>
      <w:r w:rsidRPr="00D53A8B">
        <w:rPr>
          <w:rFonts w:ascii="Times New Roman" w:eastAsia="Google Sans Text" w:hAnsi="Times New Roman"/>
          <w:sz w:val="24"/>
          <w:szCs w:val="24"/>
        </w:rPr>
        <w:t>To provide a comprehensive understanding of the valuation's robustness, a thorough sensitivity and scenario analysis was performed.</w:t>
      </w:r>
    </w:p>
    <w:p w14:paraId="2EEFCB8C" w14:textId="77777777" w:rsidR="004F4785" w:rsidRPr="00D53A8B" w:rsidRDefault="004F4785" w:rsidP="004F4785">
      <w:pPr>
        <w:pStyle w:val="Heading3"/>
        <w:spacing w:before="0" w:after="120" w:line="275" w:lineRule="auto"/>
        <w:rPr>
          <w:rFonts w:ascii="Times New Roman" w:eastAsia="Google Sans" w:hAnsi="Times New Roman" w:cs="Times New Roman"/>
        </w:rPr>
      </w:pPr>
      <w:r w:rsidRPr="00D53A8B">
        <w:rPr>
          <w:rFonts w:ascii="Times New Roman" w:eastAsia="Google Sans" w:hAnsi="Times New Roman" w:cs="Times New Roman"/>
        </w:rPr>
        <w:t>5.1 Sensitivity Analysis: Identifying Key Drivers</w:t>
      </w:r>
    </w:p>
    <w:p w14:paraId="40608C6E" w14:textId="77777777" w:rsidR="004F4785" w:rsidRPr="00D53A8B" w:rsidRDefault="004F4785" w:rsidP="001F3F6B">
      <w:pPr>
        <w:pBdr>
          <w:top w:val="nil"/>
          <w:left w:val="nil"/>
          <w:bottom w:val="nil"/>
          <w:right w:val="nil"/>
          <w:between w:val="nil"/>
        </w:pBdr>
        <w:spacing w:after="120" w:line="480" w:lineRule="auto"/>
        <w:rPr>
          <w:rFonts w:ascii="Times New Roman" w:eastAsia="Google Sans Text" w:hAnsi="Times New Roman"/>
          <w:sz w:val="24"/>
          <w:szCs w:val="24"/>
        </w:rPr>
      </w:pPr>
      <w:r w:rsidRPr="00D53A8B">
        <w:rPr>
          <w:rFonts w:ascii="Times New Roman" w:eastAsia="Google Sans Text" w:hAnsi="Times New Roman"/>
          <w:sz w:val="24"/>
          <w:szCs w:val="24"/>
        </w:rPr>
        <w:t>One-way and two-way data tables were constructed to reveal how changes in individual and combined key assumptions impact the Total Portfolio NPV.</w:t>
      </w:r>
    </w:p>
    <w:p w14:paraId="52F8383E" w14:textId="77777777" w:rsidR="004F4785" w:rsidRPr="00D53A8B" w:rsidRDefault="004F4785" w:rsidP="001F3F6B">
      <w:pPr>
        <w:widowControl w:val="0"/>
        <w:numPr>
          <w:ilvl w:val="0"/>
          <w:numId w:val="37"/>
        </w:numPr>
        <w:pBdr>
          <w:top w:val="nil"/>
          <w:left w:val="nil"/>
          <w:bottom w:val="nil"/>
          <w:right w:val="nil"/>
          <w:between w:val="nil"/>
        </w:pBdr>
        <w:spacing w:after="0" w:line="480" w:lineRule="auto"/>
        <w:rPr>
          <w:rFonts w:ascii="Times New Roman" w:hAnsi="Times New Roman"/>
        </w:rPr>
      </w:pPr>
      <w:r w:rsidRPr="00D53A8B">
        <w:rPr>
          <w:rFonts w:ascii="Times New Roman" w:eastAsia="Google Sans Text" w:hAnsi="Times New Roman"/>
          <w:b/>
          <w:sz w:val="24"/>
          <w:szCs w:val="24"/>
        </w:rPr>
        <w:t>Key Drivers of NPV Sensitivity (from most to least impactful)</w:t>
      </w:r>
      <w:r w:rsidRPr="00D53A8B">
        <w:rPr>
          <w:rFonts w:ascii="Times New Roman" w:eastAsia="Google Sans Text" w:hAnsi="Times New Roman"/>
          <w:sz w:val="24"/>
          <w:szCs w:val="24"/>
        </w:rPr>
        <w:t>:</w:t>
      </w:r>
    </w:p>
    <w:p w14:paraId="17928C06" w14:textId="77777777" w:rsidR="004F4785" w:rsidRPr="00D53A8B" w:rsidRDefault="004F4785" w:rsidP="001F3F6B">
      <w:pPr>
        <w:widowControl w:val="0"/>
        <w:numPr>
          <w:ilvl w:val="1"/>
          <w:numId w:val="38"/>
        </w:numPr>
        <w:pBdr>
          <w:top w:val="nil"/>
          <w:left w:val="nil"/>
          <w:bottom w:val="nil"/>
          <w:right w:val="nil"/>
          <w:between w:val="nil"/>
        </w:pBdr>
        <w:spacing w:after="0" w:line="480" w:lineRule="auto"/>
        <w:rPr>
          <w:rFonts w:ascii="Times New Roman" w:hAnsi="Times New Roman"/>
        </w:rPr>
      </w:pPr>
      <w:r w:rsidRPr="00D53A8B">
        <w:rPr>
          <w:rFonts w:ascii="Times New Roman" w:eastAsia="Google Sans Text" w:hAnsi="Times New Roman"/>
          <w:b/>
          <w:sz w:val="24"/>
          <w:szCs w:val="24"/>
        </w:rPr>
        <w:t>Recovery Adjustment Factor</w:t>
      </w:r>
      <w:r w:rsidRPr="00D53A8B">
        <w:rPr>
          <w:rFonts w:ascii="Times New Roman" w:eastAsia="Google Sans Text" w:hAnsi="Times New Roman"/>
          <w:sz w:val="24"/>
          <w:szCs w:val="24"/>
        </w:rPr>
        <w:t>: This variable demonstrated the most significant influence on the NPV. Even small percentage changes in this factor resulted in the largest swings in the overall valuation. This highlights the paramount importance of accurate recovery forecasting.</w:t>
      </w:r>
    </w:p>
    <w:p w14:paraId="6C12926D" w14:textId="77777777" w:rsidR="004F4785" w:rsidRPr="00D53A8B" w:rsidRDefault="004F4785" w:rsidP="001F3F6B">
      <w:pPr>
        <w:widowControl w:val="0"/>
        <w:numPr>
          <w:ilvl w:val="1"/>
          <w:numId w:val="38"/>
        </w:numPr>
        <w:pBdr>
          <w:top w:val="nil"/>
          <w:left w:val="nil"/>
          <w:bottom w:val="nil"/>
          <w:right w:val="nil"/>
          <w:between w:val="nil"/>
        </w:pBdr>
        <w:spacing w:after="0" w:line="480" w:lineRule="auto"/>
        <w:rPr>
          <w:rFonts w:ascii="Times New Roman" w:hAnsi="Times New Roman"/>
        </w:rPr>
      </w:pPr>
      <w:r w:rsidRPr="00D53A8B">
        <w:rPr>
          <w:rFonts w:ascii="Times New Roman" w:eastAsia="Google Sans Text" w:hAnsi="Times New Roman"/>
          <w:b/>
          <w:sz w:val="24"/>
          <w:szCs w:val="24"/>
        </w:rPr>
        <w:t>Base Discount Rate</w:t>
      </w:r>
      <w:r w:rsidRPr="00D53A8B">
        <w:rPr>
          <w:rFonts w:ascii="Times New Roman" w:eastAsia="Google Sans Text" w:hAnsi="Times New Roman"/>
          <w:sz w:val="24"/>
          <w:szCs w:val="24"/>
        </w:rPr>
        <w:t>: As a direct driver of present value, the discount rate was the second most influential factor, illustrating the sensitivity to assumed investment returns.</w:t>
      </w:r>
    </w:p>
    <w:p w14:paraId="1F884E0B" w14:textId="77777777" w:rsidR="004F4785" w:rsidRPr="00383EC2" w:rsidRDefault="004F4785" w:rsidP="001F3F6B">
      <w:pPr>
        <w:widowControl w:val="0"/>
        <w:numPr>
          <w:ilvl w:val="1"/>
          <w:numId w:val="38"/>
        </w:numPr>
        <w:pBdr>
          <w:top w:val="nil"/>
          <w:left w:val="nil"/>
          <w:bottom w:val="nil"/>
          <w:right w:val="nil"/>
          <w:between w:val="nil"/>
        </w:pBdr>
        <w:spacing w:after="120" w:line="480" w:lineRule="auto"/>
        <w:rPr>
          <w:rFonts w:ascii="Times New Roman" w:hAnsi="Times New Roman"/>
        </w:rPr>
      </w:pPr>
      <w:r w:rsidRPr="00D53A8B">
        <w:rPr>
          <w:rFonts w:ascii="Times New Roman" w:eastAsia="Google Sans Text" w:hAnsi="Times New Roman"/>
          <w:b/>
          <w:sz w:val="24"/>
          <w:szCs w:val="24"/>
        </w:rPr>
        <w:t>Collection Cost Percentage</w:t>
      </w:r>
      <w:r w:rsidRPr="00D53A8B">
        <w:rPr>
          <w:rFonts w:ascii="Times New Roman" w:eastAsia="Google Sans Text" w:hAnsi="Times New Roman"/>
          <w:sz w:val="24"/>
          <w:szCs w:val="24"/>
        </w:rPr>
        <w:t xml:space="preserve">: While impacting the net cash </w:t>
      </w:r>
      <w:proofErr w:type="gramStart"/>
      <w:r w:rsidRPr="00D53A8B">
        <w:rPr>
          <w:rFonts w:ascii="Times New Roman" w:eastAsia="Google Sans Text" w:hAnsi="Times New Roman"/>
          <w:sz w:val="24"/>
          <w:szCs w:val="24"/>
        </w:rPr>
        <w:t>flows</w:t>
      </w:r>
      <w:proofErr w:type="gramEnd"/>
      <w:r w:rsidRPr="00D53A8B">
        <w:rPr>
          <w:rFonts w:ascii="Times New Roman" w:eastAsia="Google Sans Text" w:hAnsi="Times New Roman"/>
          <w:sz w:val="24"/>
          <w:szCs w:val="24"/>
        </w:rPr>
        <w:t>, changes in collection costs had a moderate effect on the NPV compared to recovery rates or the discount rate.</w:t>
      </w:r>
    </w:p>
    <w:p w14:paraId="4B26CBF2" w14:textId="77777777" w:rsidR="004F4785" w:rsidRPr="00D53A8B" w:rsidRDefault="004F4785" w:rsidP="004F4785">
      <w:pPr>
        <w:pBdr>
          <w:top w:val="nil"/>
          <w:left w:val="nil"/>
          <w:bottom w:val="nil"/>
          <w:right w:val="nil"/>
          <w:between w:val="nil"/>
        </w:pBdr>
        <w:spacing w:after="120" w:line="275" w:lineRule="auto"/>
        <w:rPr>
          <w:rFonts w:ascii="Times New Roman" w:hAnsi="Times New Roman"/>
        </w:rPr>
      </w:pPr>
    </w:p>
    <w:p w14:paraId="2A6AD57D" w14:textId="77777777" w:rsidR="004F4785" w:rsidRPr="00D53A8B" w:rsidRDefault="004F4785" w:rsidP="004F4785">
      <w:pPr>
        <w:pBdr>
          <w:top w:val="nil"/>
          <w:left w:val="nil"/>
          <w:bottom w:val="nil"/>
          <w:right w:val="nil"/>
          <w:between w:val="nil"/>
        </w:pBdr>
        <w:spacing w:before="120" w:after="240" w:line="275" w:lineRule="auto"/>
        <w:rPr>
          <w:rFonts w:ascii="Times New Roman" w:eastAsia="Google Sans Text" w:hAnsi="Times New Roman"/>
          <w:i/>
          <w:sz w:val="24"/>
          <w:szCs w:val="24"/>
        </w:rPr>
      </w:pPr>
      <w:r>
        <w:rPr>
          <w:noProof/>
        </w:rPr>
        <w:drawing>
          <wp:inline distT="0" distB="0" distL="0" distR="0" wp14:anchorId="1C3BD749" wp14:editId="3EBEBBD9">
            <wp:extent cx="5924550" cy="2257425"/>
            <wp:effectExtent l="0" t="0" r="0" b="9525"/>
            <wp:docPr id="1586743947" name="Chart 1">
              <a:extLst xmlns:a="http://schemas.openxmlformats.org/drawingml/2006/main">
                <a:ext uri="{FF2B5EF4-FFF2-40B4-BE49-F238E27FC236}">
                  <a16:creationId xmlns:a16="http://schemas.microsoft.com/office/drawing/2014/main" id="{819D1982-E3A9-45FE-613B-ECA38239D8A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9073E04" w14:textId="784B84AE" w:rsidR="004F4785" w:rsidRPr="003D5E55" w:rsidRDefault="004F4785" w:rsidP="003D5E55">
      <w:pPr>
        <w:pStyle w:val="H3"/>
        <w:rPr>
          <w:b/>
        </w:rPr>
      </w:pPr>
      <w:r>
        <w:br w:type="page"/>
      </w:r>
      <w:r w:rsidRPr="00D53A8B">
        <w:lastRenderedPageBreak/>
        <w:t>5.2 Scenario Analysis: "What If" Outlooks</w:t>
      </w:r>
    </w:p>
    <w:p w14:paraId="65E2EFB3" w14:textId="77777777" w:rsidR="004F4785" w:rsidRPr="00D53A8B" w:rsidRDefault="004F4785" w:rsidP="001F3F6B">
      <w:pPr>
        <w:pBdr>
          <w:top w:val="nil"/>
          <w:left w:val="nil"/>
          <w:bottom w:val="nil"/>
          <w:right w:val="nil"/>
          <w:between w:val="nil"/>
        </w:pBdr>
        <w:spacing w:after="240" w:line="480" w:lineRule="auto"/>
        <w:rPr>
          <w:rFonts w:ascii="Times New Roman" w:eastAsia="Google Sans Text" w:hAnsi="Times New Roman"/>
          <w:sz w:val="24"/>
          <w:szCs w:val="24"/>
        </w:rPr>
      </w:pPr>
      <w:r w:rsidRPr="00D53A8B">
        <w:rPr>
          <w:rFonts w:ascii="Times New Roman" w:eastAsia="Google Sans Text" w:hAnsi="Times New Roman"/>
          <w:sz w:val="24"/>
          <w:szCs w:val="24"/>
        </w:rPr>
        <w:t>Three distinct scenarios were defined and analyzed to assess portfolio value under specific plausible economic outlooks, providing a range of potential valuations.</w:t>
      </w:r>
    </w:p>
    <w:tbl>
      <w:tblPr>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120"/>
        <w:gridCol w:w="3120"/>
        <w:gridCol w:w="3120"/>
      </w:tblGrid>
      <w:tr w:rsidR="004F4785" w:rsidRPr="00D53A8B" w14:paraId="276352B3" w14:textId="77777777" w:rsidTr="003C6DB5">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4E129479" w14:textId="77777777" w:rsidR="004F4785" w:rsidRPr="00D53A8B" w:rsidRDefault="004F4785" w:rsidP="003C6DB5">
            <w:pPr>
              <w:pBdr>
                <w:top w:val="nil"/>
                <w:left w:val="nil"/>
                <w:bottom w:val="nil"/>
                <w:right w:val="nil"/>
                <w:between w:val="nil"/>
              </w:pBdr>
              <w:spacing w:before="120" w:after="120" w:line="275" w:lineRule="auto"/>
              <w:jc w:val="center"/>
              <w:rPr>
                <w:rFonts w:ascii="Times New Roman" w:eastAsia="Google Sans Text" w:hAnsi="Times New Roman"/>
                <w:b/>
                <w:sz w:val="20"/>
                <w:szCs w:val="20"/>
              </w:rPr>
            </w:pPr>
            <w:r w:rsidRPr="00D53A8B">
              <w:rPr>
                <w:rFonts w:ascii="Times New Roman" w:eastAsia="Google Sans Text" w:hAnsi="Times New Roman"/>
                <w:b/>
                <w:sz w:val="20"/>
                <w:szCs w:val="20"/>
              </w:rPr>
              <w:t>Scenario</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9D6B5C2" w14:textId="77777777" w:rsidR="004F4785" w:rsidRPr="00D53A8B" w:rsidRDefault="004F4785" w:rsidP="003C6DB5">
            <w:pPr>
              <w:pBdr>
                <w:top w:val="nil"/>
                <w:left w:val="nil"/>
                <w:bottom w:val="nil"/>
                <w:right w:val="nil"/>
                <w:between w:val="nil"/>
              </w:pBdr>
              <w:spacing w:before="120" w:after="120" w:line="275" w:lineRule="auto"/>
              <w:jc w:val="center"/>
              <w:rPr>
                <w:rFonts w:ascii="Times New Roman" w:eastAsia="Google Sans Text" w:hAnsi="Times New Roman"/>
                <w:b/>
                <w:sz w:val="20"/>
                <w:szCs w:val="20"/>
              </w:rPr>
            </w:pPr>
            <w:r w:rsidRPr="00D53A8B">
              <w:rPr>
                <w:rFonts w:ascii="Times New Roman" w:eastAsia="Google Sans Text" w:hAnsi="Times New Roman"/>
                <w:b/>
                <w:sz w:val="20"/>
                <w:szCs w:val="20"/>
              </w:rPr>
              <w:t>Portfolio NPV</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7D07981C" w14:textId="77777777" w:rsidR="004F4785" w:rsidRPr="00D53A8B" w:rsidRDefault="004F4785" w:rsidP="003C6DB5">
            <w:pPr>
              <w:pBdr>
                <w:top w:val="nil"/>
                <w:left w:val="nil"/>
                <w:bottom w:val="nil"/>
                <w:right w:val="nil"/>
                <w:between w:val="nil"/>
              </w:pBdr>
              <w:spacing w:before="120" w:after="120" w:line="275" w:lineRule="auto"/>
              <w:jc w:val="center"/>
              <w:rPr>
                <w:rFonts w:ascii="Times New Roman" w:eastAsia="Google Sans Text" w:hAnsi="Times New Roman"/>
                <w:b/>
                <w:sz w:val="20"/>
                <w:szCs w:val="20"/>
              </w:rPr>
            </w:pPr>
            <w:r w:rsidRPr="00D53A8B">
              <w:rPr>
                <w:rFonts w:ascii="Times New Roman" w:eastAsia="Google Sans Text" w:hAnsi="Times New Roman"/>
                <w:b/>
                <w:sz w:val="20"/>
                <w:szCs w:val="20"/>
              </w:rPr>
              <w:t>Key Assumptions (Example)</w:t>
            </w:r>
          </w:p>
        </w:tc>
      </w:tr>
      <w:tr w:rsidR="004F4785" w:rsidRPr="00D53A8B" w14:paraId="190D3EAD" w14:textId="77777777" w:rsidTr="003C6DB5">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28685F7E" w14:textId="77777777" w:rsidR="004F4785" w:rsidRPr="00D53A8B" w:rsidRDefault="004F4785" w:rsidP="003C6DB5">
            <w:pPr>
              <w:pBdr>
                <w:top w:val="nil"/>
                <w:left w:val="nil"/>
                <w:bottom w:val="nil"/>
                <w:right w:val="nil"/>
                <w:between w:val="nil"/>
              </w:pBdr>
              <w:spacing w:line="275" w:lineRule="auto"/>
              <w:jc w:val="center"/>
              <w:rPr>
                <w:rFonts w:ascii="Times New Roman" w:eastAsia="Google Sans Text" w:hAnsi="Times New Roman"/>
                <w:b/>
                <w:sz w:val="20"/>
                <w:szCs w:val="20"/>
              </w:rPr>
            </w:pPr>
            <w:r w:rsidRPr="00D53A8B">
              <w:rPr>
                <w:rFonts w:ascii="Times New Roman" w:eastAsia="Google Sans Text" w:hAnsi="Times New Roman"/>
                <w:b/>
                <w:sz w:val="20"/>
                <w:szCs w:val="20"/>
              </w:rPr>
              <w:t>Downside Scenario</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47241CAB" w14:textId="77777777" w:rsidR="004F4785" w:rsidRPr="00D53A8B" w:rsidRDefault="004F4785" w:rsidP="003C6DB5">
            <w:pPr>
              <w:pBdr>
                <w:top w:val="nil"/>
                <w:left w:val="nil"/>
                <w:bottom w:val="nil"/>
                <w:right w:val="nil"/>
                <w:between w:val="nil"/>
              </w:pBdr>
              <w:spacing w:line="275" w:lineRule="auto"/>
              <w:jc w:val="center"/>
              <w:rPr>
                <w:rFonts w:ascii="Times New Roman" w:eastAsia="Google Sans Text" w:hAnsi="Times New Roman"/>
                <w:b/>
                <w:sz w:val="20"/>
                <w:szCs w:val="20"/>
              </w:rPr>
            </w:pPr>
            <w:r w:rsidRPr="00D53A8B">
              <w:rPr>
                <w:rFonts w:ascii="Times New Roman" w:eastAsia="Google Sans Text" w:hAnsi="Times New Roman"/>
                <w:b/>
                <w:sz w:val="20"/>
                <w:szCs w:val="20"/>
              </w:rPr>
              <w:t>$</w:t>
            </w:r>
            <w:r>
              <w:rPr>
                <w:rFonts w:ascii="Times New Roman" w:eastAsia="Google Sans Text" w:hAnsi="Times New Roman"/>
                <w:b/>
                <w:sz w:val="20"/>
                <w:szCs w:val="20"/>
              </w:rPr>
              <w:t>892,815.94</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4F6CB94A" w14:textId="77777777" w:rsidR="004F4785" w:rsidRPr="00D53A8B" w:rsidRDefault="004F4785" w:rsidP="003C6DB5">
            <w:pPr>
              <w:pBdr>
                <w:top w:val="nil"/>
                <w:left w:val="nil"/>
                <w:bottom w:val="nil"/>
                <w:right w:val="nil"/>
                <w:between w:val="nil"/>
              </w:pBdr>
              <w:spacing w:line="275" w:lineRule="auto"/>
              <w:jc w:val="center"/>
              <w:rPr>
                <w:rFonts w:ascii="Times New Roman" w:eastAsia="Google Sans Text" w:hAnsi="Times New Roman"/>
                <w:i/>
                <w:sz w:val="20"/>
                <w:szCs w:val="20"/>
              </w:rPr>
            </w:pPr>
            <w:r w:rsidRPr="00D53A8B">
              <w:rPr>
                <w:rFonts w:ascii="Times New Roman" w:eastAsia="Google Sans Text" w:hAnsi="Times New Roman"/>
                <w:i/>
                <w:sz w:val="20"/>
                <w:szCs w:val="20"/>
              </w:rPr>
              <w:t>DR: 2</w:t>
            </w:r>
            <w:r>
              <w:rPr>
                <w:rFonts w:ascii="Times New Roman" w:eastAsia="Google Sans Text" w:hAnsi="Times New Roman"/>
                <w:i/>
                <w:sz w:val="20"/>
                <w:szCs w:val="20"/>
              </w:rPr>
              <w:t>5</w:t>
            </w:r>
            <w:r w:rsidRPr="00D53A8B">
              <w:rPr>
                <w:rFonts w:ascii="Times New Roman" w:eastAsia="Google Sans Text" w:hAnsi="Times New Roman"/>
                <w:i/>
                <w:sz w:val="20"/>
                <w:szCs w:val="20"/>
              </w:rPr>
              <w:t xml:space="preserve">%, CC: 30%, Rec. Factor: </w:t>
            </w:r>
            <w:r>
              <w:rPr>
                <w:rFonts w:ascii="Times New Roman" w:eastAsia="Google Sans Text" w:hAnsi="Times New Roman"/>
                <w:i/>
                <w:sz w:val="20"/>
                <w:szCs w:val="20"/>
              </w:rPr>
              <w:t>.75X</w:t>
            </w:r>
          </w:p>
        </w:tc>
      </w:tr>
      <w:tr w:rsidR="004F4785" w:rsidRPr="00D53A8B" w14:paraId="6915AF9B" w14:textId="77777777" w:rsidTr="003C6DB5">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2C2A30D1" w14:textId="77777777" w:rsidR="004F4785" w:rsidRPr="00D53A8B" w:rsidRDefault="004F4785" w:rsidP="003C6DB5">
            <w:pPr>
              <w:pBdr>
                <w:top w:val="nil"/>
                <w:left w:val="nil"/>
                <w:bottom w:val="nil"/>
                <w:right w:val="nil"/>
                <w:between w:val="nil"/>
              </w:pBdr>
              <w:spacing w:line="275" w:lineRule="auto"/>
              <w:jc w:val="center"/>
              <w:rPr>
                <w:rFonts w:ascii="Times New Roman" w:eastAsia="Google Sans Text" w:hAnsi="Times New Roman"/>
                <w:b/>
                <w:sz w:val="20"/>
                <w:szCs w:val="20"/>
              </w:rPr>
            </w:pPr>
            <w:r w:rsidRPr="00D53A8B">
              <w:rPr>
                <w:rFonts w:ascii="Times New Roman" w:eastAsia="Google Sans Text" w:hAnsi="Times New Roman"/>
                <w:b/>
                <w:sz w:val="20"/>
                <w:szCs w:val="20"/>
              </w:rPr>
              <w:t>Base Scenario</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99F7DB7" w14:textId="77777777" w:rsidR="004F4785" w:rsidRPr="00D53A8B" w:rsidRDefault="004F4785" w:rsidP="003C6DB5">
            <w:pPr>
              <w:pBdr>
                <w:top w:val="nil"/>
                <w:left w:val="nil"/>
                <w:bottom w:val="nil"/>
                <w:right w:val="nil"/>
                <w:between w:val="nil"/>
              </w:pBdr>
              <w:spacing w:line="275" w:lineRule="auto"/>
              <w:jc w:val="center"/>
              <w:rPr>
                <w:rFonts w:ascii="Times New Roman" w:eastAsia="Google Sans Text" w:hAnsi="Times New Roman"/>
                <w:b/>
                <w:sz w:val="20"/>
                <w:szCs w:val="20"/>
              </w:rPr>
            </w:pPr>
            <w:r w:rsidRPr="00D53A8B">
              <w:rPr>
                <w:rFonts w:ascii="Times New Roman" w:eastAsia="Google Sans Text" w:hAnsi="Times New Roman"/>
                <w:b/>
                <w:sz w:val="20"/>
                <w:szCs w:val="20"/>
              </w:rPr>
              <w:t>$1,</w:t>
            </w:r>
            <w:r>
              <w:rPr>
                <w:rFonts w:ascii="Times New Roman" w:eastAsia="Google Sans Text" w:hAnsi="Times New Roman"/>
                <w:b/>
                <w:sz w:val="20"/>
                <w:szCs w:val="20"/>
              </w:rPr>
              <w:t>721</w:t>
            </w:r>
            <w:r w:rsidRPr="00D53A8B">
              <w:rPr>
                <w:rFonts w:ascii="Times New Roman" w:eastAsia="Google Sans Text" w:hAnsi="Times New Roman"/>
                <w:b/>
                <w:sz w:val="20"/>
                <w:szCs w:val="20"/>
              </w:rPr>
              <w:t>,</w:t>
            </w:r>
            <w:r>
              <w:rPr>
                <w:rFonts w:ascii="Times New Roman" w:eastAsia="Google Sans Text" w:hAnsi="Times New Roman"/>
                <w:b/>
                <w:sz w:val="20"/>
                <w:szCs w:val="20"/>
              </w:rPr>
              <w:t>975</w:t>
            </w:r>
            <w:r w:rsidRPr="00D53A8B">
              <w:rPr>
                <w:rFonts w:ascii="Times New Roman" w:eastAsia="Google Sans Text" w:hAnsi="Times New Roman"/>
                <w:b/>
                <w:sz w:val="20"/>
                <w:szCs w:val="20"/>
              </w:rPr>
              <w:t>.</w:t>
            </w:r>
            <w:r>
              <w:rPr>
                <w:rFonts w:ascii="Times New Roman" w:eastAsia="Google Sans Text" w:hAnsi="Times New Roman"/>
                <w:b/>
                <w:sz w:val="20"/>
                <w:szCs w:val="20"/>
              </w:rPr>
              <w:t>13</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26A6D3BD" w14:textId="77777777" w:rsidR="004F4785" w:rsidRPr="00D53A8B" w:rsidRDefault="004F4785" w:rsidP="003C6DB5">
            <w:pPr>
              <w:pBdr>
                <w:top w:val="nil"/>
                <w:left w:val="nil"/>
                <w:bottom w:val="nil"/>
                <w:right w:val="nil"/>
                <w:between w:val="nil"/>
              </w:pBdr>
              <w:spacing w:line="275" w:lineRule="auto"/>
              <w:jc w:val="center"/>
              <w:rPr>
                <w:rFonts w:ascii="Times New Roman" w:eastAsia="Google Sans Text" w:hAnsi="Times New Roman"/>
                <w:i/>
                <w:sz w:val="20"/>
                <w:szCs w:val="20"/>
              </w:rPr>
            </w:pPr>
            <w:r w:rsidRPr="00D53A8B">
              <w:rPr>
                <w:rFonts w:ascii="Times New Roman" w:eastAsia="Google Sans Text" w:hAnsi="Times New Roman"/>
                <w:i/>
                <w:sz w:val="20"/>
                <w:szCs w:val="20"/>
              </w:rPr>
              <w:t>DR: 20%, CC: 25%, Rec. Factor: 100%</w:t>
            </w:r>
          </w:p>
        </w:tc>
      </w:tr>
      <w:tr w:rsidR="004F4785" w:rsidRPr="00D53A8B" w14:paraId="7C514043" w14:textId="77777777" w:rsidTr="003C6DB5">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7FFEC51E" w14:textId="77777777" w:rsidR="004F4785" w:rsidRPr="00D53A8B" w:rsidRDefault="004F4785" w:rsidP="003C6DB5">
            <w:pPr>
              <w:pBdr>
                <w:top w:val="nil"/>
                <w:left w:val="nil"/>
                <w:bottom w:val="nil"/>
                <w:right w:val="nil"/>
                <w:between w:val="nil"/>
              </w:pBdr>
              <w:spacing w:line="275" w:lineRule="auto"/>
              <w:jc w:val="center"/>
              <w:rPr>
                <w:rFonts w:ascii="Times New Roman" w:eastAsia="Google Sans Text" w:hAnsi="Times New Roman"/>
                <w:b/>
                <w:sz w:val="20"/>
                <w:szCs w:val="20"/>
              </w:rPr>
            </w:pPr>
            <w:r w:rsidRPr="00D53A8B">
              <w:rPr>
                <w:rFonts w:ascii="Times New Roman" w:eastAsia="Google Sans Text" w:hAnsi="Times New Roman"/>
                <w:b/>
                <w:sz w:val="20"/>
                <w:szCs w:val="20"/>
              </w:rPr>
              <w:t>Upside Scenario</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BDCFABE" w14:textId="77777777" w:rsidR="004F4785" w:rsidRPr="00D53A8B" w:rsidRDefault="004F4785" w:rsidP="003C6DB5">
            <w:pPr>
              <w:pBdr>
                <w:top w:val="nil"/>
                <w:left w:val="nil"/>
                <w:bottom w:val="nil"/>
                <w:right w:val="nil"/>
                <w:between w:val="nil"/>
              </w:pBdr>
              <w:spacing w:line="275" w:lineRule="auto"/>
              <w:jc w:val="center"/>
              <w:rPr>
                <w:rFonts w:ascii="Times New Roman" w:eastAsia="Google Sans Text" w:hAnsi="Times New Roman"/>
                <w:b/>
                <w:sz w:val="20"/>
                <w:szCs w:val="20"/>
              </w:rPr>
            </w:pPr>
            <w:r w:rsidRPr="00D53A8B">
              <w:rPr>
                <w:rFonts w:ascii="Times New Roman" w:eastAsia="Google Sans Text" w:hAnsi="Times New Roman"/>
                <w:b/>
                <w:sz w:val="20"/>
                <w:szCs w:val="20"/>
              </w:rPr>
              <w:t>$2,</w:t>
            </w:r>
            <w:r>
              <w:rPr>
                <w:rFonts w:ascii="Times New Roman" w:eastAsia="Google Sans Text" w:hAnsi="Times New Roman"/>
                <w:b/>
                <w:sz w:val="20"/>
                <w:szCs w:val="20"/>
              </w:rPr>
              <w:t>820</w:t>
            </w:r>
            <w:r w:rsidRPr="00D53A8B">
              <w:rPr>
                <w:rFonts w:ascii="Times New Roman" w:eastAsia="Google Sans Text" w:hAnsi="Times New Roman"/>
                <w:b/>
                <w:sz w:val="20"/>
                <w:szCs w:val="20"/>
              </w:rPr>
              <w:t>,</w:t>
            </w:r>
            <w:r>
              <w:rPr>
                <w:rFonts w:ascii="Times New Roman" w:eastAsia="Google Sans Text" w:hAnsi="Times New Roman"/>
                <w:b/>
                <w:sz w:val="20"/>
                <w:szCs w:val="20"/>
              </w:rPr>
              <w:t>496</w:t>
            </w:r>
            <w:r w:rsidRPr="00D53A8B">
              <w:rPr>
                <w:rFonts w:ascii="Times New Roman" w:eastAsia="Google Sans Text" w:hAnsi="Times New Roman"/>
                <w:b/>
                <w:sz w:val="20"/>
                <w:szCs w:val="20"/>
              </w:rPr>
              <w:t>.</w:t>
            </w:r>
            <w:r>
              <w:rPr>
                <w:rFonts w:ascii="Times New Roman" w:eastAsia="Google Sans Text" w:hAnsi="Times New Roman"/>
                <w:b/>
                <w:sz w:val="20"/>
                <w:szCs w:val="20"/>
              </w:rPr>
              <w:t>78</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78C4C21" w14:textId="77777777" w:rsidR="004F4785" w:rsidRPr="00D53A8B" w:rsidRDefault="004F4785" w:rsidP="003C6DB5">
            <w:pPr>
              <w:pBdr>
                <w:top w:val="nil"/>
                <w:left w:val="nil"/>
                <w:bottom w:val="nil"/>
                <w:right w:val="nil"/>
                <w:between w:val="nil"/>
              </w:pBdr>
              <w:spacing w:line="275" w:lineRule="auto"/>
              <w:jc w:val="center"/>
              <w:rPr>
                <w:rFonts w:ascii="Times New Roman" w:eastAsia="Google Sans Text" w:hAnsi="Times New Roman"/>
                <w:i/>
                <w:sz w:val="20"/>
                <w:szCs w:val="20"/>
              </w:rPr>
            </w:pPr>
            <w:r w:rsidRPr="00D53A8B">
              <w:rPr>
                <w:rFonts w:ascii="Times New Roman" w:eastAsia="Google Sans Text" w:hAnsi="Times New Roman"/>
                <w:i/>
                <w:sz w:val="20"/>
                <w:szCs w:val="20"/>
              </w:rPr>
              <w:t>DR: 1</w:t>
            </w:r>
            <w:r>
              <w:rPr>
                <w:rFonts w:ascii="Times New Roman" w:eastAsia="Google Sans Text" w:hAnsi="Times New Roman"/>
                <w:i/>
                <w:sz w:val="20"/>
                <w:szCs w:val="20"/>
              </w:rPr>
              <w:t>5</w:t>
            </w:r>
            <w:r w:rsidRPr="00D53A8B">
              <w:rPr>
                <w:rFonts w:ascii="Times New Roman" w:eastAsia="Google Sans Text" w:hAnsi="Times New Roman"/>
                <w:i/>
                <w:sz w:val="20"/>
                <w:szCs w:val="20"/>
              </w:rPr>
              <w:t>%, CC: 20%, Rec. Factor: 1</w:t>
            </w:r>
            <w:r>
              <w:rPr>
                <w:rFonts w:ascii="Times New Roman" w:eastAsia="Google Sans Text" w:hAnsi="Times New Roman"/>
                <w:i/>
                <w:sz w:val="20"/>
                <w:szCs w:val="20"/>
              </w:rPr>
              <w:t>.25X</w:t>
            </w:r>
          </w:p>
        </w:tc>
      </w:tr>
    </w:tbl>
    <w:p w14:paraId="541B45F8" w14:textId="77777777" w:rsidR="004F4785" w:rsidRPr="00D53A8B" w:rsidRDefault="004F4785" w:rsidP="003D5E55">
      <w:pPr>
        <w:pBdr>
          <w:top w:val="nil"/>
          <w:left w:val="nil"/>
          <w:bottom w:val="nil"/>
          <w:right w:val="nil"/>
          <w:between w:val="nil"/>
        </w:pBdr>
        <w:spacing w:before="480" w:after="240" w:line="275" w:lineRule="auto"/>
        <w:jc w:val="center"/>
        <w:rPr>
          <w:rFonts w:ascii="Times New Roman" w:eastAsia="Google Sans Text" w:hAnsi="Times New Roman"/>
          <w:i/>
          <w:sz w:val="24"/>
          <w:szCs w:val="24"/>
        </w:rPr>
      </w:pPr>
      <w:r>
        <w:rPr>
          <w:rFonts w:ascii="Times New Roman" w:eastAsia="Google Sans Text" w:hAnsi="Times New Roman"/>
          <w:i/>
          <w:noProof/>
          <w:sz w:val="24"/>
          <w:szCs w:val="24"/>
        </w:rPr>
        <w:drawing>
          <wp:inline distT="0" distB="0" distL="0" distR="0" wp14:anchorId="363953BE" wp14:editId="13770B16">
            <wp:extent cx="5514975" cy="4428900"/>
            <wp:effectExtent l="0" t="0" r="0" b="0"/>
            <wp:docPr id="2041938364"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938364" name="Picture 1" descr="A screenshot of a computer screen&#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53613" cy="4459929"/>
                    </a:xfrm>
                    <a:prstGeom prst="rect">
                      <a:avLst/>
                    </a:prstGeom>
                    <a:noFill/>
                  </pic:spPr>
                </pic:pic>
              </a:graphicData>
            </a:graphic>
          </wp:inline>
        </w:drawing>
      </w:r>
    </w:p>
    <w:p w14:paraId="35583035" w14:textId="77777777" w:rsidR="004F4785" w:rsidRPr="00D53A8B" w:rsidRDefault="004F4785" w:rsidP="004F4785">
      <w:pPr>
        <w:pStyle w:val="Heading2"/>
        <w:spacing w:before="0" w:after="120" w:line="275" w:lineRule="auto"/>
        <w:rPr>
          <w:rFonts w:ascii="Times New Roman" w:eastAsia="Google Sans" w:hAnsi="Times New Roman" w:cs="Times New Roman"/>
          <w:sz w:val="30"/>
          <w:szCs w:val="30"/>
        </w:rPr>
      </w:pPr>
      <w:r w:rsidRPr="00D53A8B">
        <w:rPr>
          <w:rFonts w:ascii="Times New Roman" w:eastAsia="Google Sans" w:hAnsi="Times New Roman" w:cs="Times New Roman"/>
          <w:sz w:val="30"/>
          <w:szCs w:val="30"/>
        </w:rPr>
        <w:lastRenderedPageBreak/>
        <w:t>6. Limitations &amp; Future Work</w:t>
      </w:r>
    </w:p>
    <w:p w14:paraId="133E376D" w14:textId="77777777" w:rsidR="004F4785" w:rsidRPr="00D53A8B" w:rsidRDefault="004F4785" w:rsidP="004F4785">
      <w:pPr>
        <w:pStyle w:val="Heading3"/>
        <w:spacing w:before="0" w:after="120" w:line="275" w:lineRule="auto"/>
        <w:rPr>
          <w:rFonts w:ascii="Times New Roman" w:eastAsia="Google Sans" w:hAnsi="Times New Roman" w:cs="Times New Roman"/>
        </w:rPr>
      </w:pPr>
      <w:r w:rsidRPr="00D53A8B">
        <w:rPr>
          <w:rFonts w:ascii="Times New Roman" w:eastAsia="Google Sans" w:hAnsi="Times New Roman" w:cs="Times New Roman"/>
        </w:rPr>
        <w:t>6.1 Limitations</w:t>
      </w:r>
    </w:p>
    <w:p w14:paraId="54E0FFBA" w14:textId="77777777" w:rsidR="004F4785" w:rsidRPr="001F3F6B" w:rsidRDefault="004F4785" w:rsidP="001F3F6B">
      <w:pPr>
        <w:pStyle w:val="ListParagraph"/>
        <w:widowControl w:val="0"/>
        <w:numPr>
          <w:ilvl w:val="0"/>
          <w:numId w:val="37"/>
        </w:numPr>
        <w:pBdr>
          <w:top w:val="nil"/>
          <w:left w:val="nil"/>
          <w:bottom w:val="nil"/>
          <w:right w:val="nil"/>
          <w:between w:val="nil"/>
        </w:pBdr>
        <w:spacing w:after="0" w:line="480" w:lineRule="auto"/>
        <w:rPr>
          <w:rFonts w:ascii="Times New Roman" w:hAnsi="Times New Roman"/>
        </w:rPr>
      </w:pPr>
      <w:r w:rsidRPr="001F3F6B">
        <w:rPr>
          <w:rFonts w:ascii="Times New Roman" w:eastAsia="Google Sans Text" w:hAnsi="Times New Roman"/>
          <w:b/>
          <w:sz w:val="24"/>
          <w:szCs w:val="24"/>
        </w:rPr>
        <w:t>Recovery Rate Assumptions</w:t>
      </w:r>
      <w:r w:rsidRPr="001F3F6B">
        <w:rPr>
          <w:rFonts w:ascii="Times New Roman" w:eastAsia="Google Sans Text" w:hAnsi="Times New Roman"/>
          <w:sz w:val="24"/>
          <w:szCs w:val="24"/>
        </w:rPr>
        <w:t>: The model relies on generalized industry benchmarks for recovery rates. Actual Prosper-specific loan characteristics and vintage may differ, potentially leading to discrepancies. The observed portfolio recovery rate (~5.84%) is notably lower than typical industry figures (10-30% for unsecured personal loans), suggesting either a very conservative curve or a uniquely distressed portfolio.</w:t>
      </w:r>
    </w:p>
    <w:p w14:paraId="56BF6613" w14:textId="77777777" w:rsidR="004F4785" w:rsidRPr="001F3F6B" w:rsidRDefault="004F4785" w:rsidP="001F3F6B">
      <w:pPr>
        <w:pStyle w:val="ListParagraph"/>
        <w:widowControl w:val="0"/>
        <w:numPr>
          <w:ilvl w:val="0"/>
          <w:numId w:val="37"/>
        </w:numPr>
        <w:pBdr>
          <w:top w:val="nil"/>
          <w:left w:val="nil"/>
          <w:bottom w:val="nil"/>
          <w:right w:val="nil"/>
          <w:between w:val="nil"/>
        </w:pBdr>
        <w:spacing w:after="0" w:line="480" w:lineRule="auto"/>
        <w:rPr>
          <w:rFonts w:ascii="Times New Roman" w:hAnsi="Times New Roman"/>
        </w:rPr>
      </w:pPr>
      <w:r w:rsidRPr="001F3F6B">
        <w:rPr>
          <w:rFonts w:ascii="Times New Roman" w:eastAsia="Google Sans Text" w:hAnsi="Times New Roman"/>
          <w:b/>
          <w:sz w:val="24"/>
          <w:szCs w:val="24"/>
        </w:rPr>
        <w:t>Flat Collection Cost</w:t>
      </w:r>
      <w:r w:rsidRPr="001F3F6B">
        <w:rPr>
          <w:rFonts w:ascii="Times New Roman" w:eastAsia="Google Sans Text" w:hAnsi="Times New Roman"/>
          <w:sz w:val="24"/>
          <w:szCs w:val="24"/>
        </w:rPr>
        <w:t>: Assuming a flat percentage for collection costs may not fully capture the nuances of collection efforts, which can vary significantly based on loan age, size, and borrower engagement.</w:t>
      </w:r>
    </w:p>
    <w:p w14:paraId="07BBC923" w14:textId="77777777" w:rsidR="004F4785" w:rsidRPr="001F3F6B" w:rsidRDefault="004F4785" w:rsidP="001F3F6B">
      <w:pPr>
        <w:pStyle w:val="ListParagraph"/>
        <w:widowControl w:val="0"/>
        <w:numPr>
          <w:ilvl w:val="0"/>
          <w:numId w:val="37"/>
        </w:numPr>
        <w:pBdr>
          <w:top w:val="nil"/>
          <w:left w:val="nil"/>
          <w:bottom w:val="nil"/>
          <w:right w:val="nil"/>
          <w:between w:val="nil"/>
        </w:pBdr>
        <w:spacing w:after="0" w:line="480" w:lineRule="auto"/>
        <w:rPr>
          <w:rFonts w:ascii="Times New Roman" w:hAnsi="Times New Roman"/>
        </w:rPr>
      </w:pPr>
      <w:r w:rsidRPr="001F3F6B">
        <w:rPr>
          <w:rFonts w:ascii="Times New Roman" w:eastAsia="Google Sans Text" w:hAnsi="Times New Roman"/>
          <w:b/>
          <w:sz w:val="24"/>
          <w:szCs w:val="24"/>
        </w:rPr>
        <w:t>Static Discount Rate</w:t>
      </w:r>
      <w:r w:rsidRPr="001F3F6B">
        <w:rPr>
          <w:rFonts w:ascii="Times New Roman" w:eastAsia="Google Sans Text" w:hAnsi="Times New Roman"/>
          <w:sz w:val="24"/>
          <w:szCs w:val="24"/>
        </w:rPr>
        <w:t xml:space="preserve">: The model employs a fixed discount rate throughout the forecast horizon. </w:t>
      </w:r>
      <w:proofErr w:type="gramStart"/>
      <w:r w:rsidRPr="001F3F6B">
        <w:rPr>
          <w:rFonts w:ascii="Times New Roman" w:eastAsia="Google Sans Text" w:hAnsi="Times New Roman"/>
          <w:sz w:val="24"/>
          <w:szCs w:val="24"/>
        </w:rPr>
        <w:t>In reality, market</w:t>
      </w:r>
      <w:proofErr w:type="gramEnd"/>
      <w:r w:rsidRPr="001F3F6B">
        <w:rPr>
          <w:rFonts w:ascii="Times New Roman" w:eastAsia="Google Sans Text" w:hAnsi="Times New Roman"/>
          <w:sz w:val="24"/>
          <w:szCs w:val="24"/>
        </w:rPr>
        <w:t xml:space="preserve"> discount rates can fluctuate over time.</w:t>
      </w:r>
    </w:p>
    <w:p w14:paraId="4A1FFC36" w14:textId="77777777" w:rsidR="004F4785" w:rsidRPr="001F3F6B" w:rsidRDefault="004F4785" w:rsidP="001F3F6B">
      <w:pPr>
        <w:pStyle w:val="ListParagraph"/>
        <w:widowControl w:val="0"/>
        <w:numPr>
          <w:ilvl w:val="0"/>
          <w:numId w:val="37"/>
        </w:numPr>
        <w:pBdr>
          <w:top w:val="nil"/>
          <w:left w:val="nil"/>
          <w:bottom w:val="nil"/>
          <w:right w:val="nil"/>
          <w:between w:val="nil"/>
        </w:pBdr>
        <w:spacing w:after="0" w:line="480" w:lineRule="auto"/>
        <w:rPr>
          <w:rFonts w:ascii="Times New Roman" w:hAnsi="Times New Roman"/>
        </w:rPr>
      </w:pPr>
      <w:r w:rsidRPr="001F3F6B">
        <w:rPr>
          <w:rFonts w:ascii="Times New Roman" w:eastAsia="Google Sans Text" w:hAnsi="Times New Roman"/>
          <w:b/>
          <w:sz w:val="24"/>
          <w:szCs w:val="24"/>
        </w:rPr>
        <w:t>Data Vintage</w:t>
      </w:r>
      <w:r w:rsidRPr="001F3F6B">
        <w:rPr>
          <w:rFonts w:ascii="Times New Roman" w:eastAsia="Google Sans Text" w:hAnsi="Times New Roman"/>
          <w:sz w:val="24"/>
          <w:szCs w:val="24"/>
        </w:rPr>
        <w:t>: The valuation is performed as of January 1, 2015, using historical data up to that point. Market conditions and recovery dynamics may have changed considerably in the years since.</w:t>
      </w:r>
    </w:p>
    <w:p w14:paraId="481B7BCF" w14:textId="77777777" w:rsidR="004F4785" w:rsidRPr="001F3F6B" w:rsidRDefault="004F4785" w:rsidP="001F3F6B">
      <w:pPr>
        <w:pStyle w:val="ListParagraph"/>
        <w:widowControl w:val="0"/>
        <w:numPr>
          <w:ilvl w:val="0"/>
          <w:numId w:val="37"/>
        </w:numPr>
        <w:pBdr>
          <w:top w:val="nil"/>
          <w:left w:val="nil"/>
          <w:bottom w:val="nil"/>
          <w:right w:val="nil"/>
          <w:between w:val="nil"/>
        </w:pBdr>
        <w:spacing w:after="120" w:line="480" w:lineRule="auto"/>
        <w:rPr>
          <w:rFonts w:ascii="Times New Roman" w:hAnsi="Times New Roman"/>
        </w:rPr>
      </w:pPr>
      <w:r w:rsidRPr="001F3F6B">
        <w:rPr>
          <w:rFonts w:ascii="Times New Roman" w:eastAsia="Google Sans Text" w:hAnsi="Times New Roman"/>
          <w:b/>
          <w:sz w:val="24"/>
          <w:szCs w:val="24"/>
        </w:rPr>
        <w:t>No "At-Risk" Portfolio Analysis (Optional)</w:t>
      </w:r>
      <w:r w:rsidRPr="001F3F6B">
        <w:rPr>
          <w:rFonts w:ascii="Times New Roman" w:eastAsia="Google Sans Text" w:hAnsi="Times New Roman"/>
          <w:sz w:val="24"/>
          <w:szCs w:val="24"/>
        </w:rPr>
        <w:t>: The current valuation specifically excludes the potential value contributions from loans that are delinquent but have not yet officially charged off.</w:t>
      </w:r>
    </w:p>
    <w:p w14:paraId="61698605" w14:textId="77777777" w:rsidR="004F4785" w:rsidRPr="00D53A8B" w:rsidRDefault="004F4785" w:rsidP="004F4785">
      <w:pPr>
        <w:pStyle w:val="Heading3"/>
        <w:spacing w:before="120" w:after="120" w:line="275" w:lineRule="auto"/>
        <w:rPr>
          <w:rFonts w:ascii="Times New Roman" w:eastAsia="Google Sans" w:hAnsi="Times New Roman" w:cs="Times New Roman"/>
        </w:rPr>
      </w:pPr>
      <w:r w:rsidRPr="00D53A8B">
        <w:rPr>
          <w:rFonts w:ascii="Times New Roman" w:eastAsia="Google Sans" w:hAnsi="Times New Roman" w:cs="Times New Roman"/>
        </w:rPr>
        <w:t>6.2 Areas for Future Improvement</w:t>
      </w:r>
    </w:p>
    <w:p w14:paraId="28475525" w14:textId="77777777" w:rsidR="004F4785" w:rsidRPr="001F3F6B" w:rsidRDefault="004F4785" w:rsidP="001F3F6B">
      <w:pPr>
        <w:pStyle w:val="ListParagraph"/>
        <w:widowControl w:val="0"/>
        <w:numPr>
          <w:ilvl w:val="0"/>
          <w:numId w:val="37"/>
        </w:numPr>
        <w:pBdr>
          <w:top w:val="nil"/>
          <w:left w:val="nil"/>
          <w:bottom w:val="nil"/>
          <w:right w:val="nil"/>
          <w:between w:val="nil"/>
        </w:pBdr>
        <w:spacing w:after="0" w:line="480" w:lineRule="auto"/>
        <w:rPr>
          <w:rFonts w:ascii="Times New Roman" w:hAnsi="Times New Roman"/>
        </w:rPr>
      </w:pPr>
      <w:r w:rsidRPr="001F3F6B">
        <w:rPr>
          <w:rFonts w:ascii="Times New Roman" w:eastAsia="Google Sans Text" w:hAnsi="Times New Roman"/>
          <w:b/>
          <w:sz w:val="24"/>
          <w:szCs w:val="24"/>
        </w:rPr>
        <w:t>Refine Recovery Curve Modeling</w:t>
      </w:r>
      <w:r w:rsidRPr="001F3F6B">
        <w:rPr>
          <w:rFonts w:ascii="Times New Roman" w:eastAsia="Google Sans Text" w:hAnsi="Times New Roman"/>
          <w:sz w:val="24"/>
          <w:szCs w:val="24"/>
        </w:rPr>
        <w:t>: Enhance the precision of recovery forecasts by incorporating more granular borrower attributes (e.g., Debt-to-Income Ratio, Homeowner Status, detailed Prosper loan payment history, comprehensive credit bureau data like Bankcard Utilization) into either the segmentation methodology or the direct derivation of risk adjustments.</w:t>
      </w:r>
    </w:p>
    <w:p w14:paraId="539A326C" w14:textId="77777777" w:rsidR="004F4785" w:rsidRPr="001F3F6B" w:rsidRDefault="004F4785" w:rsidP="001F3F6B">
      <w:pPr>
        <w:pStyle w:val="ListParagraph"/>
        <w:widowControl w:val="0"/>
        <w:numPr>
          <w:ilvl w:val="0"/>
          <w:numId w:val="37"/>
        </w:numPr>
        <w:pBdr>
          <w:top w:val="nil"/>
          <w:left w:val="nil"/>
          <w:bottom w:val="nil"/>
          <w:right w:val="nil"/>
          <w:between w:val="nil"/>
        </w:pBdr>
        <w:spacing w:after="0" w:line="480" w:lineRule="auto"/>
        <w:rPr>
          <w:rFonts w:ascii="Times New Roman" w:hAnsi="Times New Roman"/>
        </w:rPr>
      </w:pPr>
      <w:r w:rsidRPr="001F3F6B">
        <w:rPr>
          <w:rFonts w:ascii="Times New Roman" w:eastAsia="Google Sans Text" w:hAnsi="Times New Roman"/>
          <w:b/>
          <w:sz w:val="24"/>
          <w:szCs w:val="24"/>
        </w:rPr>
        <w:lastRenderedPageBreak/>
        <w:t>At-Risk Portfolio Analysis</w:t>
      </w:r>
      <w:r w:rsidRPr="001F3F6B">
        <w:rPr>
          <w:rFonts w:ascii="Times New Roman" w:eastAsia="Google Sans Text" w:hAnsi="Times New Roman"/>
          <w:sz w:val="24"/>
          <w:szCs w:val="24"/>
        </w:rPr>
        <w:t>: Complete Phase VI to estimate the value of potential future charge-offs from currently delinquent loans, thereby providing a more holistic portfolio valuation.</w:t>
      </w:r>
    </w:p>
    <w:p w14:paraId="5D8D4C19" w14:textId="77777777" w:rsidR="004F4785" w:rsidRPr="001F3F6B" w:rsidRDefault="004F4785" w:rsidP="001F3F6B">
      <w:pPr>
        <w:pStyle w:val="ListParagraph"/>
        <w:widowControl w:val="0"/>
        <w:numPr>
          <w:ilvl w:val="0"/>
          <w:numId w:val="37"/>
        </w:numPr>
        <w:pBdr>
          <w:top w:val="nil"/>
          <w:left w:val="nil"/>
          <w:bottom w:val="nil"/>
          <w:right w:val="nil"/>
          <w:between w:val="nil"/>
        </w:pBdr>
        <w:spacing w:after="0" w:line="480" w:lineRule="auto"/>
        <w:rPr>
          <w:rFonts w:ascii="Times New Roman" w:hAnsi="Times New Roman"/>
        </w:rPr>
      </w:pPr>
      <w:r w:rsidRPr="001F3F6B">
        <w:rPr>
          <w:rFonts w:ascii="Times New Roman" w:eastAsia="Google Sans Text" w:hAnsi="Times New Roman"/>
          <w:b/>
          <w:sz w:val="24"/>
          <w:szCs w:val="24"/>
        </w:rPr>
        <w:t>Stochastic Modeling</w:t>
      </w:r>
      <w:r w:rsidRPr="001F3F6B">
        <w:rPr>
          <w:rFonts w:ascii="Times New Roman" w:eastAsia="Google Sans Text" w:hAnsi="Times New Roman"/>
          <w:sz w:val="24"/>
          <w:szCs w:val="24"/>
        </w:rPr>
        <w:t>: Introduce advanced techniques such as Monte Carlo simulations to model uncertainty in key variables (e.g., recovery rates, discount rates). This would yield a probabilistic distribution of possible NPV outcomes rather than just discrete scenarios.</w:t>
      </w:r>
    </w:p>
    <w:p w14:paraId="10AD4662" w14:textId="77777777" w:rsidR="004F4785" w:rsidRPr="001F3F6B" w:rsidRDefault="004F4785" w:rsidP="001F3F6B">
      <w:pPr>
        <w:pStyle w:val="ListParagraph"/>
        <w:widowControl w:val="0"/>
        <w:numPr>
          <w:ilvl w:val="0"/>
          <w:numId w:val="37"/>
        </w:numPr>
        <w:pBdr>
          <w:top w:val="nil"/>
          <w:left w:val="nil"/>
          <w:bottom w:val="nil"/>
          <w:right w:val="nil"/>
          <w:between w:val="nil"/>
        </w:pBdr>
        <w:spacing w:after="120" w:line="480" w:lineRule="auto"/>
        <w:rPr>
          <w:rFonts w:ascii="Times New Roman" w:hAnsi="Times New Roman"/>
        </w:rPr>
      </w:pPr>
      <w:r w:rsidRPr="001F3F6B">
        <w:rPr>
          <w:rFonts w:ascii="Times New Roman" w:eastAsia="Google Sans Text" w:hAnsi="Times New Roman"/>
          <w:b/>
          <w:sz w:val="24"/>
          <w:szCs w:val="24"/>
        </w:rPr>
        <w:t>Tooling Integration &amp; Automation</w:t>
      </w:r>
      <w:r w:rsidRPr="001F3F6B">
        <w:rPr>
          <w:rFonts w:ascii="Times New Roman" w:eastAsia="Google Sans Text" w:hAnsi="Times New Roman"/>
          <w:sz w:val="24"/>
          <w:szCs w:val="24"/>
        </w:rPr>
        <w:t>: Investigate direct API integrations with the PostgreSQL database and Excel/Google Sheets to automate data export, model updates, and even visualization generation, significantly streamlining future analysis.</w:t>
      </w:r>
    </w:p>
    <w:p w14:paraId="6271D546" w14:textId="77777777" w:rsidR="004F4785" w:rsidRDefault="004F4785" w:rsidP="004F4785">
      <w:pPr>
        <w:rPr>
          <w:rFonts w:ascii="Times New Roman" w:eastAsia="Google Sans" w:hAnsi="Times New Roman"/>
          <w:b/>
          <w:sz w:val="30"/>
          <w:szCs w:val="30"/>
        </w:rPr>
      </w:pPr>
      <w:r>
        <w:rPr>
          <w:rFonts w:ascii="Times New Roman" w:eastAsia="Google Sans" w:hAnsi="Times New Roman"/>
          <w:sz w:val="30"/>
          <w:szCs w:val="30"/>
        </w:rPr>
        <w:br w:type="page"/>
      </w:r>
    </w:p>
    <w:p w14:paraId="440FB6B2" w14:textId="77777777" w:rsidR="004F4785" w:rsidRPr="00D53A8B" w:rsidRDefault="004F4785" w:rsidP="004F4785">
      <w:pPr>
        <w:pStyle w:val="Heading2"/>
        <w:spacing w:before="120" w:after="120" w:line="275" w:lineRule="auto"/>
        <w:rPr>
          <w:rFonts w:ascii="Times New Roman" w:eastAsia="Google Sans" w:hAnsi="Times New Roman" w:cs="Times New Roman"/>
          <w:sz w:val="30"/>
          <w:szCs w:val="30"/>
        </w:rPr>
      </w:pPr>
      <w:r w:rsidRPr="00D53A8B">
        <w:rPr>
          <w:rFonts w:ascii="Times New Roman" w:eastAsia="Google Sans" w:hAnsi="Times New Roman" w:cs="Times New Roman"/>
          <w:sz w:val="30"/>
          <w:szCs w:val="30"/>
        </w:rPr>
        <w:lastRenderedPageBreak/>
        <w:t>7. Conclusion</w:t>
      </w:r>
    </w:p>
    <w:p w14:paraId="6E977016" w14:textId="29E0A375" w:rsidR="002406E1" w:rsidRDefault="004F4785" w:rsidP="001F3F6B">
      <w:pPr>
        <w:spacing w:after="0" w:line="480" w:lineRule="auto"/>
        <w:rPr>
          <w:rFonts w:ascii="Times New Roman" w:hAnsi="Times New Roman"/>
          <w:b/>
          <w:bCs/>
          <w:sz w:val="24"/>
          <w:szCs w:val="24"/>
        </w:rPr>
      </w:pPr>
      <w:r w:rsidRPr="00D53A8B">
        <w:rPr>
          <w:rFonts w:ascii="Times New Roman" w:eastAsia="Google Sans Text" w:hAnsi="Times New Roman"/>
          <w:sz w:val="24"/>
          <w:szCs w:val="24"/>
        </w:rPr>
        <w:t>T</w:t>
      </w:r>
      <w:r>
        <w:rPr>
          <w:rFonts w:ascii="Times New Roman" w:eastAsia="Google Sans Text" w:hAnsi="Times New Roman"/>
          <w:sz w:val="24"/>
          <w:szCs w:val="24"/>
        </w:rPr>
        <w:t>o value the “Core Non-Performing” Prosper loan portfolio, I created a segmented discounted cash flow model</w:t>
      </w:r>
      <w:r w:rsidRPr="00D53A8B">
        <w:rPr>
          <w:rFonts w:ascii="Times New Roman" w:eastAsia="Google Sans Text" w:hAnsi="Times New Roman"/>
          <w:sz w:val="24"/>
          <w:szCs w:val="24"/>
        </w:rPr>
        <w:t>. The base case NPV of $1.</w:t>
      </w:r>
      <w:r>
        <w:rPr>
          <w:rFonts w:ascii="Times New Roman" w:eastAsia="Google Sans Text" w:hAnsi="Times New Roman"/>
          <w:sz w:val="24"/>
          <w:szCs w:val="24"/>
        </w:rPr>
        <w:t>72</w:t>
      </w:r>
      <w:r w:rsidRPr="00D53A8B">
        <w:rPr>
          <w:rFonts w:ascii="Times New Roman" w:eastAsia="Google Sans Text" w:hAnsi="Times New Roman"/>
          <w:sz w:val="24"/>
          <w:szCs w:val="24"/>
        </w:rPr>
        <w:t xml:space="preserve"> million is primarily driven by the assumed recovery rates and the discount rate. While the observed low gross recovery rate highlights the distressed nature of this specific portfolio, the model offers valuable insights into the portfolio's intrinsic value drivers and its sensitivity to key assumptions. The strong foundation laid in data preparation and rigorous financial modeling ensures the model's accuracy and provides a solid basis for all future enhancements and strategic decision-making.</w:t>
      </w:r>
    </w:p>
    <w:sectPr w:rsidR="002406E1" w:rsidSect="00E74CCC">
      <w:headerReference w:type="default" r:id="rId12"/>
      <w:head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1B7E33" w14:textId="77777777" w:rsidR="00DB0010" w:rsidRDefault="00DB0010" w:rsidP="00E4761C">
      <w:pPr>
        <w:spacing w:after="0" w:line="240" w:lineRule="auto"/>
      </w:pPr>
      <w:r>
        <w:separator/>
      </w:r>
    </w:p>
  </w:endnote>
  <w:endnote w:type="continuationSeparator" w:id="0">
    <w:p w14:paraId="7D87393F" w14:textId="77777777" w:rsidR="00DB0010" w:rsidRDefault="00DB0010" w:rsidP="00E476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oogle Sans">
    <w:charset w:val="00"/>
    <w:family w:val="auto"/>
    <w:pitch w:val="default"/>
  </w:font>
  <w:font w:name="Google Sans Text">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436C9E" w14:textId="77777777" w:rsidR="00DB0010" w:rsidRDefault="00DB0010" w:rsidP="00E4761C">
      <w:pPr>
        <w:spacing w:after="0" w:line="240" w:lineRule="auto"/>
      </w:pPr>
      <w:r>
        <w:separator/>
      </w:r>
    </w:p>
  </w:footnote>
  <w:footnote w:type="continuationSeparator" w:id="0">
    <w:p w14:paraId="1FFDC070" w14:textId="77777777" w:rsidR="00DB0010" w:rsidRDefault="00DB0010" w:rsidP="00E476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006D6C" w14:textId="77777777" w:rsidR="007C77E9" w:rsidRPr="00593C2C" w:rsidRDefault="0036357E" w:rsidP="00260441">
    <w:pPr>
      <w:pStyle w:val="Header"/>
      <w:rPr>
        <w:rFonts w:ascii="Times New Roman" w:hAnsi="Times New Roman"/>
        <w:sz w:val="24"/>
        <w:szCs w:val="24"/>
      </w:rPr>
    </w:pPr>
    <w:r>
      <w:rPr>
        <w:rFonts w:ascii="Times New Roman" w:hAnsi="Times New Roman"/>
        <w:sz w:val="24"/>
        <w:szCs w:val="24"/>
      </w:rPr>
      <w:tab/>
    </w:r>
    <w:r w:rsidR="00C51525">
      <w:rPr>
        <w:rFonts w:ascii="Times New Roman" w:hAnsi="Times New Roman"/>
        <w:sz w:val="24"/>
        <w:szCs w:val="24"/>
      </w:rPr>
      <w:tab/>
    </w:r>
    <w:r w:rsidR="007C77E9" w:rsidRPr="00593C2C">
      <w:rPr>
        <w:rFonts w:ascii="Times New Roman" w:hAnsi="Times New Roman"/>
        <w:sz w:val="24"/>
        <w:szCs w:val="24"/>
      </w:rPr>
      <w:fldChar w:fldCharType="begin"/>
    </w:r>
    <w:r w:rsidR="007C77E9" w:rsidRPr="00593C2C">
      <w:rPr>
        <w:rFonts w:ascii="Times New Roman" w:hAnsi="Times New Roman"/>
        <w:sz w:val="24"/>
        <w:szCs w:val="24"/>
      </w:rPr>
      <w:instrText xml:space="preserve"> PAGE   \* MERGEFORMAT </w:instrText>
    </w:r>
    <w:r w:rsidR="007C77E9" w:rsidRPr="00593C2C">
      <w:rPr>
        <w:rFonts w:ascii="Times New Roman" w:hAnsi="Times New Roman"/>
        <w:sz w:val="24"/>
        <w:szCs w:val="24"/>
      </w:rPr>
      <w:fldChar w:fldCharType="separate"/>
    </w:r>
    <w:r w:rsidR="005379CF">
      <w:rPr>
        <w:rFonts w:ascii="Times New Roman" w:hAnsi="Times New Roman"/>
        <w:noProof/>
        <w:sz w:val="24"/>
        <w:szCs w:val="24"/>
      </w:rPr>
      <w:t>5</w:t>
    </w:r>
    <w:r w:rsidR="007C77E9" w:rsidRPr="00593C2C">
      <w:rPr>
        <w:rFonts w:ascii="Times New Roman" w:hAnsi="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5CC2A7" w14:textId="77777777" w:rsidR="00C51525" w:rsidRPr="00C51525" w:rsidRDefault="00C51525" w:rsidP="002548C5">
    <w:pPr>
      <w:pStyle w:val="Header"/>
      <w:framePr w:wrap="none" w:vAnchor="text" w:hAnchor="margin" w:xAlign="right" w:y="1"/>
      <w:rPr>
        <w:rStyle w:val="PageNumber"/>
        <w:rFonts w:ascii="Times New Roman" w:hAnsi="Times New Roman"/>
      </w:rPr>
    </w:pPr>
    <w:r w:rsidRPr="00C51525">
      <w:rPr>
        <w:rStyle w:val="PageNumber"/>
        <w:rFonts w:ascii="Times New Roman" w:hAnsi="Times New Roman"/>
      </w:rPr>
      <w:fldChar w:fldCharType="begin"/>
    </w:r>
    <w:r w:rsidRPr="00C51525">
      <w:rPr>
        <w:rStyle w:val="PageNumber"/>
        <w:rFonts w:ascii="Times New Roman" w:hAnsi="Times New Roman"/>
      </w:rPr>
      <w:instrText xml:space="preserve"> PAGE </w:instrText>
    </w:r>
    <w:r w:rsidRPr="00C51525">
      <w:rPr>
        <w:rStyle w:val="PageNumber"/>
        <w:rFonts w:ascii="Times New Roman" w:hAnsi="Times New Roman"/>
      </w:rPr>
      <w:fldChar w:fldCharType="separate"/>
    </w:r>
    <w:r w:rsidR="005379CF">
      <w:rPr>
        <w:rStyle w:val="PageNumber"/>
        <w:rFonts w:ascii="Times New Roman" w:hAnsi="Times New Roman"/>
        <w:noProof/>
      </w:rPr>
      <w:t>1</w:t>
    </w:r>
    <w:r w:rsidRPr="00C51525">
      <w:rPr>
        <w:rStyle w:val="PageNumber"/>
        <w:rFonts w:ascii="Times New Roman" w:hAnsi="Times New Roman"/>
      </w:rPr>
      <w:fldChar w:fldCharType="end"/>
    </w:r>
  </w:p>
  <w:p w14:paraId="70A44945" w14:textId="77777777" w:rsidR="007C77E9" w:rsidRPr="00466FD3" w:rsidRDefault="007C77E9" w:rsidP="00C51525">
    <w:pPr>
      <w:pStyle w:val="Header"/>
      <w:ind w:right="360"/>
      <w:rPr>
        <w:rFonts w:ascii="Times New Roman" w:hAnsi="Times New Roman"/>
        <w:sz w:val="24"/>
        <w:szCs w:val="24"/>
      </w:rPr>
    </w:pPr>
    <w:r>
      <w:rPr>
        <w:rFonts w:ascii="Times New Roman" w:hAnsi="Times New Roman"/>
        <w:sz w:val="24"/>
        <w:szCs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D438AA"/>
    <w:multiLevelType w:val="hybridMultilevel"/>
    <w:tmpl w:val="A860FA40"/>
    <w:lvl w:ilvl="0" w:tplc="04090001">
      <w:start w:val="1"/>
      <w:numFmt w:val="bullet"/>
      <w:lvlText w:val=""/>
      <w:lvlJc w:val="left"/>
      <w:pPr>
        <w:ind w:left="1185" w:hanging="360"/>
      </w:pPr>
      <w:rPr>
        <w:rFonts w:ascii="Symbol" w:hAnsi="Symbol" w:hint="default"/>
      </w:rPr>
    </w:lvl>
    <w:lvl w:ilvl="1" w:tplc="04090003" w:tentative="1">
      <w:start w:val="1"/>
      <w:numFmt w:val="bullet"/>
      <w:lvlText w:val="o"/>
      <w:lvlJc w:val="left"/>
      <w:pPr>
        <w:ind w:left="1905" w:hanging="360"/>
      </w:pPr>
      <w:rPr>
        <w:rFonts w:ascii="Courier New" w:hAnsi="Courier New" w:cs="Courier New" w:hint="default"/>
      </w:rPr>
    </w:lvl>
    <w:lvl w:ilvl="2" w:tplc="04090005" w:tentative="1">
      <w:start w:val="1"/>
      <w:numFmt w:val="bullet"/>
      <w:lvlText w:val=""/>
      <w:lvlJc w:val="left"/>
      <w:pPr>
        <w:ind w:left="2625" w:hanging="360"/>
      </w:pPr>
      <w:rPr>
        <w:rFonts w:ascii="Wingdings" w:hAnsi="Wingdings" w:hint="default"/>
      </w:rPr>
    </w:lvl>
    <w:lvl w:ilvl="3" w:tplc="04090001" w:tentative="1">
      <w:start w:val="1"/>
      <w:numFmt w:val="bullet"/>
      <w:lvlText w:val=""/>
      <w:lvlJc w:val="left"/>
      <w:pPr>
        <w:ind w:left="3345" w:hanging="360"/>
      </w:pPr>
      <w:rPr>
        <w:rFonts w:ascii="Symbol" w:hAnsi="Symbol" w:hint="default"/>
      </w:rPr>
    </w:lvl>
    <w:lvl w:ilvl="4" w:tplc="04090003" w:tentative="1">
      <w:start w:val="1"/>
      <w:numFmt w:val="bullet"/>
      <w:lvlText w:val="o"/>
      <w:lvlJc w:val="left"/>
      <w:pPr>
        <w:ind w:left="4065" w:hanging="360"/>
      </w:pPr>
      <w:rPr>
        <w:rFonts w:ascii="Courier New" w:hAnsi="Courier New" w:cs="Courier New" w:hint="default"/>
      </w:rPr>
    </w:lvl>
    <w:lvl w:ilvl="5" w:tplc="04090005" w:tentative="1">
      <w:start w:val="1"/>
      <w:numFmt w:val="bullet"/>
      <w:lvlText w:val=""/>
      <w:lvlJc w:val="left"/>
      <w:pPr>
        <w:ind w:left="4785" w:hanging="360"/>
      </w:pPr>
      <w:rPr>
        <w:rFonts w:ascii="Wingdings" w:hAnsi="Wingdings" w:hint="default"/>
      </w:rPr>
    </w:lvl>
    <w:lvl w:ilvl="6" w:tplc="04090001" w:tentative="1">
      <w:start w:val="1"/>
      <w:numFmt w:val="bullet"/>
      <w:lvlText w:val=""/>
      <w:lvlJc w:val="left"/>
      <w:pPr>
        <w:ind w:left="5505" w:hanging="360"/>
      </w:pPr>
      <w:rPr>
        <w:rFonts w:ascii="Symbol" w:hAnsi="Symbol" w:hint="default"/>
      </w:rPr>
    </w:lvl>
    <w:lvl w:ilvl="7" w:tplc="04090003" w:tentative="1">
      <w:start w:val="1"/>
      <w:numFmt w:val="bullet"/>
      <w:lvlText w:val="o"/>
      <w:lvlJc w:val="left"/>
      <w:pPr>
        <w:ind w:left="6225" w:hanging="360"/>
      </w:pPr>
      <w:rPr>
        <w:rFonts w:ascii="Courier New" w:hAnsi="Courier New" w:cs="Courier New" w:hint="default"/>
      </w:rPr>
    </w:lvl>
    <w:lvl w:ilvl="8" w:tplc="04090005" w:tentative="1">
      <w:start w:val="1"/>
      <w:numFmt w:val="bullet"/>
      <w:lvlText w:val=""/>
      <w:lvlJc w:val="left"/>
      <w:pPr>
        <w:ind w:left="6945" w:hanging="360"/>
      </w:pPr>
      <w:rPr>
        <w:rFonts w:ascii="Wingdings" w:hAnsi="Wingdings" w:hint="default"/>
      </w:rPr>
    </w:lvl>
  </w:abstractNum>
  <w:abstractNum w:abstractNumId="1" w15:restartNumberingAfterBreak="0">
    <w:nsid w:val="19C72EE4"/>
    <w:multiLevelType w:val="hybridMultilevel"/>
    <w:tmpl w:val="211A2ACC"/>
    <w:lvl w:ilvl="0" w:tplc="04090003">
      <w:start w:val="1"/>
      <w:numFmt w:val="bullet"/>
      <w:lvlText w:val="o"/>
      <w:lvlJc w:val="left"/>
      <w:pPr>
        <w:ind w:left="1590" w:hanging="360"/>
      </w:pPr>
      <w:rPr>
        <w:rFonts w:ascii="Courier New" w:hAnsi="Courier New" w:cs="Courier New" w:hint="default"/>
      </w:rPr>
    </w:lvl>
    <w:lvl w:ilvl="1" w:tplc="04090003" w:tentative="1">
      <w:start w:val="1"/>
      <w:numFmt w:val="bullet"/>
      <w:lvlText w:val="o"/>
      <w:lvlJc w:val="left"/>
      <w:pPr>
        <w:ind w:left="2310" w:hanging="360"/>
      </w:pPr>
      <w:rPr>
        <w:rFonts w:ascii="Courier New" w:hAnsi="Courier New" w:cs="Courier New" w:hint="default"/>
      </w:rPr>
    </w:lvl>
    <w:lvl w:ilvl="2" w:tplc="04090005" w:tentative="1">
      <w:start w:val="1"/>
      <w:numFmt w:val="bullet"/>
      <w:lvlText w:val=""/>
      <w:lvlJc w:val="left"/>
      <w:pPr>
        <w:ind w:left="3030" w:hanging="360"/>
      </w:pPr>
      <w:rPr>
        <w:rFonts w:ascii="Wingdings" w:hAnsi="Wingdings" w:hint="default"/>
      </w:rPr>
    </w:lvl>
    <w:lvl w:ilvl="3" w:tplc="04090001" w:tentative="1">
      <w:start w:val="1"/>
      <w:numFmt w:val="bullet"/>
      <w:lvlText w:val=""/>
      <w:lvlJc w:val="left"/>
      <w:pPr>
        <w:ind w:left="3750" w:hanging="360"/>
      </w:pPr>
      <w:rPr>
        <w:rFonts w:ascii="Symbol" w:hAnsi="Symbol" w:hint="default"/>
      </w:rPr>
    </w:lvl>
    <w:lvl w:ilvl="4" w:tplc="04090003" w:tentative="1">
      <w:start w:val="1"/>
      <w:numFmt w:val="bullet"/>
      <w:lvlText w:val="o"/>
      <w:lvlJc w:val="left"/>
      <w:pPr>
        <w:ind w:left="4470" w:hanging="360"/>
      </w:pPr>
      <w:rPr>
        <w:rFonts w:ascii="Courier New" w:hAnsi="Courier New" w:cs="Courier New" w:hint="default"/>
      </w:rPr>
    </w:lvl>
    <w:lvl w:ilvl="5" w:tplc="04090005" w:tentative="1">
      <w:start w:val="1"/>
      <w:numFmt w:val="bullet"/>
      <w:lvlText w:val=""/>
      <w:lvlJc w:val="left"/>
      <w:pPr>
        <w:ind w:left="5190" w:hanging="360"/>
      </w:pPr>
      <w:rPr>
        <w:rFonts w:ascii="Wingdings" w:hAnsi="Wingdings" w:hint="default"/>
      </w:rPr>
    </w:lvl>
    <w:lvl w:ilvl="6" w:tplc="04090001" w:tentative="1">
      <w:start w:val="1"/>
      <w:numFmt w:val="bullet"/>
      <w:lvlText w:val=""/>
      <w:lvlJc w:val="left"/>
      <w:pPr>
        <w:ind w:left="5910" w:hanging="360"/>
      </w:pPr>
      <w:rPr>
        <w:rFonts w:ascii="Symbol" w:hAnsi="Symbol" w:hint="default"/>
      </w:rPr>
    </w:lvl>
    <w:lvl w:ilvl="7" w:tplc="04090003" w:tentative="1">
      <w:start w:val="1"/>
      <w:numFmt w:val="bullet"/>
      <w:lvlText w:val="o"/>
      <w:lvlJc w:val="left"/>
      <w:pPr>
        <w:ind w:left="6630" w:hanging="360"/>
      </w:pPr>
      <w:rPr>
        <w:rFonts w:ascii="Courier New" w:hAnsi="Courier New" w:cs="Courier New" w:hint="default"/>
      </w:rPr>
    </w:lvl>
    <w:lvl w:ilvl="8" w:tplc="04090005" w:tentative="1">
      <w:start w:val="1"/>
      <w:numFmt w:val="bullet"/>
      <w:lvlText w:val=""/>
      <w:lvlJc w:val="left"/>
      <w:pPr>
        <w:ind w:left="7350" w:hanging="360"/>
      </w:pPr>
      <w:rPr>
        <w:rFonts w:ascii="Wingdings" w:hAnsi="Wingdings" w:hint="default"/>
      </w:rPr>
    </w:lvl>
  </w:abstractNum>
  <w:abstractNum w:abstractNumId="2" w15:restartNumberingAfterBreak="0">
    <w:nsid w:val="1BE0062F"/>
    <w:multiLevelType w:val="multilevel"/>
    <w:tmpl w:val="B0F07F3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 w15:restartNumberingAfterBreak="0">
    <w:nsid w:val="205B7EB3"/>
    <w:multiLevelType w:val="multilevel"/>
    <w:tmpl w:val="E8047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1D69A2"/>
    <w:multiLevelType w:val="multilevel"/>
    <w:tmpl w:val="82AA507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 w15:restartNumberingAfterBreak="0">
    <w:nsid w:val="24E23210"/>
    <w:multiLevelType w:val="multilevel"/>
    <w:tmpl w:val="B858C19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 w15:restartNumberingAfterBreak="0">
    <w:nsid w:val="299F772C"/>
    <w:multiLevelType w:val="multilevel"/>
    <w:tmpl w:val="57967B8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 w15:restartNumberingAfterBreak="0">
    <w:nsid w:val="2EA34F2A"/>
    <w:multiLevelType w:val="hybridMultilevel"/>
    <w:tmpl w:val="EF10D2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BA263A"/>
    <w:multiLevelType w:val="multilevel"/>
    <w:tmpl w:val="8BCA4E3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9" w15:restartNumberingAfterBreak="0">
    <w:nsid w:val="345A1E04"/>
    <w:multiLevelType w:val="multilevel"/>
    <w:tmpl w:val="80466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8B763B"/>
    <w:multiLevelType w:val="hybridMultilevel"/>
    <w:tmpl w:val="F3F6D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432C47"/>
    <w:multiLevelType w:val="multilevel"/>
    <w:tmpl w:val="A0FC90B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2" w15:restartNumberingAfterBreak="0">
    <w:nsid w:val="3C9D2680"/>
    <w:multiLevelType w:val="hybridMultilevel"/>
    <w:tmpl w:val="33407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64485D"/>
    <w:multiLevelType w:val="multilevel"/>
    <w:tmpl w:val="AC3CF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9E4836"/>
    <w:multiLevelType w:val="hybridMultilevel"/>
    <w:tmpl w:val="08B2DC22"/>
    <w:lvl w:ilvl="0" w:tplc="04090001">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395" w:hanging="360"/>
      </w:pPr>
      <w:rPr>
        <w:rFonts w:ascii="Courier New" w:hAnsi="Courier New" w:cs="Courier New" w:hint="default"/>
      </w:rPr>
    </w:lvl>
    <w:lvl w:ilvl="2" w:tplc="04090005" w:tentative="1">
      <w:start w:val="1"/>
      <w:numFmt w:val="bullet"/>
      <w:lvlText w:val=""/>
      <w:lvlJc w:val="left"/>
      <w:pPr>
        <w:ind w:left="2115" w:hanging="360"/>
      </w:pPr>
      <w:rPr>
        <w:rFonts w:ascii="Wingdings" w:hAnsi="Wingdings" w:hint="default"/>
      </w:rPr>
    </w:lvl>
    <w:lvl w:ilvl="3" w:tplc="04090001" w:tentative="1">
      <w:start w:val="1"/>
      <w:numFmt w:val="bullet"/>
      <w:lvlText w:val=""/>
      <w:lvlJc w:val="left"/>
      <w:pPr>
        <w:ind w:left="2835" w:hanging="360"/>
      </w:pPr>
      <w:rPr>
        <w:rFonts w:ascii="Symbol" w:hAnsi="Symbol" w:hint="default"/>
      </w:rPr>
    </w:lvl>
    <w:lvl w:ilvl="4" w:tplc="04090003" w:tentative="1">
      <w:start w:val="1"/>
      <w:numFmt w:val="bullet"/>
      <w:lvlText w:val="o"/>
      <w:lvlJc w:val="left"/>
      <w:pPr>
        <w:ind w:left="3555" w:hanging="360"/>
      </w:pPr>
      <w:rPr>
        <w:rFonts w:ascii="Courier New" w:hAnsi="Courier New" w:cs="Courier New" w:hint="default"/>
      </w:rPr>
    </w:lvl>
    <w:lvl w:ilvl="5" w:tplc="04090005" w:tentative="1">
      <w:start w:val="1"/>
      <w:numFmt w:val="bullet"/>
      <w:lvlText w:val=""/>
      <w:lvlJc w:val="left"/>
      <w:pPr>
        <w:ind w:left="4275" w:hanging="360"/>
      </w:pPr>
      <w:rPr>
        <w:rFonts w:ascii="Wingdings" w:hAnsi="Wingdings" w:hint="default"/>
      </w:rPr>
    </w:lvl>
    <w:lvl w:ilvl="6" w:tplc="04090001" w:tentative="1">
      <w:start w:val="1"/>
      <w:numFmt w:val="bullet"/>
      <w:lvlText w:val=""/>
      <w:lvlJc w:val="left"/>
      <w:pPr>
        <w:ind w:left="4995" w:hanging="360"/>
      </w:pPr>
      <w:rPr>
        <w:rFonts w:ascii="Symbol" w:hAnsi="Symbol" w:hint="default"/>
      </w:rPr>
    </w:lvl>
    <w:lvl w:ilvl="7" w:tplc="04090003" w:tentative="1">
      <w:start w:val="1"/>
      <w:numFmt w:val="bullet"/>
      <w:lvlText w:val="o"/>
      <w:lvlJc w:val="left"/>
      <w:pPr>
        <w:ind w:left="5715" w:hanging="360"/>
      </w:pPr>
      <w:rPr>
        <w:rFonts w:ascii="Courier New" w:hAnsi="Courier New" w:cs="Courier New" w:hint="default"/>
      </w:rPr>
    </w:lvl>
    <w:lvl w:ilvl="8" w:tplc="04090005" w:tentative="1">
      <w:start w:val="1"/>
      <w:numFmt w:val="bullet"/>
      <w:lvlText w:val=""/>
      <w:lvlJc w:val="left"/>
      <w:pPr>
        <w:ind w:left="6435" w:hanging="360"/>
      </w:pPr>
      <w:rPr>
        <w:rFonts w:ascii="Wingdings" w:hAnsi="Wingdings" w:hint="default"/>
      </w:rPr>
    </w:lvl>
  </w:abstractNum>
  <w:abstractNum w:abstractNumId="15" w15:restartNumberingAfterBreak="0">
    <w:nsid w:val="48094513"/>
    <w:multiLevelType w:val="multilevel"/>
    <w:tmpl w:val="3D3EE4F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6" w15:restartNumberingAfterBreak="0">
    <w:nsid w:val="48176D45"/>
    <w:multiLevelType w:val="hybridMultilevel"/>
    <w:tmpl w:val="7D826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110CC6"/>
    <w:multiLevelType w:val="multilevel"/>
    <w:tmpl w:val="8D6AA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F4426CA"/>
    <w:multiLevelType w:val="hybridMultilevel"/>
    <w:tmpl w:val="ACD4A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0657974"/>
    <w:multiLevelType w:val="multilevel"/>
    <w:tmpl w:val="77AA440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decimal"/>
      <w:lvlText w:val="%2."/>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0" w15:restartNumberingAfterBreak="0">
    <w:nsid w:val="52F14011"/>
    <w:multiLevelType w:val="hybridMultilevel"/>
    <w:tmpl w:val="8BB66B98"/>
    <w:lvl w:ilvl="0" w:tplc="04090001">
      <w:start w:val="1"/>
      <w:numFmt w:val="bullet"/>
      <w:lvlText w:val=""/>
      <w:lvlJc w:val="left"/>
      <w:pPr>
        <w:ind w:left="1080" w:hanging="360"/>
      </w:pPr>
      <w:rPr>
        <w:rFonts w:ascii="Symbol" w:hAnsi="Symbol" w:hint="default"/>
      </w:rPr>
    </w:lvl>
    <w:lvl w:ilvl="1" w:tplc="476A4282">
      <w:numFmt w:val="bullet"/>
      <w:lvlText w:val="·"/>
      <w:lvlJc w:val="left"/>
      <w:pPr>
        <w:ind w:left="1815" w:hanging="375"/>
      </w:pPr>
      <w:rPr>
        <w:rFonts w:ascii="Times New Roman" w:eastAsia="Times New Roman" w:hAnsi="Times New Roman" w:cs="Times New Roman" w:hint="default"/>
        <w:sz w:val="24"/>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3E957C6"/>
    <w:multiLevelType w:val="hybridMultilevel"/>
    <w:tmpl w:val="5E96F6D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4260023"/>
    <w:multiLevelType w:val="multilevel"/>
    <w:tmpl w:val="F9B2E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A256CA"/>
    <w:multiLevelType w:val="hybridMultilevel"/>
    <w:tmpl w:val="9392C7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A220F61"/>
    <w:multiLevelType w:val="multilevel"/>
    <w:tmpl w:val="5102197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5" w15:restartNumberingAfterBreak="0">
    <w:nsid w:val="5A7B6DAD"/>
    <w:multiLevelType w:val="multilevel"/>
    <w:tmpl w:val="8ACE6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A966975"/>
    <w:multiLevelType w:val="hybridMultilevel"/>
    <w:tmpl w:val="08C4A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B91058"/>
    <w:multiLevelType w:val="hybridMultilevel"/>
    <w:tmpl w:val="56903402"/>
    <w:lvl w:ilvl="0" w:tplc="04090001">
      <w:start w:val="1"/>
      <w:numFmt w:val="bullet"/>
      <w:lvlText w:val=""/>
      <w:lvlJc w:val="left"/>
      <w:pPr>
        <w:ind w:left="1185" w:hanging="360"/>
      </w:pPr>
      <w:rPr>
        <w:rFonts w:ascii="Symbol" w:hAnsi="Symbol" w:hint="default"/>
      </w:rPr>
    </w:lvl>
    <w:lvl w:ilvl="1" w:tplc="04090003" w:tentative="1">
      <w:start w:val="1"/>
      <w:numFmt w:val="bullet"/>
      <w:lvlText w:val="o"/>
      <w:lvlJc w:val="left"/>
      <w:pPr>
        <w:ind w:left="1905" w:hanging="360"/>
      </w:pPr>
      <w:rPr>
        <w:rFonts w:ascii="Courier New" w:hAnsi="Courier New" w:cs="Courier New" w:hint="default"/>
      </w:rPr>
    </w:lvl>
    <w:lvl w:ilvl="2" w:tplc="04090005" w:tentative="1">
      <w:start w:val="1"/>
      <w:numFmt w:val="bullet"/>
      <w:lvlText w:val=""/>
      <w:lvlJc w:val="left"/>
      <w:pPr>
        <w:ind w:left="2625" w:hanging="360"/>
      </w:pPr>
      <w:rPr>
        <w:rFonts w:ascii="Wingdings" w:hAnsi="Wingdings" w:hint="default"/>
      </w:rPr>
    </w:lvl>
    <w:lvl w:ilvl="3" w:tplc="04090001" w:tentative="1">
      <w:start w:val="1"/>
      <w:numFmt w:val="bullet"/>
      <w:lvlText w:val=""/>
      <w:lvlJc w:val="left"/>
      <w:pPr>
        <w:ind w:left="3345" w:hanging="360"/>
      </w:pPr>
      <w:rPr>
        <w:rFonts w:ascii="Symbol" w:hAnsi="Symbol" w:hint="default"/>
      </w:rPr>
    </w:lvl>
    <w:lvl w:ilvl="4" w:tplc="04090003" w:tentative="1">
      <w:start w:val="1"/>
      <w:numFmt w:val="bullet"/>
      <w:lvlText w:val="o"/>
      <w:lvlJc w:val="left"/>
      <w:pPr>
        <w:ind w:left="4065" w:hanging="360"/>
      </w:pPr>
      <w:rPr>
        <w:rFonts w:ascii="Courier New" w:hAnsi="Courier New" w:cs="Courier New" w:hint="default"/>
      </w:rPr>
    </w:lvl>
    <w:lvl w:ilvl="5" w:tplc="04090005" w:tentative="1">
      <w:start w:val="1"/>
      <w:numFmt w:val="bullet"/>
      <w:lvlText w:val=""/>
      <w:lvlJc w:val="left"/>
      <w:pPr>
        <w:ind w:left="4785" w:hanging="360"/>
      </w:pPr>
      <w:rPr>
        <w:rFonts w:ascii="Wingdings" w:hAnsi="Wingdings" w:hint="default"/>
      </w:rPr>
    </w:lvl>
    <w:lvl w:ilvl="6" w:tplc="04090001" w:tentative="1">
      <w:start w:val="1"/>
      <w:numFmt w:val="bullet"/>
      <w:lvlText w:val=""/>
      <w:lvlJc w:val="left"/>
      <w:pPr>
        <w:ind w:left="5505" w:hanging="360"/>
      </w:pPr>
      <w:rPr>
        <w:rFonts w:ascii="Symbol" w:hAnsi="Symbol" w:hint="default"/>
      </w:rPr>
    </w:lvl>
    <w:lvl w:ilvl="7" w:tplc="04090003" w:tentative="1">
      <w:start w:val="1"/>
      <w:numFmt w:val="bullet"/>
      <w:lvlText w:val="o"/>
      <w:lvlJc w:val="left"/>
      <w:pPr>
        <w:ind w:left="6225" w:hanging="360"/>
      </w:pPr>
      <w:rPr>
        <w:rFonts w:ascii="Courier New" w:hAnsi="Courier New" w:cs="Courier New" w:hint="default"/>
      </w:rPr>
    </w:lvl>
    <w:lvl w:ilvl="8" w:tplc="04090005" w:tentative="1">
      <w:start w:val="1"/>
      <w:numFmt w:val="bullet"/>
      <w:lvlText w:val=""/>
      <w:lvlJc w:val="left"/>
      <w:pPr>
        <w:ind w:left="6945" w:hanging="360"/>
      </w:pPr>
      <w:rPr>
        <w:rFonts w:ascii="Wingdings" w:hAnsi="Wingdings" w:hint="default"/>
      </w:rPr>
    </w:lvl>
  </w:abstractNum>
  <w:abstractNum w:abstractNumId="28" w15:restartNumberingAfterBreak="0">
    <w:nsid w:val="5E2A4A31"/>
    <w:multiLevelType w:val="hybridMultilevel"/>
    <w:tmpl w:val="D6ECA85A"/>
    <w:lvl w:ilvl="0" w:tplc="04090001">
      <w:start w:val="1"/>
      <w:numFmt w:val="bullet"/>
      <w:lvlText w:val=""/>
      <w:lvlJc w:val="left"/>
      <w:pPr>
        <w:ind w:left="1185" w:hanging="360"/>
      </w:pPr>
      <w:rPr>
        <w:rFonts w:ascii="Symbol" w:hAnsi="Symbol" w:hint="default"/>
      </w:rPr>
    </w:lvl>
    <w:lvl w:ilvl="1" w:tplc="04090003" w:tentative="1">
      <w:start w:val="1"/>
      <w:numFmt w:val="bullet"/>
      <w:lvlText w:val="o"/>
      <w:lvlJc w:val="left"/>
      <w:pPr>
        <w:ind w:left="1905" w:hanging="360"/>
      </w:pPr>
      <w:rPr>
        <w:rFonts w:ascii="Courier New" w:hAnsi="Courier New" w:cs="Courier New" w:hint="default"/>
      </w:rPr>
    </w:lvl>
    <w:lvl w:ilvl="2" w:tplc="04090005" w:tentative="1">
      <w:start w:val="1"/>
      <w:numFmt w:val="bullet"/>
      <w:lvlText w:val=""/>
      <w:lvlJc w:val="left"/>
      <w:pPr>
        <w:ind w:left="2625" w:hanging="360"/>
      </w:pPr>
      <w:rPr>
        <w:rFonts w:ascii="Wingdings" w:hAnsi="Wingdings" w:hint="default"/>
      </w:rPr>
    </w:lvl>
    <w:lvl w:ilvl="3" w:tplc="04090001" w:tentative="1">
      <w:start w:val="1"/>
      <w:numFmt w:val="bullet"/>
      <w:lvlText w:val=""/>
      <w:lvlJc w:val="left"/>
      <w:pPr>
        <w:ind w:left="3345" w:hanging="360"/>
      </w:pPr>
      <w:rPr>
        <w:rFonts w:ascii="Symbol" w:hAnsi="Symbol" w:hint="default"/>
      </w:rPr>
    </w:lvl>
    <w:lvl w:ilvl="4" w:tplc="04090003" w:tentative="1">
      <w:start w:val="1"/>
      <w:numFmt w:val="bullet"/>
      <w:lvlText w:val="o"/>
      <w:lvlJc w:val="left"/>
      <w:pPr>
        <w:ind w:left="4065" w:hanging="360"/>
      </w:pPr>
      <w:rPr>
        <w:rFonts w:ascii="Courier New" w:hAnsi="Courier New" w:cs="Courier New" w:hint="default"/>
      </w:rPr>
    </w:lvl>
    <w:lvl w:ilvl="5" w:tplc="04090005" w:tentative="1">
      <w:start w:val="1"/>
      <w:numFmt w:val="bullet"/>
      <w:lvlText w:val=""/>
      <w:lvlJc w:val="left"/>
      <w:pPr>
        <w:ind w:left="4785" w:hanging="360"/>
      </w:pPr>
      <w:rPr>
        <w:rFonts w:ascii="Wingdings" w:hAnsi="Wingdings" w:hint="default"/>
      </w:rPr>
    </w:lvl>
    <w:lvl w:ilvl="6" w:tplc="04090001" w:tentative="1">
      <w:start w:val="1"/>
      <w:numFmt w:val="bullet"/>
      <w:lvlText w:val=""/>
      <w:lvlJc w:val="left"/>
      <w:pPr>
        <w:ind w:left="5505" w:hanging="360"/>
      </w:pPr>
      <w:rPr>
        <w:rFonts w:ascii="Symbol" w:hAnsi="Symbol" w:hint="default"/>
      </w:rPr>
    </w:lvl>
    <w:lvl w:ilvl="7" w:tplc="04090003" w:tentative="1">
      <w:start w:val="1"/>
      <w:numFmt w:val="bullet"/>
      <w:lvlText w:val="o"/>
      <w:lvlJc w:val="left"/>
      <w:pPr>
        <w:ind w:left="6225" w:hanging="360"/>
      </w:pPr>
      <w:rPr>
        <w:rFonts w:ascii="Courier New" w:hAnsi="Courier New" w:cs="Courier New" w:hint="default"/>
      </w:rPr>
    </w:lvl>
    <w:lvl w:ilvl="8" w:tplc="04090005" w:tentative="1">
      <w:start w:val="1"/>
      <w:numFmt w:val="bullet"/>
      <w:lvlText w:val=""/>
      <w:lvlJc w:val="left"/>
      <w:pPr>
        <w:ind w:left="6945" w:hanging="360"/>
      </w:pPr>
      <w:rPr>
        <w:rFonts w:ascii="Wingdings" w:hAnsi="Wingdings" w:hint="default"/>
      </w:rPr>
    </w:lvl>
  </w:abstractNum>
  <w:abstractNum w:abstractNumId="29" w15:restartNumberingAfterBreak="0">
    <w:nsid w:val="5F982051"/>
    <w:multiLevelType w:val="hybridMultilevel"/>
    <w:tmpl w:val="F09C4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C81370"/>
    <w:multiLevelType w:val="hybridMultilevel"/>
    <w:tmpl w:val="FA1A3C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3E175CB"/>
    <w:multiLevelType w:val="multilevel"/>
    <w:tmpl w:val="5944E1A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2" w15:restartNumberingAfterBreak="0">
    <w:nsid w:val="72847383"/>
    <w:multiLevelType w:val="multilevel"/>
    <w:tmpl w:val="6E3448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2EE6DD7"/>
    <w:multiLevelType w:val="hybridMultilevel"/>
    <w:tmpl w:val="6354F3F0"/>
    <w:lvl w:ilvl="0" w:tplc="04090003">
      <w:start w:val="1"/>
      <w:numFmt w:val="bullet"/>
      <w:lvlText w:val="o"/>
      <w:lvlJc w:val="left"/>
      <w:pPr>
        <w:ind w:left="1590" w:hanging="360"/>
      </w:pPr>
      <w:rPr>
        <w:rFonts w:ascii="Courier New" w:hAnsi="Courier New" w:cs="Courier New" w:hint="default"/>
      </w:rPr>
    </w:lvl>
    <w:lvl w:ilvl="1" w:tplc="04090003" w:tentative="1">
      <w:start w:val="1"/>
      <w:numFmt w:val="bullet"/>
      <w:lvlText w:val="o"/>
      <w:lvlJc w:val="left"/>
      <w:pPr>
        <w:ind w:left="2310" w:hanging="360"/>
      </w:pPr>
      <w:rPr>
        <w:rFonts w:ascii="Courier New" w:hAnsi="Courier New" w:cs="Courier New" w:hint="default"/>
      </w:rPr>
    </w:lvl>
    <w:lvl w:ilvl="2" w:tplc="04090005" w:tentative="1">
      <w:start w:val="1"/>
      <w:numFmt w:val="bullet"/>
      <w:lvlText w:val=""/>
      <w:lvlJc w:val="left"/>
      <w:pPr>
        <w:ind w:left="3030" w:hanging="360"/>
      </w:pPr>
      <w:rPr>
        <w:rFonts w:ascii="Wingdings" w:hAnsi="Wingdings" w:hint="default"/>
      </w:rPr>
    </w:lvl>
    <w:lvl w:ilvl="3" w:tplc="04090001" w:tentative="1">
      <w:start w:val="1"/>
      <w:numFmt w:val="bullet"/>
      <w:lvlText w:val=""/>
      <w:lvlJc w:val="left"/>
      <w:pPr>
        <w:ind w:left="3750" w:hanging="360"/>
      </w:pPr>
      <w:rPr>
        <w:rFonts w:ascii="Symbol" w:hAnsi="Symbol" w:hint="default"/>
      </w:rPr>
    </w:lvl>
    <w:lvl w:ilvl="4" w:tplc="04090003" w:tentative="1">
      <w:start w:val="1"/>
      <w:numFmt w:val="bullet"/>
      <w:lvlText w:val="o"/>
      <w:lvlJc w:val="left"/>
      <w:pPr>
        <w:ind w:left="4470" w:hanging="360"/>
      </w:pPr>
      <w:rPr>
        <w:rFonts w:ascii="Courier New" w:hAnsi="Courier New" w:cs="Courier New" w:hint="default"/>
      </w:rPr>
    </w:lvl>
    <w:lvl w:ilvl="5" w:tplc="04090005" w:tentative="1">
      <w:start w:val="1"/>
      <w:numFmt w:val="bullet"/>
      <w:lvlText w:val=""/>
      <w:lvlJc w:val="left"/>
      <w:pPr>
        <w:ind w:left="5190" w:hanging="360"/>
      </w:pPr>
      <w:rPr>
        <w:rFonts w:ascii="Wingdings" w:hAnsi="Wingdings" w:hint="default"/>
      </w:rPr>
    </w:lvl>
    <w:lvl w:ilvl="6" w:tplc="04090001" w:tentative="1">
      <w:start w:val="1"/>
      <w:numFmt w:val="bullet"/>
      <w:lvlText w:val=""/>
      <w:lvlJc w:val="left"/>
      <w:pPr>
        <w:ind w:left="5910" w:hanging="360"/>
      </w:pPr>
      <w:rPr>
        <w:rFonts w:ascii="Symbol" w:hAnsi="Symbol" w:hint="default"/>
      </w:rPr>
    </w:lvl>
    <w:lvl w:ilvl="7" w:tplc="04090003" w:tentative="1">
      <w:start w:val="1"/>
      <w:numFmt w:val="bullet"/>
      <w:lvlText w:val="o"/>
      <w:lvlJc w:val="left"/>
      <w:pPr>
        <w:ind w:left="6630" w:hanging="360"/>
      </w:pPr>
      <w:rPr>
        <w:rFonts w:ascii="Courier New" w:hAnsi="Courier New" w:cs="Courier New" w:hint="default"/>
      </w:rPr>
    </w:lvl>
    <w:lvl w:ilvl="8" w:tplc="04090005" w:tentative="1">
      <w:start w:val="1"/>
      <w:numFmt w:val="bullet"/>
      <w:lvlText w:val=""/>
      <w:lvlJc w:val="left"/>
      <w:pPr>
        <w:ind w:left="7350" w:hanging="360"/>
      </w:pPr>
      <w:rPr>
        <w:rFonts w:ascii="Wingdings" w:hAnsi="Wingdings" w:hint="default"/>
      </w:rPr>
    </w:lvl>
  </w:abstractNum>
  <w:abstractNum w:abstractNumId="34" w15:restartNumberingAfterBreak="0">
    <w:nsid w:val="755E7947"/>
    <w:multiLevelType w:val="multilevel"/>
    <w:tmpl w:val="BE28841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5" w15:restartNumberingAfterBreak="0">
    <w:nsid w:val="75FB69C0"/>
    <w:multiLevelType w:val="hybridMultilevel"/>
    <w:tmpl w:val="7BD8A5EA"/>
    <w:lvl w:ilvl="0" w:tplc="96E08568">
      <w:numFmt w:val="bullet"/>
      <w:lvlText w:val="·"/>
      <w:lvlJc w:val="left"/>
      <w:pPr>
        <w:ind w:left="765" w:hanging="360"/>
      </w:pPr>
      <w:rPr>
        <w:rFonts w:ascii="Times New Roman" w:eastAsia="Times New Roman" w:hAnsi="Times New Roman" w:cs="Times New Roman" w:hint="default"/>
        <w:sz w:val="24"/>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6" w15:restartNumberingAfterBreak="0">
    <w:nsid w:val="7C13485A"/>
    <w:multiLevelType w:val="hybridMultilevel"/>
    <w:tmpl w:val="6232B7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DE87944"/>
    <w:multiLevelType w:val="multilevel"/>
    <w:tmpl w:val="0C9AEE3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decimal"/>
      <w:lvlText w:val="%2."/>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8" w15:restartNumberingAfterBreak="0">
    <w:nsid w:val="7EE90E26"/>
    <w:multiLevelType w:val="hybridMultilevel"/>
    <w:tmpl w:val="F1865DAA"/>
    <w:lvl w:ilvl="0" w:tplc="96E08568">
      <w:numFmt w:val="bullet"/>
      <w:lvlText w:val="·"/>
      <w:lvlJc w:val="left"/>
      <w:pPr>
        <w:ind w:left="1170" w:hanging="360"/>
      </w:pPr>
      <w:rPr>
        <w:rFonts w:ascii="Times New Roman" w:eastAsia="Times New Roman" w:hAnsi="Times New Roman" w:cs="Times New Roman" w:hint="default"/>
        <w:sz w:val="24"/>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39" w15:restartNumberingAfterBreak="0">
    <w:nsid w:val="7F274B34"/>
    <w:multiLevelType w:val="hybridMultilevel"/>
    <w:tmpl w:val="837CC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FC754E8"/>
    <w:multiLevelType w:val="hybridMultilevel"/>
    <w:tmpl w:val="F56CC7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58942265">
    <w:abstractNumId w:val="29"/>
  </w:num>
  <w:num w:numId="2" w16cid:durableId="1604416313">
    <w:abstractNumId w:val="20"/>
  </w:num>
  <w:num w:numId="3" w16cid:durableId="266738189">
    <w:abstractNumId w:val="23"/>
  </w:num>
  <w:num w:numId="4" w16cid:durableId="166527668">
    <w:abstractNumId w:val="35"/>
  </w:num>
  <w:num w:numId="5" w16cid:durableId="1638607000">
    <w:abstractNumId w:val="38"/>
  </w:num>
  <w:num w:numId="6" w16cid:durableId="253440297">
    <w:abstractNumId w:val="14"/>
  </w:num>
  <w:num w:numId="7" w16cid:durableId="653950160">
    <w:abstractNumId w:val="16"/>
  </w:num>
  <w:num w:numId="8" w16cid:durableId="60980737">
    <w:abstractNumId w:val="26"/>
  </w:num>
  <w:num w:numId="9" w16cid:durableId="1165822658">
    <w:abstractNumId w:val="10"/>
  </w:num>
  <w:num w:numId="10" w16cid:durableId="554321890">
    <w:abstractNumId w:val="32"/>
  </w:num>
  <w:num w:numId="11" w16cid:durableId="1668439465">
    <w:abstractNumId w:val="21"/>
  </w:num>
  <w:num w:numId="12" w16cid:durableId="1543788404">
    <w:abstractNumId w:val="25"/>
  </w:num>
  <w:num w:numId="13" w16cid:durableId="418798045">
    <w:abstractNumId w:val="17"/>
  </w:num>
  <w:num w:numId="14" w16cid:durableId="585265736">
    <w:abstractNumId w:val="36"/>
  </w:num>
  <w:num w:numId="15" w16cid:durableId="1076363456">
    <w:abstractNumId w:val="40"/>
  </w:num>
  <w:num w:numId="16" w16cid:durableId="1074812399">
    <w:abstractNumId w:val="7"/>
  </w:num>
  <w:num w:numId="17" w16cid:durableId="1370299108">
    <w:abstractNumId w:val="18"/>
  </w:num>
  <w:num w:numId="18" w16cid:durableId="606157738">
    <w:abstractNumId w:val="3"/>
  </w:num>
  <w:num w:numId="19" w16cid:durableId="225072649">
    <w:abstractNumId w:val="30"/>
  </w:num>
  <w:num w:numId="20" w16cid:durableId="376049143">
    <w:abstractNumId w:val="9"/>
  </w:num>
  <w:num w:numId="21" w16cid:durableId="1997831782">
    <w:abstractNumId w:val="22"/>
  </w:num>
  <w:num w:numId="22" w16cid:durableId="1962567978">
    <w:abstractNumId w:val="13"/>
  </w:num>
  <w:num w:numId="23" w16cid:durableId="2136869001">
    <w:abstractNumId w:val="8"/>
  </w:num>
  <w:num w:numId="24" w16cid:durableId="405615799">
    <w:abstractNumId w:val="39"/>
  </w:num>
  <w:num w:numId="25" w16cid:durableId="1935743915">
    <w:abstractNumId w:val="4"/>
  </w:num>
  <w:num w:numId="26" w16cid:durableId="99572973">
    <w:abstractNumId w:val="12"/>
  </w:num>
  <w:num w:numId="27" w16cid:durableId="1559434004">
    <w:abstractNumId w:val="5"/>
  </w:num>
  <w:num w:numId="28" w16cid:durableId="1685475532">
    <w:abstractNumId w:val="6"/>
  </w:num>
  <w:num w:numId="29" w16cid:durableId="1483502301">
    <w:abstractNumId w:val="28"/>
  </w:num>
  <w:num w:numId="30" w16cid:durableId="1784809581">
    <w:abstractNumId w:val="33"/>
  </w:num>
  <w:num w:numId="31" w16cid:durableId="1284926438">
    <w:abstractNumId w:val="1"/>
  </w:num>
  <w:num w:numId="32" w16cid:durableId="1000810221">
    <w:abstractNumId w:val="0"/>
  </w:num>
  <w:num w:numId="33" w16cid:durableId="635835032">
    <w:abstractNumId w:val="31"/>
  </w:num>
  <w:num w:numId="34" w16cid:durableId="1041176349">
    <w:abstractNumId w:val="24"/>
  </w:num>
  <w:num w:numId="35" w16cid:durableId="236788149">
    <w:abstractNumId w:val="11"/>
  </w:num>
  <w:num w:numId="36" w16cid:durableId="1494222696">
    <w:abstractNumId w:val="15"/>
  </w:num>
  <w:num w:numId="37" w16cid:durableId="1737048258">
    <w:abstractNumId w:val="19"/>
  </w:num>
  <w:num w:numId="38" w16cid:durableId="675234723">
    <w:abstractNumId w:val="37"/>
  </w:num>
  <w:num w:numId="39" w16cid:durableId="1267540493">
    <w:abstractNumId w:val="2"/>
  </w:num>
  <w:num w:numId="40" w16cid:durableId="1722896635">
    <w:abstractNumId w:val="34"/>
  </w:num>
  <w:num w:numId="41" w16cid:durableId="108915250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61C"/>
    <w:rsid w:val="0000157C"/>
    <w:rsid w:val="00003E3A"/>
    <w:rsid w:val="0000492A"/>
    <w:rsid w:val="000067BB"/>
    <w:rsid w:val="0001402A"/>
    <w:rsid w:val="00014B34"/>
    <w:rsid w:val="0001637C"/>
    <w:rsid w:val="00026B65"/>
    <w:rsid w:val="000305E0"/>
    <w:rsid w:val="00030C32"/>
    <w:rsid w:val="00031828"/>
    <w:rsid w:val="00042198"/>
    <w:rsid w:val="00043CE3"/>
    <w:rsid w:val="00046CF1"/>
    <w:rsid w:val="00046E25"/>
    <w:rsid w:val="000612B8"/>
    <w:rsid w:val="0006629B"/>
    <w:rsid w:val="000713E3"/>
    <w:rsid w:val="00076196"/>
    <w:rsid w:val="00084DCA"/>
    <w:rsid w:val="00086C7D"/>
    <w:rsid w:val="00092884"/>
    <w:rsid w:val="000949BF"/>
    <w:rsid w:val="000A0B10"/>
    <w:rsid w:val="000A27AA"/>
    <w:rsid w:val="000B09D3"/>
    <w:rsid w:val="000B273E"/>
    <w:rsid w:val="000B644C"/>
    <w:rsid w:val="000C03C9"/>
    <w:rsid w:val="000C047A"/>
    <w:rsid w:val="000D1F60"/>
    <w:rsid w:val="000D23D2"/>
    <w:rsid w:val="000D4823"/>
    <w:rsid w:val="000E6503"/>
    <w:rsid w:val="000F169B"/>
    <w:rsid w:val="000F64A6"/>
    <w:rsid w:val="001040EC"/>
    <w:rsid w:val="00107FC1"/>
    <w:rsid w:val="00113940"/>
    <w:rsid w:val="001271EE"/>
    <w:rsid w:val="00131C5B"/>
    <w:rsid w:val="00143FE4"/>
    <w:rsid w:val="00147650"/>
    <w:rsid w:val="0014771F"/>
    <w:rsid w:val="0015186B"/>
    <w:rsid w:val="00153867"/>
    <w:rsid w:val="0015670F"/>
    <w:rsid w:val="00157A4C"/>
    <w:rsid w:val="00160B80"/>
    <w:rsid w:val="00162BE9"/>
    <w:rsid w:val="00172FCA"/>
    <w:rsid w:val="001748A6"/>
    <w:rsid w:val="0018178E"/>
    <w:rsid w:val="0018453B"/>
    <w:rsid w:val="00186049"/>
    <w:rsid w:val="00192FA3"/>
    <w:rsid w:val="001B1C3E"/>
    <w:rsid w:val="001B1F03"/>
    <w:rsid w:val="001B3979"/>
    <w:rsid w:val="001B55DE"/>
    <w:rsid w:val="001C70CF"/>
    <w:rsid w:val="001D1891"/>
    <w:rsid w:val="001E114B"/>
    <w:rsid w:val="001F1723"/>
    <w:rsid w:val="001F38E0"/>
    <w:rsid w:val="001F3F6B"/>
    <w:rsid w:val="002038B0"/>
    <w:rsid w:val="00203EC3"/>
    <w:rsid w:val="002055AC"/>
    <w:rsid w:val="00210C36"/>
    <w:rsid w:val="002133F8"/>
    <w:rsid w:val="00233BB8"/>
    <w:rsid w:val="00235D9E"/>
    <w:rsid w:val="002406E1"/>
    <w:rsid w:val="002477BC"/>
    <w:rsid w:val="002533B0"/>
    <w:rsid w:val="00253E59"/>
    <w:rsid w:val="002548C5"/>
    <w:rsid w:val="002554E8"/>
    <w:rsid w:val="00260441"/>
    <w:rsid w:val="00260A67"/>
    <w:rsid w:val="002672BD"/>
    <w:rsid w:val="00270DC4"/>
    <w:rsid w:val="00285CE2"/>
    <w:rsid w:val="0028732A"/>
    <w:rsid w:val="0029387B"/>
    <w:rsid w:val="002A17E5"/>
    <w:rsid w:val="002A197C"/>
    <w:rsid w:val="002B0649"/>
    <w:rsid w:val="002C314E"/>
    <w:rsid w:val="002C6996"/>
    <w:rsid w:val="002C6FFF"/>
    <w:rsid w:val="002E00D5"/>
    <w:rsid w:val="002E1392"/>
    <w:rsid w:val="002E4BAC"/>
    <w:rsid w:val="002E76AA"/>
    <w:rsid w:val="002F45D3"/>
    <w:rsid w:val="002F5888"/>
    <w:rsid w:val="00300777"/>
    <w:rsid w:val="003040C7"/>
    <w:rsid w:val="0030463E"/>
    <w:rsid w:val="003104BE"/>
    <w:rsid w:val="0031533D"/>
    <w:rsid w:val="0031647C"/>
    <w:rsid w:val="003209AB"/>
    <w:rsid w:val="00350765"/>
    <w:rsid w:val="00350E96"/>
    <w:rsid w:val="0035156D"/>
    <w:rsid w:val="00361531"/>
    <w:rsid w:val="00361EC5"/>
    <w:rsid w:val="0036357E"/>
    <w:rsid w:val="00363EA0"/>
    <w:rsid w:val="00367667"/>
    <w:rsid w:val="0037178A"/>
    <w:rsid w:val="003728E0"/>
    <w:rsid w:val="00384391"/>
    <w:rsid w:val="00384FE2"/>
    <w:rsid w:val="00386774"/>
    <w:rsid w:val="003949E8"/>
    <w:rsid w:val="00395CF8"/>
    <w:rsid w:val="003A1CD6"/>
    <w:rsid w:val="003A4677"/>
    <w:rsid w:val="003B389C"/>
    <w:rsid w:val="003B6B8F"/>
    <w:rsid w:val="003D1F77"/>
    <w:rsid w:val="003D444C"/>
    <w:rsid w:val="003D5E55"/>
    <w:rsid w:val="003D7D3F"/>
    <w:rsid w:val="003F1E79"/>
    <w:rsid w:val="003F2119"/>
    <w:rsid w:val="003F6B64"/>
    <w:rsid w:val="004039E6"/>
    <w:rsid w:val="00405A3C"/>
    <w:rsid w:val="00414ECB"/>
    <w:rsid w:val="0041710D"/>
    <w:rsid w:val="0041740B"/>
    <w:rsid w:val="00420E86"/>
    <w:rsid w:val="00425E38"/>
    <w:rsid w:val="00435939"/>
    <w:rsid w:val="00442E72"/>
    <w:rsid w:val="00446B2A"/>
    <w:rsid w:val="004575E9"/>
    <w:rsid w:val="00466FD3"/>
    <w:rsid w:val="00470C62"/>
    <w:rsid w:val="0047107F"/>
    <w:rsid w:val="004722A7"/>
    <w:rsid w:val="00473FC9"/>
    <w:rsid w:val="00476971"/>
    <w:rsid w:val="00480388"/>
    <w:rsid w:val="00482759"/>
    <w:rsid w:val="004835EC"/>
    <w:rsid w:val="00484199"/>
    <w:rsid w:val="004935C8"/>
    <w:rsid w:val="004937CD"/>
    <w:rsid w:val="00495290"/>
    <w:rsid w:val="00495D9D"/>
    <w:rsid w:val="004A1439"/>
    <w:rsid w:val="004A3AC2"/>
    <w:rsid w:val="004A4C20"/>
    <w:rsid w:val="004A6E49"/>
    <w:rsid w:val="004A787F"/>
    <w:rsid w:val="004B5856"/>
    <w:rsid w:val="004C0AD7"/>
    <w:rsid w:val="004D146E"/>
    <w:rsid w:val="004D3EA3"/>
    <w:rsid w:val="004D5FAE"/>
    <w:rsid w:val="004E081F"/>
    <w:rsid w:val="004E0D31"/>
    <w:rsid w:val="004E24C7"/>
    <w:rsid w:val="004E523A"/>
    <w:rsid w:val="004F157B"/>
    <w:rsid w:val="004F4785"/>
    <w:rsid w:val="0050143D"/>
    <w:rsid w:val="00502468"/>
    <w:rsid w:val="005115C5"/>
    <w:rsid w:val="00511646"/>
    <w:rsid w:val="0052396D"/>
    <w:rsid w:val="00523BD5"/>
    <w:rsid w:val="00531C4A"/>
    <w:rsid w:val="00531F4C"/>
    <w:rsid w:val="00532A16"/>
    <w:rsid w:val="00533BBA"/>
    <w:rsid w:val="005379CF"/>
    <w:rsid w:val="0054216B"/>
    <w:rsid w:val="00543F8B"/>
    <w:rsid w:val="005444DB"/>
    <w:rsid w:val="005457CB"/>
    <w:rsid w:val="00547BF8"/>
    <w:rsid w:val="00552FEB"/>
    <w:rsid w:val="00553149"/>
    <w:rsid w:val="0056095C"/>
    <w:rsid w:val="00565DF3"/>
    <w:rsid w:val="005720BD"/>
    <w:rsid w:val="00572B2D"/>
    <w:rsid w:val="00583926"/>
    <w:rsid w:val="0058587D"/>
    <w:rsid w:val="00593B72"/>
    <w:rsid w:val="00593C2C"/>
    <w:rsid w:val="005945CC"/>
    <w:rsid w:val="00596B53"/>
    <w:rsid w:val="005A7C11"/>
    <w:rsid w:val="005B2A4B"/>
    <w:rsid w:val="005C2365"/>
    <w:rsid w:val="005C5A9E"/>
    <w:rsid w:val="005D6BDE"/>
    <w:rsid w:val="005E1EC5"/>
    <w:rsid w:val="005E6369"/>
    <w:rsid w:val="005F3DF5"/>
    <w:rsid w:val="005F77A2"/>
    <w:rsid w:val="00602ECF"/>
    <w:rsid w:val="0061421B"/>
    <w:rsid w:val="006200BB"/>
    <w:rsid w:val="006203E8"/>
    <w:rsid w:val="006213F7"/>
    <w:rsid w:val="00627BFC"/>
    <w:rsid w:val="0064057C"/>
    <w:rsid w:val="006430EC"/>
    <w:rsid w:val="00645E2D"/>
    <w:rsid w:val="00653FC8"/>
    <w:rsid w:val="00657756"/>
    <w:rsid w:val="00657A9A"/>
    <w:rsid w:val="00666D1D"/>
    <w:rsid w:val="006770C9"/>
    <w:rsid w:val="00681900"/>
    <w:rsid w:val="00683E0C"/>
    <w:rsid w:val="00691AB6"/>
    <w:rsid w:val="00695562"/>
    <w:rsid w:val="006A004A"/>
    <w:rsid w:val="006A2519"/>
    <w:rsid w:val="006A289F"/>
    <w:rsid w:val="006A2AD5"/>
    <w:rsid w:val="006B08B7"/>
    <w:rsid w:val="006B3CB6"/>
    <w:rsid w:val="006C1910"/>
    <w:rsid w:val="006C3ABB"/>
    <w:rsid w:val="006C500D"/>
    <w:rsid w:val="006E1312"/>
    <w:rsid w:val="006E4366"/>
    <w:rsid w:val="006F2038"/>
    <w:rsid w:val="007024FA"/>
    <w:rsid w:val="00712087"/>
    <w:rsid w:val="00712885"/>
    <w:rsid w:val="00724FEF"/>
    <w:rsid w:val="0073131D"/>
    <w:rsid w:val="00734565"/>
    <w:rsid w:val="00737671"/>
    <w:rsid w:val="00740D19"/>
    <w:rsid w:val="007413B0"/>
    <w:rsid w:val="00741EDE"/>
    <w:rsid w:val="00754F8F"/>
    <w:rsid w:val="007554A4"/>
    <w:rsid w:val="0075557A"/>
    <w:rsid w:val="00756AE1"/>
    <w:rsid w:val="00766546"/>
    <w:rsid w:val="0076729C"/>
    <w:rsid w:val="00771D36"/>
    <w:rsid w:val="0077389F"/>
    <w:rsid w:val="0077392D"/>
    <w:rsid w:val="00774270"/>
    <w:rsid w:val="00776B69"/>
    <w:rsid w:val="00780A9B"/>
    <w:rsid w:val="007831D2"/>
    <w:rsid w:val="00784D35"/>
    <w:rsid w:val="007851D7"/>
    <w:rsid w:val="00786621"/>
    <w:rsid w:val="007875BE"/>
    <w:rsid w:val="0078782C"/>
    <w:rsid w:val="0079102E"/>
    <w:rsid w:val="00794486"/>
    <w:rsid w:val="0079560E"/>
    <w:rsid w:val="007A009D"/>
    <w:rsid w:val="007A3F0F"/>
    <w:rsid w:val="007A67FF"/>
    <w:rsid w:val="007A6859"/>
    <w:rsid w:val="007A7A8E"/>
    <w:rsid w:val="007B081B"/>
    <w:rsid w:val="007B5ABF"/>
    <w:rsid w:val="007C77E9"/>
    <w:rsid w:val="007C7ADF"/>
    <w:rsid w:val="007D2622"/>
    <w:rsid w:val="007D3DD7"/>
    <w:rsid w:val="007E19D1"/>
    <w:rsid w:val="007E6B23"/>
    <w:rsid w:val="007F25AA"/>
    <w:rsid w:val="007F33B6"/>
    <w:rsid w:val="007F3B0B"/>
    <w:rsid w:val="00800CD8"/>
    <w:rsid w:val="00802E5A"/>
    <w:rsid w:val="0080762F"/>
    <w:rsid w:val="008131EE"/>
    <w:rsid w:val="008171AF"/>
    <w:rsid w:val="0083035D"/>
    <w:rsid w:val="008341F3"/>
    <w:rsid w:val="008346A0"/>
    <w:rsid w:val="00835E57"/>
    <w:rsid w:val="00840A8B"/>
    <w:rsid w:val="00846686"/>
    <w:rsid w:val="00853FA9"/>
    <w:rsid w:val="00856BB3"/>
    <w:rsid w:val="00861C48"/>
    <w:rsid w:val="0086297D"/>
    <w:rsid w:val="008638A9"/>
    <w:rsid w:val="008701EF"/>
    <w:rsid w:val="00873730"/>
    <w:rsid w:val="00873A18"/>
    <w:rsid w:val="0088003A"/>
    <w:rsid w:val="00883F82"/>
    <w:rsid w:val="00891174"/>
    <w:rsid w:val="008938C8"/>
    <w:rsid w:val="0089434B"/>
    <w:rsid w:val="008A162F"/>
    <w:rsid w:val="008A5845"/>
    <w:rsid w:val="008B22D6"/>
    <w:rsid w:val="008C0C6F"/>
    <w:rsid w:val="008C2115"/>
    <w:rsid w:val="008C223D"/>
    <w:rsid w:val="008C2912"/>
    <w:rsid w:val="008C3231"/>
    <w:rsid w:val="008C4264"/>
    <w:rsid w:val="008C4945"/>
    <w:rsid w:val="008C6951"/>
    <w:rsid w:val="008D5359"/>
    <w:rsid w:val="008D562B"/>
    <w:rsid w:val="008D7897"/>
    <w:rsid w:val="008E0A0A"/>
    <w:rsid w:val="008E12CF"/>
    <w:rsid w:val="008E3676"/>
    <w:rsid w:val="008E503D"/>
    <w:rsid w:val="008F0E8F"/>
    <w:rsid w:val="008F4EF1"/>
    <w:rsid w:val="00904BF9"/>
    <w:rsid w:val="009054B4"/>
    <w:rsid w:val="009060E2"/>
    <w:rsid w:val="00910E41"/>
    <w:rsid w:val="009110B0"/>
    <w:rsid w:val="009214E1"/>
    <w:rsid w:val="00925498"/>
    <w:rsid w:val="00925775"/>
    <w:rsid w:val="00937328"/>
    <w:rsid w:val="00937BEC"/>
    <w:rsid w:val="009414B0"/>
    <w:rsid w:val="00943848"/>
    <w:rsid w:val="009441FB"/>
    <w:rsid w:val="00950DB5"/>
    <w:rsid w:val="00953DA0"/>
    <w:rsid w:val="00956D61"/>
    <w:rsid w:val="0097312F"/>
    <w:rsid w:val="00974A37"/>
    <w:rsid w:val="0098052D"/>
    <w:rsid w:val="00980E6C"/>
    <w:rsid w:val="00985617"/>
    <w:rsid w:val="009870A3"/>
    <w:rsid w:val="00992746"/>
    <w:rsid w:val="009A39A7"/>
    <w:rsid w:val="009A711D"/>
    <w:rsid w:val="009B1FF0"/>
    <w:rsid w:val="009B5B1F"/>
    <w:rsid w:val="009B7BF2"/>
    <w:rsid w:val="009C0C7F"/>
    <w:rsid w:val="009C28FA"/>
    <w:rsid w:val="009C2AD8"/>
    <w:rsid w:val="009C66A9"/>
    <w:rsid w:val="009D090C"/>
    <w:rsid w:val="009D0E8C"/>
    <w:rsid w:val="009D4595"/>
    <w:rsid w:val="009E22C9"/>
    <w:rsid w:val="009E5C16"/>
    <w:rsid w:val="00A0113E"/>
    <w:rsid w:val="00A13E85"/>
    <w:rsid w:val="00A16623"/>
    <w:rsid w:val="00A23284"/>
    <w:rsid w:val="00A31539"/>
    <w:rsid w:val="00A341A8"/>
    <w:rsid w:val="00A34A18"/>
    <w:rsid w:val="00A40A88"/>
    <w:rsid w:val="00A45919"/>
    <w:rsid w:val="00A476A2"/>
    <w:rsid w:val="00A565B2"/>
    <w:rsid w:val="00A73403"/>
    <w:rsid w:val="00A968B7"/>
    <w:rsid w:val="00AA58D2"/>
    <w:rsid w:val="00AB2AF6"/>
    <w:rsid w:val="00AD20C3"/>
    <w:rsid w:val="00AD63B2"/>
    <w:rsid w:val="00AE067D"/>
    <w:rsid w:val="00AE1673"/>
    <w:rsid w:val="00AE7448"/>
    <w:rsid w:val="00B0157C"/>
    <w:rsid w:val="00B063E3"/>
    <w:rsid w:val="00B159B3"/>
    <w:rsid w:val="00B15ED7"/>
    <w:rsid w:val="00B173E1"/>
    <w:rsid w:val="00B20D74"/>
    <w:rsid w:val="00B42950"/>
    <w:rsid w:val="00B449F4"/>
    <w:rsid w:val="00B458FD"/>
    <w:rsid w:val="00B45F9F"/>
    <w:rsid w:val="00B51EAC"/>
    <w:rsid w:val="00B55270"/>
    <w:rsid w:val="00B55FC9"/>
    <w:rsid w:val="00B56D29"/>
    <w:rsid w:val="00B618ED"/>
    <w:rsid w:val="00B65C9A"/>
    <w:rsid w:val="00B75990"/>
    <w:rsid w:val="00B767A4"/>
    <w:rsid w:val="00B906AF"/>
    <w:rsid w:val="00B90DE4"/>
    <w:rsid w:val="00B92C96"/>
    <w:rsid w:val="00B92CBD"/>
    <w:rsid w:val="00BA1A5C"/>
    <w:rsid w:val="00BB4AFE"/>
    <w:rsid w:val="00BB506D"/>
    <w:rsid w:val="00BC5AEA"/>
    <w:rsid w:val="00BD08D0"/>
    <w:rsid w:val="00BD753A"/>
    <w:rsid w:val="00BE2245"/>
    <w:rsid w:val="00BF4115"/>
    <w:rsid w:val="00BF7105"/>
    <w:rsid w:val="00C03226"/>
    <w:rsid w:val="00C14531"/>
    <w:rsid w:val="00C21AFB"/>
    <w:rsid w:val="00C243B6"/>
    <w:rsid w:val="00C27BFE"/>
    <w:rsid w:val="00C31B77"/>
    <w:rsid w:val="00C35F92"/>
    <w:rsid w:val="00C473AB"/>
    <w:rsid w:val="00C47938"/>
    <w:rsid w:val="00C5026D"/>
    <w:rsid w:val="00C51123"/>
    <w:rsid w:val="00C51525"/>
    <w:rsid w:val="00C52E74"/>
    <w:rsid w:val="00C53826"/>
    <w:rsid w:val="00C54C71"/>
    <w:rsid w:val="00C55FB1"/>
    <w:rsid w:val="00C56C58"/>
    <w:rsid w:val="00C56F8C"/>
    <w:rsid w:val="00C615E0"/>
    <w:rsid w:val="00C66F82"/>
    <w:rsid w:val="00C70CC1"/>
    <w:rsid w:val="00C71962"/>
    <w:rsid w:val="00C80552"/>
    <w:rsid w:val="00C809E7"/>
    <w:rsid w:val="00C8181B"/>
    <w:rsid w:val="00C90BD1"/>
    <w:rsid w:val="00CA21C7"/>
    <w:rsid w:val="00CA47E5"/>
    <w:rsid w:val="00CB6605"/>
    <w:rsid w:val="00CB6D94"/>
    <w:rsid w:val="00CC1101"/>
    <w:rsid w:val="00CC57DF"/>
    <w:rsid w:val="00CC70C6"/>
    <w:rsid w:val="00CD006F"/>
    <w:rsid w:val="00CD1545"/>
    <w:rsid w:val="00CD379A"/>
    <w:rsid w:val="00CD3CBE"/>
    <w:rsid w:val="00CD572D"/>
    <w:rsid w:val="00CD6FC1"/>
    <w:rsid w:val="00CE026A"/>
    <w:rsid w:val="00CE0E13"/>
    <w:rsid w:val="00CE506B"/>
    <w:rsid w:val="00CF3F7D"/>
    <w:rsid w:val="00D01122"/>
    <w:rsid w:val="00D17F4C"/>
    <w:rsid w:val="00D211AE"/>
    <w:rsid w:val="00D33CC8"/>
    <w:rsid w:val="00D40C69"/>
    <w:rsid w:val="00D41F65"/>
    <w:rsid w:val="00D438A1"/>
    <w:rsid w:val="00D605EB"/>
    <w:rsid w:val="00D62020"/>
    <w:rsid w:val="00D67183"/>
    <w:rsid w:val="00D706C8"/>
    <w:rsid w:val="00D84844"/>
    <w:rsid w:val="00D96344"/>
    <w:rsid w:val="00DA77DD"/>
    <w:rsid w:val="00DB0010"/>
    <w:rsid w:val="00DB7432"/>
    <w:rsid w:val="00DC0DC3"/>
    <w:rsid w:val="00DD4860"/>
    <w:rsid w:val="00DE59BC"/>
    <w:rsid w:val="00DE5AB0"/>
    <w:rsid w:val="00DE6B7C"/>
    <w:rsid w:val="00DE6B91"/>
    <w:rsid w:val="00DF2E79"/>
    <w:rsid w:val="00DF41F1"/>
    <w:rsid w:val="00DF6A70"/>
    <w:rsid w:val="00DF6ABC"/>
    <w:rsid w:val="00DF7C44"/>
    <w:rsid w:val="00E05097"/>
    <w:rsid w:val="00E12B69"/>
    <w:rsid w:val="00E211AF"/>
    <w:rsid w:val="00E2160C"/>
    <w:rsid w:val="00E24148"/>
    <w:rsid w:val="00E25580"/>
    <w:rsid w:val="00E25C36"/>
    <w:rsid w:val="00E26A2A"/>
    <w:rsid w:val="00E3345C"/>
    <w:rsid w:val="00E33C8C"/>
    <w:rsid w:val="00E4308A"/>
    <w:rsid w:val="00E4761C"/>
    <w:rsid w:val="00E4771A"/>
    <w:rsid w:val="00E47F57"/>
    <w:rsid w:val="00E51467"/>
    <w:rsid w:val="00E55DBC"/>
    <w:rsid w:val="00E57A85"/>
    <w:rsid w:val="00E63D12"/>
    <w:rsid w:val="00E6584D"/>
    <w:rsid w:val="00E72F3E"/>
    <w:rsid w:val="00E74CCC"/>
    <w:rsid w:val="00E74DEC"/>
    <w:rsid w:val="00E83A5C"/>
    <w:rsid w:val="00E83B4D"/>
    <w:rsid w:val="00E8645D"/>
    <w:rsid w:val="00E957D7"/>
    <w:rsid w:val="00E973A9"/>
    <w:rsid w:val="00EA2C5B"/>
    <w:rsid w:val="00EA563F"/>
    <w:rsid w:val="00EB29FF"/>
    <w:rsid w:val="00EB39CA"/>
    <w:rsid w:val="00EB4DED"/>
    <w:rsid w:val="00EC2B5C"/>
    <w:rsid w:val="00EC6354"/>
    <w:rsid w:val="00EC6500"/>
    <w:rsid w:val="00EC75B9"/>
    <w:rsid w:val="00EE7B70"/>
    <w:rsid w:val="00EF368F"/>
    <w:rsid w:val="00EF7CBB"/>
    <w:rsid w:val="00F02539"/>
    <w:rsid w:val="00F151F3"/>
    <w:rsid w:val="00F20C21"/>
    <w:rsid w:val="00F211BF"/>
    <w:rsid w:val="00F308A0"/>
    <w:rsid w:val="00F30A56"/>
    <w:rsid w:val="00F3339E"/>
    <w:rsid w:val="00F333FE"/>
    <w:rsid w:val="00F450C4"/>
    <w:rsid w:val="00F462B4"/>
    <w:rsid w:val="00F46DF3"/>
    <w:rsid w:val="00F513D4"/>
    <w:rsid w:val="00F52D90"/>
    <w:rsid w:val="00F5361E"/>
    <w:rsid w:val="00F5469F"/>
    <w:rsid w:val="00F55681"/>
    <w:rsid w:val="00F61329"/>
    <w:rsid w:val="00F65D30"/>
    <w:rsid w:val="00F7775D"/>
    <w:rsid w:val="00F818BB"/>
    <w:rsid w:val="00F83DE9"/>
    <w:rsid w:val="00F90BCF"/>
    <w:rsid w:val="00FA082E"/>
    <w:rsid w:val="00FA3CDE"/>
    <w:rsid w:val="00FA40DB"/>
    <w:rsid w:val="00FA6D98"/>
    <w:rsid w:val="00FB053C"/>
    <w:rsid w:val="00FB16EA"/>
    <w:rsid w:val="00FB6337"/>
    <w:rsid w:val="00FC6D1B"/>
    <w:rsid w:val="00FD229E"/>
    <w:rsid w:val="00FD666D"/>
    <w:rsid w:val="00FD7567"/>
    <w:rsid w:val="00FE01D5"/>
    <w:rsid w:val="00FE2994"/>
    <w:rsid w:val="00FF0E9C"/>
    <w:rsid w:val="00FF43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B01F7"/>
  <w15:chartTrackingRefBased/>
  <w15:docId w15:val="{6D48B025-B2DB-4E91-BA3F-4FEA8B92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29"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6503"/>
    <w:pPr>
      <w:spacing w:after="200" w:line="276" w:lineRule="auto"/>
    </w:pPr>
    <w:rPr>
      <w:sz w:val="22"/>
      <w:szCs w:val="22"/>
    </w:rPr>
  </w:style>
  <w:style w:type="paragraph" w:styleId="Heading1">
    <w:name w:val="heading 1"/>
    <w:basedOn w:val="Normal"/>
    <w:next w:val="Normal"/>
    <w:link w:val="Heading1Char"/>
    <w:uiPriority w:val="9"/>
    <w:qFormat/>
    <w:rsid w:val="00552F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90B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E523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76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761C"/>
  </w:style>
  <w:style w:type="paragraph" w:styleId="Footer">
    <w:name w:val="footer"/>
    <w:basedOn w:val="Normal"/>
    <w:link w:val="FooterChar"/>
    <w:uiPriority w:val="99"/>
    <w:unhideWhenUsed/>
    <w:rsid w:val="00E476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761C"/>
  </w:style>
  <w:style w:type="character" w:styleId="Hyperlink">
    <w:name w:val="Hyperlink"/>
    <w:unhideWhenUsed/>
    <w:rsid w:val="00425E38"/>
    <w:rPr>
      <w:color w:val="0000FF"/>
      <w:u w:val="single"/>
    </w:rPr>
  </w:style>
  <w:style w:type="paragraph" w:customStyle="1" w:styleId="Default">
    <w:name w:val="Default"/>
    <w:rsid w:val="00E24148"/>
    <w:pPr>
      <w:autoSpaceDE w:val="0"/>
      <w:autoSpaceDN w:val="0"/>
      <w:adjustRightInd w:val="0"/>
    </w:pPr>
    <w:rPr>
      <w:rFonts w:ascii="Arial" w:hAnsi="Arial" w:cs="Arial"/>
      <w:color w:val="000000"/>
      <w:sz w:val="24"/>
      <w:szCs w:val="24"/>
    </w:rPr>
  </w:style>
  <w:style w:type="paragraph" w:customStyle="1" w:styleId="ColorfulList-Accent11">
    <w:name w:val="Colorful List - Accent 11"/>
    <w:basedOn w:val="Normal"/>
    <w:uiPriority w:val="34"/>
    <w:qFormat/>
    <w:rsid w:val="00873730"/>
    <w:pPr>
      <w:ind w:left="720"/>
    </w:pPr>
    <w:rPr>
      <w:rFonts w:eastAsia="Times New Roman" w:cs="Calibri"/>
    </w:rPr>
  </w:style>
  <w:style w:type="character" w:styleId="CommentReference">
    <w:name w:val="annotation reference"/>
    <w:uiPriority w:val="99"/>
    <w:semiHidden/>
    <w:unhideWhenUsed/>
    <w:rsid w:val="00766546"/>
    <w:rPr>
      <w:sz w:val="16"/>
      <w:szCs w:val="16"/>
    </w:rPr>
  </w:style>
  <w:style w:type="paragraph" w:styleId="CommentText">
    <w:name w:val="annotation text"/>
    <w:basedOn w:val="Normal"/>
    <w:link w:val="CommentTextChar"/>
    <w:uiPriority w:val="99"/>
    <w:semiHidden/>
    <w:unhideWhenUsed/>
    <w:rsid w:val="00766546"/>
    <w:pPr>
      <w:spacing w:line="240" w:lineRule="auto"/>
    </w:pPr>
    <w:rPr>
      <w:sz w:val="20"/>
      <w:szCs w:val="20"/>
    </w:rPr>
  </w:style>
  <w:style w:type="character" w:customStyle="1" w:styleId="CommentTextChar">
    <w:name w:val="Comment Text Char"/>
    <w:link w:val="CommentText"/>
    <w:uiPriority w:val="99"/>
    <w:semiHidden/>
    <w:rsid w:val="00766546"/>
    <w:rPr>
      <w:sz w:val="20"/>
      <w:szCs w:val="20"/>
    </w:rPr>
  </w:style>
  <w:style w:type="paragraph" w:styleId="CommentSubject">
    <w:name w:val="annotation subject"/>
    <w:basedOn w:val="CommentText"/>
    <w:next w:val="CommentText"/>
    <w:link w:val="CommentSubjectChar"/>
    <w:uiPriority w:val="99"/>
    <w:semiHidden/>
    <w:unhideWhenUsed/>
    <w:rsid w:val="00766546"/>
    <w:rPr>
      <w:b/>
      <w:bCs/>
    </w:rPr>
  </w:style>
  <w:style w:type="character" w:customStyle="1" w:styleId="CommentSubjectChar">
    <w:name w:val="Comment Subject Char"/>
    <w:link w:val="CommentSubject"/>
    <w:uiPriority w:val="99"/>
    <w:semiHidden/>
    <w:rsid w:val="00766546"/>
    <w:rPr>
      <w:b/>
      <w:bCs/>
      <w:sz w:val="20"/>
      <w:szCs w:val="20"/>
    </w:rPr>
  </w:style>
  <w:style w:type="paragraph" w:styleId="BalloonText">
    <w:name w:val="Balloon Text"/>
    <w:basedOn w:val="Normal"/>
    <w:link w:val="BalloonTextChar"/>
    <w:uiPriority w:val="99"/>
    <w:semiHidden/>
    <w:unhideWhenUsed/>
    <w:rsid w:val="0076654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66546"/>
    <w:rPr>
      <w:rFonts w:ascii="Tahoma" w:hAnsi="Tahoma" w:cs="Tahoma"/>
      <w:sz w:val="16"/>
      <w:szCs w:val="16"/>
    </w:rPr>
  </w:style>
  <w:style w:type="paragraph" w:styleId="NormalWeb">
    <w:name w:val="Normal (Web)"/>
    <w:basedOn w:val="Normal"/>
    <w:uiPriority w:val="99"/>
    <w:rsid w:val="007E19D1"/>
    <w:pPr>
      <w:spacing w:before="100" w:beforeAutospacing="1" w:after="100" w:afterAutospacing="1" w:line="240" w:lineRule="auto"/>
    </w:pPr>
    <w:rPr>
      <w:rFonts w:ascii="Times New Roman" w:eastAsia="Times New Roman" w:hAnsi="Times New Roman"/>
      <w:sz w:val="24"/>
      <w:szCs w:val="24"/>
    </w:rPr>
  </w:style>
  <w:style w:type="paragraph" w:customStyle="1" w:styleId="body-paragraph2">
    <w:name w:val="body-paragraph2"/>
    <w:basedOn w:val="Normal"/>
    <w:rsid w:val="00030C32"/>
    <w:pPr>
      <w:spacing w:after="0" w:line="240" w:lineRule="auto"/>
      <w:ind w:left="720" w:hanging="720"/>
    </w:pPr>
    <w:rPr>
      <w:rFonts w:ascii="Times New Roman" w:eastAsia="Times New Roman" w:hAnsi="Times New Roman"/>
      <w:sz w:val="24"/>
      <w:szCs w:val="24"/>
    </w:rPr>
  </w:style>
  <w:style w:type="character" w:customStyle="1" w:styleId="fnt0">
    <w:name w:val="fnt0"/>
    <w:rsid w:val="000D23D2"/>
    <w:rPr>
      <w:color w:val="000000"/>
      <w:shd w:val="clear" w:color="auto" w:fill="FFFFFF"/>
    </w:rPr>
  </w:style>
  <w:style w:type="character" w:customStyle="1" w:styleId="apple-converted-space">
    <w:name w:val="apple-converted-space"/>
    <w:basedOn w:val="DefaultParagraphFont"/>
    <w:rsid w:val="00E25580"/>
  </w:style>
  <w:style w:type="character" w:styleId="FollowedHyperlink">
    <w:name w:val="FollowedHyperlink"/>
    <w:uiPriority w:val="99"/>
    <w:semiHidden/>
    <w:unhideWhenUsed/>
    <w:rsid w:val="002E4BAC"/>
    <w:rPr>
      <w:color w:val="954F72"/>
      <w:u w:val="single"/>
    </w:rPr>
  </w:style>
  <w:style w:type="character" w:styleId="PageNumber">
    <w:name w:val="page number"/>
    <w:basedOn w:val="DefaultParagraphFont"/>
    <w:uiPriority w:val="99"/>
    <w:semiHidden/>
    <w:unhideWhenUsed/>
    <w:rsid w:val="00C51525"/>
  </w:style>
  <w:style w:type="character" w:styleId="UnresolvedMention">
    <w:name w:val="Unresolved Mention"/>
    <w:uiPriority w:val="47"/>
    <w:rsid w:val="00131C5B"/>
    <w:rPr>
      <w:color w:val="605E5C"/>
      <w:shd w:val="clear" w:color="auto" w:fill="E1DFDD"/>
    </w:rPr>
  </w:style>
  <w:style w:type="paragraph" w:styleId="NoSpacing">
    <w:name w:val="No Spacing"/>
    <w:uiPriority w:val="99"/>
    <w:qFormat/>
    <w:rsid w:val="00683E0C"/>
    <w:rPr>
      <w:sz w:val="22"/>
      <w:szCs w:val="22"/>
    </w:rPr>
  </w:style>
  <w:style w:type="paragraph" w:styleId="Quote">
    <w:name w:val="Quote"/>
    <w:basedOn w:val="Normal"/>
    <w:next w:val="Normal"/>
    <w:link w:val="QuoteChar"/>
    <w:uiPriority w:val="29"/>
    <w:qFormat/>
    <w:rsid w:val="00683E0C"/>
    <w:pPr>
      <w:spacing w:before="160" w:after="160" w:line="278" w:lineRule="auto"/>
      <w:jc w:val="center"/>
    </w:pPr>
    <w:rPr>
      <w:rFonts w:asciiTheme="minorHAnsi" w:eastAsiaTheme="minorHAnsi" w:hAnsiTheme="minorHAnsi" w:cstheme="minorBidi"/>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683E0C"/>
    <w:rPr>
      <w:rFonts w:asciiTheme="minorHAnsi" w:eastAsiaTheme="minorHAnsi" w:hAnsiTheme="minorHAnsi" w:cstheme="minorBidi"/>
      <w:i/>
      <w:iCs/>
      <w:color w:val="404040" w:themeColor="text1" w:themeTint="BF"/>
      <w:kern w:val="2"/>
      <w:sz w:val="24"/>
      <w:szCs w:val="24"/>
      <w14:ligatures w14:val="standardContextual"/>
    </w:rPr>
  </w:style>
  <w:style w:type="paragraph" w:styleId="Caption">
    <w:name w:val="caption"/>
    <w:basedOn w:val="Normal"/>
    <w:next w:val="Normal"/>
    <w:uiPriority w:val="35"/>
    <w:unhideWhenUsed/>
    <w:qFormat/>
    <w:rsid w:val="00B75990"/>
    <w:pPr>
      <w:spacing w:line="240" w:lineRule="auto"/>
    </w:pPr>
    <w:rPr>
      <w:i/>
      <w:iCs/>
      <w:color w:val="44546A" w:themeColor="text2"/>
      <w:sz w:val="18"/>
      <w:szCs w:val="18"/>
    </w:rPr>
  </w:style>
  <w:style w:type="paragraph" w:styleId="ListParagraph">
    <w:name w:val="List Paragraph"/>
    <w:basedOn w:val="Normal"/>
    <w:uiPriority w:val="72"/>
    <w:qFormat/>
    <w:rsid w:val="009A39A7"/>
    <w:pPr>
      <w:ind w:left="720"/>
      <w:contextualSpacing/>
    </w:pPr>
  </w:style>
  <w:style w:type="character" w:styleId="Emphasis">
    <w:name w:val="Emphasis"/>
    <w:basedOn w:val="DefaultParagraphFont"/>
    <w:uiPriority w:val="20"/>
    <w:qFormat/>
    <w:rsid w:val="00EB39CA"/>
    <w:rPr>
      <w:i/>
      <w:iCs/>
    </w:rPr>
  </w:style>
  <w:style w:type="character" w:customStyle="1" w:styleId="Heading3Char">
    <w:name w:val="Heading 3 Char"/>
    <w:basedOn w:val="DefaultParagraphFont"/>
    <w:link w:val="Heading3"/>
    <w:uiPriority w:val="9"/>
    <w:semiHidden/>
    <w:rsid w:val="004E523A"/>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552FE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90BCF"/>
    <w:rPr>
      <w:rFonts w:asciiTheme="majorHAnsi" w:eastAsiaTheme="majorEastAsia" w:hAnsiTheme="majorHAnsi" w:cstheme="majorBidi"/>
      <w:color w:val="2F5496" w:themeColor="accent1" w:themeShade="BF"/>
      <w:sz w:val="26"/>
      <w:szCs w:val="26"/>
    </w:rPr>
  </w:style>
  <w:style w:type="paragraph" w:customStyle="1" w:styleId="H3">
    <w:name w:val="H3"/>
    <w:basedOn w:val="Heading3"/>
    <w:link w:val="H3Char"/>
    <w:qFormat/>
    <w:rsid w:val="0001637C"/>
    <w:pPr>
      <w:spacing w:before="0" w:after="120" w:line="275" w:lineRule="auto"/>
    </w:pPr>
    <w:rPr>
      <w:rFonts w:ascii="Times New Roman" w:eastAsia="Google Sans" w:hAnsi="Times New Roman" w:cs="Times New Roman"/>
    </w:rPr>
  </w:style>
  <w:style w:type="character" w:customStyle="1" w:styleId="H3Char">
    <w:name w:val="H3 Char"/>
    <w:basedOn w:val="Heading3Char"/>
    <w:link w:val="H3"/>
    <w:rsid w:val="0001637C"/>
    <w:rPr>
      <w:rFonts w:ascii="Times New Roman" w:eastAsia="Google Sans" w:hAnsi="Times New Roman"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401288">
      <w:bodyDiv w:val="1"/>
      <w:marLeft w:val="0"/>
      <w:marRight w:val="0"/>
      <w:marTop w:val="0"/>
      <w:marBottom w:val="0"/>
      <w:divBdr>
        <w:top w:val="none" w:sz="0" w:space="0" w:color="auto"/>
        <w:left w:val="none" w:sz="0" w:space="0" w:color="auto"/>
        <w:bottom w:val="none" w:sz="0" w:space="0" w:color="auto"/>
        <w:right w:val="none" w:sz="0" w:space="0" w:color="auto"/>
      </w:divBdr>
    </w:div>
    <w:div w:id="115102760">
      <w:bodyDiv w:val="1"/>
      <w:marLeft w:val="0"/>
      <w:marRight w:val="0"/>
      <w:marTop w:val="0"/>
      <w:marBottom w:val="0"/>
      <w:divBdr>
        <w:top w:val="none" w:sz="0" w:space="0" w:color="auto"/>
        <w:left w:val="none" w:sz="0" w:space="0" w:color="auto"/>
        <w:bottom w:val="none" w:sz="0" w:space="0" w:color="auto"/>
        <w:right w:val="none" w:sz="0" w:space="0" w:color="auto"/>
      </w:divBdr>
    </w:div>
    <w:div w:id="163209340">
      <w:bodyDiv w:val="1"/>
      <w:marLeft w:val="0"/>
      <w:marRight w:val="0"/>
      <w:marTop w:val="0"/>
      <w:marBottom w:val="0"/>
      <w:divBdr>
        <w:top w:val="none" w:sz="0" w:space="0" w:color="auto"/>
        <w:left w:val="none" w:sz="0" w:space="0" w:color="auto"/>
        <w:bottom w:val="none" w:sz="0" w:space="0" w:color="auto"/>
        <w:right w:val="none" w:sz="0" w:space="0" w:color="auto"/>
      </w:divBdr>
    </w:div>
    <w:div w:id="195000599">
      <w:bodyDiv w:val="1"/>
      <w:marLeft w:val="0"/>
      <w:marRight w:val="0"/>
      <w:marTop w:val="0"/>
      <w:marBottom w:val="0"/>
      <w:divBdr>
        <w:top w:val="none" w:sz="0" w:space="0" w:color="auto"/>
        <w:left w:val="none" w:sz="0" w:space="0" w:color="auto"/>
        <w:bottom w:val="none" w:sz="0" w:space="0" w:color="auto"/>
        <w:right w:val="none" w:sz="0" w:space="0" w:color="auto"/>
      </w:divBdr>
    </w:div>
    <w:div w:id="205485487">
      <w:bodyDiv w:val="1"/>
      <w:marLeft w:val="0"/>
      <w:marRight w:val="0"/>
      <w:marTop w:val="0"/>
      <w:marBottom w:val="0"/>
      <w:divBdr>
        <w:top w:val="none" w:sz="0" w:space="0" w:color="auto"/>
        <w:left w:val="none" w:sz="0" w:space="0" w:color="auto"/>
        <w:bottom w:val="none" w:sz="0" w:space="0" w:color="auto"/>
        <w:right w:val="none" w:sz="0" w:space="0" w:color="auto"/>
      </w:divBdr>
    </w:div>
    <w:div w:id="241794195">
      <w:bodyDiv w:val="1"/>
      <w:marLeft w:val="0"/>
      <w:marRight w:val="0"/>
      <w:marTop w:val="0"/>
      <w:marBottom w:val="0"/>
      <w:divBdr>
        <w:top w:val="none" w:sz="0" w:space="0" w:color="auto"/>
        <w:left w:val="none" w:sz="0" w:space="0" w:color="auto"/>
        <w:bottom w:val="none" w:sz="0" w:space="0" w:color="auto"/>
        <w:right w:val="none" w:sz="0" w:space="0" w:color="auto"/>
      </w:divBdr>
    </w:div>
    <w:div w:id="358120816">
      <w:bodyDiv w:val="1"/>
      <w:marLeft w:val="0"/>
      <w:marRight w:val="0"/>
      <w:marTop w:val="0"/>
      <w:marBottom w:val="0"/>
      <w:divBdr>
        <w:top w:val="none" w:sz="0" w:space="0" w:color="auto"/>
        <w:left w:val="none" w:sz="0" w:space="0" w:color="auto"/>
        <w:bottom w:val="none" w:sz="0" w:space="0" w:color="auto"/>
        <w:right w:val="none" w:sz="0" w:space="0" w:color="auto"/>
      </w:divBdr>
    </w:div>
    <w:div w:id="400519053">
      <w:bodyDiv w:val="1"/>
      <w:marLeft w:val="0"/>
      <w:marRight w:val="0"/>
      <w:marTop w:val="0"/>
      <w:marBottom w:val="0"/>
      <w:divBdr>
        <w:top w:val="none" w:sz="0" w:space="0" w:color="auto"/>
        <w:left w:val="none" w:sz="0" w:space="0" w:color="auto"/>
        <w:bottom w:val="none" w:sz="0" w:space="0" w:color="auto"/>
        <w:right w:val="none" w:sz="0" w:space="0" w:color="auto"/>
      </w:divBdr>
    </w:div>
    <w:div w:id="416055202">
      <w:bodyDiv w:val="1"/>
      <w:marLeft w:val="0"/>
      <w:marRight w:val="0"/>
      <w:marTop w:val="0"/>
      <w:marBottom w:val="0"/>
      <w:divBdr>
        <w:top w:val="none" w:sz="0" w:space="0" w:color="auto"/>
        <w:left w:val="none" w:sz="0" w:space="0" w:color="auto"/>
        <w:bottom w:val="none" w:sz="0" w:space="0" w:color="auto"/>
        <w:right w:val="none" w:sz="0" w:space="0" w:color="auto"/>
      </w:divBdr>
    </w:div>
    <w:div w:id="437067426">
      <w:bodyDiv w:val="1"/>
      <w:marLeft w:val="0"/>
      <w:marRight w:val="0"/>
      <w:marTop w:val="0"/>
      <w:marBottom w:val="0"/>
      <w:divBdr>
        <w:top w:val="none" w:sz="0" w:space="0" w:color="auto"/>
        <w:left w:val="none" w:sz="0" w:space="0" w:color="auto"/>
        <w:bottom w:val="none" w:sz="0" w:space="0" w:color="auto"/>
        <w:right w:val="none" w:sz="0" w:space="0" w:color="auto"/>
      </w:divBdr>
    </w:div>
    <w:div w:id="458959684">
      <w:bodyDiv w:val="1"/>
      <w:marLeft w:val="0"/>
      <w:marRight w:val="0"/>
      <w:marTop w:val="0"/>
      <w:marBottom w:val="0"/>
      <w:divBdr>
        <w:top w:val="none" w:sz="0" w:space="0" w:color="auto"/>
        <w:left w:val="none" w:sz="0" w:space="0" w:color="auto"/>
        <w:bottom w:val="none" w:sz="0" w:space="0" w:color="auto"/>
        <w:right w:val="none" w:sz="0" w:space="0" w:color="auto"/>
      </w:divBdr>
      <w:divsChild>
        <w:div w:id="1318537306">
          <w:blockQuote w:val="1"/>
          <w:marLeft w:val="720"/>
          <w:marRight w:val="720"/>
          <w:marTop w:val="100"/>
          <w:marBottom w:val="100"/>
          <w:divBdr>
            <w:top w:val="none" w:sz="0" w:space="0" w:color="auto"/>
            <w:left w:val="none" w:sz="0" w:space="0" w:color="auto"/>
            <w:bottom w:val="none" w:sz="0" w:space="0" w:color="auto"/>
            <w:right w:val="none" w:sz="0" w:space="0" w:color="auto"/>
          </w:divBdr>
        </w:div>
        <w:div w:id="8906559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9461937">
      <w:bodyDiv w:val="1"/>
      <w:marLeft w:val="0"/>
      <w:marRight w:val="0"/>
      <w:marTop w:val="0"/>
      <w:marBottom w:val="0"/>
      <w:divBdr>
        <w:top w:val="none" w:sz="0" w:space="0" w:color="auto"/>
        <w:left w:val="none" w:sz="0" w:space="0" w:color="auto"/>
        <w:bottom w:val="none" w:sz="0" w:space="0" w:color="auto"/>
        <w:right w:val="none" w:sz="0" w:space="0" w:color="auto"/>
      </w:divBdr>
    </w:div>
    <w:div w:id="510797727">
      <w:bodyDiv w:val="1"/>
      <w:marLeft w:val="0"/>
      <w:marRight w:val="0"/>
      <w:marTop w:val="0"/>
      <w:marBottom w:val="0"/>
      <w:divBdr>
        <w:top w:val="none" w:sz="0" w:space="0" w:color="auto"/>
        <w:left w:val="none" w:sz="0" w:space="0" w:color="auto"/>
        <w:bottom w:val="none" w:sz="0" w:space="0" w:color="auto"/>
        <w:right w:val="none" w:sz="0" w:space="0" w:color="auto"/>
      </w:divBdr>
    </w:div>
    <w:div w:id="602958868">
      <w:bodyDiv w:val="1"/>
      <w:marLeft w:val="0"/>
      <w:marRight w:val="0"/>
      <w:marTop w:val="0"/>
      <w:marBottom w:val="0"/>
      <w:divBdr>
        <w:top w:val="none" w:sz="0" w:space="0" w:color="auto"/>
        <w:left w:val="none" w:sz="0" w:space="0" w:color="auto"/>
        <w:bottom w:val="none" w:sz="0" w:space="0" w:color="auto"/>
        <w:right w:val="none" w:sz="0" w:space="0" w:color="auto"/>
      </w:divBdr>
    </w:div>
    <w:div w:id="628510613">
      <w:bodyDiv w:val="1"/>
      <w:marLeft w:val="0"/>
      <w:marRight w:val="0"/>
      <w:marTop w:val="0"/>
      <w:marBottom w:val="0"/>
      <w:divBdr>
        <w:top w:val="none" w:sz="0" w:space="0" w:color="auto"/>
        <w:left w:val="none" w:sz="0" w:space="0" w:color="auto"/>
        <w:bottom w:val="none" w:sz="0" w:space="0" w:color="auto"/>
        <w:right w:val="none" w:sz="0" w:space="0" w:color="auto"/>
      </w:divBdr>
      <w:divsChild>
        <w:div w:id="2021085088">
          <w:blockQuote w:val="1"/>
          <w:marLeft w:val="720"/>
          <w:marRight w:val="720"/>
          <w:marTop w:val="100"/>
          <w:marBottom w:val="100"/>
          <w:divBdr>
            <w:top w:val="none" w:sz="0" w:space="0" w:color="auto"/>
            <w:left w:val="none" w:sz="0" w:space="0" w:color="auto"/>
            <w:bottom w:val="none" w:sz="0" w:space="0" w:color="auto"/>
            <w:right w:val="none" w:sz="0" w:space="0" w:color="auto"/>
          </w:divBdr>
        </w:div>
        <w:div w:id="1070885577">
          <w:blockQuote w:val="1"/>
          <w:marLeft w:val="720"/>
          <w:marRight w:val="720"/>
          <w:marTop w:val="100"/>
          <w:marBottom w:val="100"/>
          <w:divBdr>
            <w:top w:val="none" w:sz="0" w:space="0" w:color="auto"/>
            <w:left w:val="none" w:sz="0" w:space="0" w:color="auto"/>
            <w:bottom w:val="none" w:sz="0" w:space="0" w:color="auto"/>
            <w:right w:val="none" w:sz="0" w:space="0" w:color="auto"/>
          </w:divBdr>
        </w:div>
        <w:div w:id="1508329103">
          <w:blockQuote w:val="1"/>
          <w:marLeft w:val="720"/>
          <w:marRight w:val="720"/>
          <w:marTop w:val="100"/>
          <w:marBottom w:val="100"/>
          <w:divBdr>
            <w:top w:val="none" w:sz="0" w:space="0" w:color="auto"/>
            <w:left w:val="none" w:sz="0" w:space="0" w:color="auto"/>
            <w:bottom w:val="none" w:sz="0" w:space="0" w:color="auto"/>
            <w:right w:val="none" w:sz="0" w:space="0" w:color="auto"/>
          </w:divBdr>
        </w:div>
        <w:div w:id="1926256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9774684">
      <w:bodyDiv w:val="1"/>
      <w:marLeft w:val="0"/>
      <w:marRight w:val="0"/>
      <w:marTop w:val="0"/>
      <w:marBottom w:val="0"/>
      <w:divBdr>
        <w:top w:val="none" w:sz="0" w:space="0" w:color="auto"/>
        <w:left w:val="none" w:sz="0" w:space="0" w:color="auto"/>
        <w:bottom w:val="none" w:sz="0" w:space="0" w:color="auto"/>
        <w:right w:val="none" w:sz="0" w:space="0" w:color="auto"/>
      </w:divBdr>
    </w:div>
    <w:div w:id="655107876">
      <w:bodyDiv w:val="1"/>
      <w:marLeft w:val="0"/>
      <w:marRight w:val="0"/>
      <w:marTop w:val="0"/>
      <w:marBottom w:val="0"/>
      <w:divBdr>
        <w:top w:val="none" w:sz="0" w:space="0" w:color="auto"/>
        <w:left w:val="none" w:sz="0" w:space="0" w:color="auto"/>
        <w:bottom w:val="none" w:sz="0" w:space="0" w:color="auto"/>
        <w:right w:val="none" w:sz="0" w:space="0" w:color="auto"/>
      </w:divBdr>
    </w:div>
    <w:div w:id="663555045">
      <w:bodyDiv w:val="1"/>
      <w:marLeft w:val="0"/>
      <w:marRight w:val="0"/>
      <w:marTop w:val="0"/>
      <w:marBottom w:val="0"/>
      <w:divBdr>
        <w:top w:val="none" w:sz="0" w:space="0" w:color="auto"/>
        <w:left w:val="none" w:sz="0" w:space="0" w:color="auto"/>
        <w:bottom w:val="none" w:sz="0" w:space="0" w:color="auto"/>
        <w:right w:val="none" w:sz="0" w:space="0" w:color="auto"/>
      </w:divBdr>
    </w:div>
    <w:div w:id="668484847">
      <w:bodyDiv w:val="1"/>
      <w:marLeft w:val="0"/>
      <w:marRight w:val="0"/>
      <w:marTop w:val="0"/>
      <w:marBottom w:val="0"/>
      <w:divBdr>
        <w:top w:val="none" w:sz="0" w:space="0" w:color="auto"/>
        <w:left w:val="none" w:sz="0" w:space="0" w:color="auto"/>
        <w:bottom w:val="none" w:sz="0" w:space="0" w:color="auto"/>
        <w:right w:val="none" w:sz="0" w:space="0" w:color="auto"/>
      </w:divBdr>
    </w:div>
    <w:div w:id="720322107">
      <w:bodyDiv w:val="1"/>
      <w:marLeft w:val="0"/>
      <w:marRight w:val="0"/>
      <w:marTop w:val="0"/>
      <w:marBottom w:val="0"/>
      <w:divBdr>
        <w:top w:val="none" w:sz="0" w:space="0" w:color="auto"/>
        <w:left w:val="none" w:sz="0" w:space="0" w:color="auto"/>
        <w:bottom w:val="none" w:sz="0" w:space="0" w:color="auto"/>
        <w:right w:val="none" w:sz="0" w:space="0" w:color="auto"/>
      </w:divBdr>
    </w:div>
    <w:div w:id="751203853">
      <w:bodyDiv w:val="1"/>
      <w:marLeft w:val="0"/>
      <w:marRight w:val="0"/>
      <w:marTop w:val="0"/>
      <w:marBottom w:val="0"/>
      <w:divBdr>
        <w:top w:val="none" w:sz="0" w:space="0" w:color="auto"/>
        <w:left w:val="none" w:sz="0" w:space="0" w:color="auto"/>
        <w:bottom w:val="none" w:sz="0" w:space="0" w:color="auto"/>
        <w:right w:val="none" w:sz="0" w:space="0" w:color="auto"/>
      </w:divBdr>
    </w:div>
    <w:div w:id="789126332">
      <w:bodyDiv w:val="1"/>
      <w:marLeft w:val="0"/>
      <w:marRight w:val="0"/>
      <w:marTop w:val="0"/>
      <w:marBottom w:val="0"/>
      <w:divBdr>
        <w:top w:val="none" w:sz="0" w:space="0" w:color="auto"/>
        <w:left w:val="none" w:sz="0" w:space="0" w:color="auto"/>
        <w:bottom w:val="none" w:sz="0" w:space="0" w:color="auto"/>
        <w:right w:val="none" w:sz="0" w:space="0" w:color="auto"/>
      </w:divBdr>
      <w:divsChild>
        <w:div w:id="1358848935">
          <w:marLeft w:val="0"/>
          <w:marRight w:val="0"/>
          <w:marTop w:val="0"/>
          <w:marBottom w:val="0"/>
          <w:divBdr>
            <w:top w:val="none" w:sz="0" w:space="0" w:color="auto"/>
            <w:left w:val="none" w:sz="0" w:space="0" w:color="auto"/>
            <w:bottom w:val="none" w:sz="0" w:space="0" w:color="auto"/>
            <w:right w:val="none" w:sz="0" w:space="0" w:color="auto"/>
          </w:divBdr>
          <w:divsChild>
            <w:div w:id="1819953713">
              <w:marLeft w:val="0"/>
              <w:marRight w:val="0"/>
              <w:marTop w:val="0"/>
              <w:marBottom w:val="0"/>
              <w:divBdr>
                <w:top w:val="none" w:sz="0" w:space="0" w:color="auto"/>
                <w:left w:val="none" w:sz="0" w:space="0" w:color="auto"/>
                <w:bottom w:val="none" w:sz="0" w:space="0" w:color="auto"/>
                <w:right w:val="none" w:sz="0" w:space="0" w:color="auto"/>
              </w:divBdr>
              <w:divsChild>
                <w:div w:id="220676814">
                  <w:marLeft w:val="0"/>
                  <w:marRight w:val="0"/>
                  <w:marTop w:val="0"/>
                  <w:marBottom w:val="0"/>
                  <w:divBdr>
                    <w:top w:val="none" w:sz="0" w:space="0" w:color="auto"/>
                    <w:left w:val="none" w:sz="0" w:space="0" w:color="auto"/>
                    <w:bottom w:val="none" w:sz="0" w:space="0" w:color="auto"/>
                    <w:right w:val="none" w:sz="0" w:space="0" w:color="auto"/>
                  </w:divBdr>
                  <w:divsChild>
                    <w:div w:id="632566738">
                      <w:marLeft w:val="0"/>
                      <w:marRight w:val="0"/>
                      <w:marTop w:val="0"/>
                      <w:marBottom w:val="0"/>
                      <w:divBdr>
                        <w:top w:val="none" w:sz="0" w:space="0" w:color="auto"/>
                        <w:left w:val="none" w:sz="0" w:space="0" w:color="auto"/>
                        <w:bottom w:val="none" w:sz="0" w:space="0" w:color="auto"/>
                        <w:right w:val="none" w:sz="0" w:space="0" w:color="auto"/>
                      </w:divBdr>
                      <w:divsChild>
                        <w:div w:id="2089039630">
                          <w:marLeft w:val="0"/>
                          <w:marRight w:val="0"/>
                          <w:marTop w:val="0"/>
                          <w:marBottom w:val="0"/>
                          <w:divBdr>
                            <w:top w:val="none" w:sz="0" w:space="0" w:color="auto"/>
                            <w:left w:val="none" w:sz="0" w:space="0" w:color="auto"/>
                            <w:bottom w:val="none" w:sz="0" w:space="0" w:color="auto"/>
                            <w:right w:val="none" w:sz="0" w:space="0" w:color="auto"/>
                          </w:divBdr>
                          <w:divsChild>
                            <w:div w:id="1210922785">
                              <w:marLeft w:val="0"/>
                              <w:marRight w:val="0"/>
                              <w:marTop w:val="0"/>
                              <w:marBottom w:val="0"/>
                              <w:divBdr>
                                <w:top w:val="none" w:sz="0" w:space="0" w:color="auto"/>
                                <w:left w:val="none" w:sz="0" w:space="0" w:color="auto"/>
                                <w:bottom w:val="none" w:sz="0" w:space="0" w:color="auto"/>
                                <w:right w:val="none" w:sz="0" w:space="0" w:color="auto"/>
                              </w:divBdr>
                              <w:divsChild>
                                <w:div w:id="46147525">
                                  <w:marLeft w:val="0"/>
                                  <w:marRight w:val="0"/>
                                  <w:marTop w:val="0"/>
                                  <w:marBottom w:val="0"/>
                                  <w:divBdr>
                                    <w:top w:val="none" w:sz="0" w:space="0" w:color="auto"/>
                                    <w:left w:val="none" w:sz="0" w:space="0" w:color="auto"/>
                                    <w:bottom w:val="none" w:sz="0" w:space="0" w:color="auto"/>
                                    <w:right w:val="none" w:sz="0" w:space="0" w:color="auto"/>
                                  </w:divBdr>
                                  <w:divsChild>
                                    <w:div w:id="2333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10218">
                          <w:marLeft w:val="0"/>
                          <w:marRight w:val="0"/>
                          <w:marTop w:val="0"/>
                          <w:marBottom w:val="0"/>
                          <w:divBdr>
                            <w:top w:val="none" w:sz="0" w:space="0" w:color="auto"/>
                            <w:left w:val="none" w:sz="0" w:space="0" w:color="auto"/>
                            <w:bottom w:val="none" w:sz="0" w:space="0" w:color="auto"/>
                            <w:right w:val="none" w:sz="0" w:space="0" w:color="auto"/>
                          </w:divBdr>
                          <w:divsChild>
                            <w:div w:id="370493899">
                              <w:marLeft w:val="0"/>
                              <w:marRight w:val="0"/>
                              <w:marTop w:val="0"/>
                              <w:marBottom w:val="0"/>
                              <w:divBdr>
                                <w:top w:val="none" w:sz="0" w:space="0" w:color="auto"/>
                                <w:left w:val="none" w:sz="0" w:space="0" w:color="auto"/>
                                <w:bottom w:val="none" w:sz="0" w:space="0" w:color="auto"/>
                                <w:right w:val="none" w:sz="0" w:space="0" w:color="auto"/>
                              </w:divBdr>
                              <w:divsChild>
                                <w:div w:id="58642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7067719">
      <w:bodyDiv w:val="1"/>
      <w:marLeft w:val="0"/>
      <w:marRight w:val="0"/>
      <w:marTop w:val="0"/>
      <w:marBottom w:val="0"/>
      <w:divBdr>
        <w:top w:val="none" w:sz="0" w:space="0" w:color="auto"/>
        <w:left w:val="none" w:sz="0" w:space="0" w:color="auto"/>
        <w:bottom w:val="none" w:sz="0" w:space="0" w:color="auto"/>
        <w:right w:val="none" w:sz="0" w:space="0" w:color="auto"/>
      </w:divBdr>
      <w:divsChild>
        <w:div w:id="1109081463">
          <w:marLeft w:val="0"/>
          <w:marRight w:val="0"/>
          <w:marTop w:val="0"/>
          <w:marBottom w:val="0"/>
          <w:divBdr>
            <w:top w:val="none" w:sz="0" w:space="0" w:color="auto"/>
            <w:left w:val="none" w:sz="0" w:space="0" w:color="auto"/>
            <w:bottom w:val="none" w:sz="0" w:space="0" w:color="auto"/>
            <w:right w:val="none" w:sz="0" w:space="0" w:color="auto"/>
          </w:divBdr>
        </w:div>
        <w:div w:id="355234823">
          <w:marLeft w:val="0"/>
          <w:marRight w:val="0"/>
          <w:marTop w:val="0"/>
          <w:marBottom w:val="0"/>
          <w:divBdr>
            <w:top w:val="none" w:sz="0" w:space="0" w:color="auto"/>
            <w:left w:val="none" w:sz="0" w:space="0" w:color="auto"/>
            <w:bottom w:val="none" w:sz="0" w:space="0" w:color="auto"/>
            <w:right w:val="none" w:sz="0" w:space="0" w:color="auto"/>
          </w:divBdr>
        </w:div>
        <w:div w:id="1297563523">
          <w:marLeft w:val="0"/>
          <w:marRight w:val="0"/>
          <w:marTop w:val="0"/>
          <w:marBottom w:val="0"/>
          <w:divBdr>
            <w:top w:val="none" w:sz="0" w:space="0" w:color="auto"/>
            <w:left w:val="none" w:sz="0" w:space="0" w:color="auto"/>
            <w:bottom w:val="none" w:sz="0" w:space="0" w:color="auto"/>
            <w:right w:val="none" w:sz="0" w:space="0" w:color="auto"/>
          </w:divBdr>
        </w:div>
      </w:divsChild>
    </w:div>
    <w:div w:id="883639039">
      <w:bodyDiv w:val="1"/>
      <w:marLeft w:val="0"/>
      <w:marRight w:val="0"/>
      <w:marTop w:val="0"/>
      <w:marBottom w:val="0"/>
      <w:divBdr>
        <w:top w:val="none" w:sz="0" w:space="0" w:color="auto"/>
        <w:left w:val="none" w:sz="0" w:space="0" w:color="auto"/>
        <w:bottom w:val="none" w:sz="0" w:space="0" w:color="auto"/>
        <w:right w:val="none" w:sz="0" w:space="0" w:color="auto"/>
      </w:divBdr>
    </w:div>
    <w:div w:id="890189350">
      <w:bodyDiv w:val="1"/>
      <w:marLeft w:val="0"/>
      <w:marRight w:val="0"/>
      <w:marTop w:val="0"/>
      <w:marBottom w:val="0"/>
      <w:divBdr>
        <w:top w:val="none" w:sz="0" w:space="0" w:color="auto"/>
        <w:left w:val="none" w:sz="0" w:space="0" w:color="auto"/>
        <w:bottom w:val="none" w:sz="0" w:space="0" w:color="auto"/>
        <w:right w:val="none" w:sz="0" w:space="0" w:color="auto"/>
      </w:divBdr>
    </w:div>
    <w:div w:id="952129364">
      <w:bodyDiv w:val="1"/>
      <w:marLeft w:val="0"/>
      <w:marRight w:val="0"/>
      <w:marTop w:val="0"/>
      <w:marBottom w:val="0"/>
      <w:divBdr>
        <w:top w:val="none" w:sz="0" w:space="0" w:color="auto"/>
        <w:left w:val="none" w:sz="0" w:space="0" w:color="auto"/>
        <w:bottom w:val="none" w:sz="0" w:space="0" w:color="auto"/>
        <w:right w:val="none" w:sz="0" w:space="0" w:color="auto"/>
      </w:divBdr>
    </w:div>
    <w:div w:id="968054146">
      <w:bodyDiv w:val="1"/>
      <w:marLeft w:val="0"/>
      <w:marRight w:val="0"/>
      <w:marTop w:val="0"/>
      <w:marBottom w:val="0"/>
      <w:divBdr>
        <w:top w:val="none" w:sz="0" w:space="0" w:color="auto"/>
        <w:left w:val="none" w:sz="0" w:space="0" w:color="auto"/>
        <w:bottom w:val="none" w:sz="0" w:space="0" w:color="auto"/>
        <w:right w:val="none" w:sz="0" w:space="0" w:color="auto"/>
      </w:divBdr>
      <w:divsChild>
        <w:div w:id="2026587846">
          <w:marLeft w:val="0"/>
          <w:marRight w:val="0"/>
          <w:marTop w:val="0"/>
          <w:marBottom w:val="0"/>
          <w:divBdr>
            <w:top w:val="none" w:sz="0" w:space="0" w:color="auto"/>
            <w:left w:val="none" w:sz="0" w:space="0" w:color="auto"/>
            <w:bottom w:val="none" w:sz="0" w:space="0" w:color="auto"/>
            <w:right w:val="none" w:sz="0" w:space="0" w:color="auto"/>
          </w:divBdr>
          <w:divsChild>
            <w:div w:id="199631133">
              <w:marLeft w:val="0"/>
              <w:marRight w:val="0"/>
              <w:marTop w:val="0"/>
              <w:marBottom w:val="0"/>
              <w:divBdr>
                <w:top w:val="none" w:sz="0" w:space="0" w:color="auto"/>
                <w:left w:val="none" w:sz="0" w:space="0" w:color="auto"/>
                <w:bottom w:val="none" w:sz="0" w:space="0" w:color="auto"/>
                <w:right w:val="none" w:sz="0" w:space="0" w:color="auto"/>
              </w:divBdr>
              <w:divsChild>
                <w:div w:id="1649088644">
                  <w:marLeft w:val="0"/>
                  <w:marRight w:val="0"/>
                  <w:marTop w:val="0"/>
                  <w:marBottom w:val="0"/>
                  <w:divBdr>
                    <w:top w:val="none" w:sz="0" w:space="0" w:color="auto"/>
                    <w:left w:val="none" w:sz="0" w:space="0" w:color="auto"/>
                    <w:bottom w:val="none" w:sz="0" w:space="0" w:color="auto"/>
                    <w:right w:val="none" w:sz="0" w:space="0" w:color="auto"/>
                  </w:divBdr>
                  <w:divsChild>
                    <w:div w:id="153472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0915605">
      <w:bodyDiv w:val="1"/>
      <w:marLeft w:val="0"/>
      <w:marRight w:val="0"/>
      <w:marTop w:val="0"/>
      <w:marBottom w:val="0"/>
      <w:divBdr>
        <w:top w:val="none" w:sz="0" w:space="0" w:color="auto"/>
        <w:left w:val="none" w:sz="0" w:space="0" w:color="auto"/>
        <w:bottom w:val="none" w:sz="0" w:space="0" w:color="auto"/>
        <w:right w:val="none" w:sz="0" w:space="0" w:color="auto"/>
      </w:divBdr>
    </w:div>
    <w:div w:id="1031303701">
      <w:bodyDiv w:val="1"/>
      <w:marLeft w:val="0"/>
      <w:marRight w:val="0"/>
      <w:marTop w:val="0"/>
      <w:marBottom w:val="0"/>
      <w:divBdr>
        <w:top w:val="none" w:sz="0" w:space="0" w:color="auto"/>
        <w:left w:val="none" w:sz="0" w:space="0" w:color="auto"/>
        <w:bottom w:val="none" w:sz="0" w:space="0" w:color="auto"/>
        <w:right w:val="none" w:sz="0" w:space="0" w:color="auto"/>
      </w:divBdr>
    </w:div>
    <w:div w:id="1085031079">
      <w:bodyDiv w:val="1"/>
      <w:marLeft w:val="0"/>
      <w:marRight w:val="0"/>
      <w:marTop w:val="0"/>
      <w:marBottom w:val="0"/>
      <w:divBdr>
        <w:top w:val="none" w:sz="0" w:space="0" w:color="auto"/>
        <w:left w:val="none" w:sz="0" w:space="0" w:color="auto"/>
        <w:bottom w:val="none" w:sz="0" w:space="0" w:color="auto"/>
        <w:right w:val="none" w:sz="0" w:space="0" w:color="auto"/>
      </w:divBdr>
    </w:div>
    <w:div w:id="1101343547">
      <w:bodyDiv w:val="1"/>
      <w:marLeft w:val="0"/>
      <w:marRight w:val="0"/>
      <w:marTop w:val="0"/>
      <w:marBottom w:val="0"/>
      <w:divBdr>
        <w:top w:val="none" w:sz="0" w:space="0" w:color="auto"/>
        <w:left w:val="none" w:sz="0" w:space="0" w:color="auto"/>
        <w:bottom w:val="none" w:sz="0" w:space="0" w:color="auto"/>
        <w:right w:val="none" w:sz="0" w:space="0" w:color="auto"/>
      </w:divBdr>
    </w:div>
    <w:div w:id="1109617117">
      <w:bodyDiv w:val="1"/>
      <w:marLeft w:val="0"/>
      <w:marRight w:val="0"/>
      <w:marTop w:val="0"/>
      <w:marBottom w:val="0"/>
      <w:divBdr>
        <w:top w:val="none" w:sz="0" w:space="0" w:color="auto"/>
        <w:left w:val="none" w:sz="0" w:space="0" w:color="auto"/>
        <w:bottom w:val="none" w:sz="0" w:space="0" w:color="auto"/>
        <w:right w:val="none" w:sz="0" w:space="0" w:color="auto"/>
      </w:divBdr>
    </w:div>
    <w:div w:id="1184786862">
      <w:bodyDiv w:val="1"/>
      <w:marLeft w:val="0"/>
      <w:marRight w:val="0"/>
      <w:marTop w:val="0"/>
      <w:marBottom w:val="0"/>
      <w:divBdr>
        <w:top w:val="none" w:sz="0" w:space="0" w:color="auto"/>
        <w:left w:val="none" w:sz="0" w:space="0" w:color="auto"/>
        <w:bottom w:val="none" w:sz="0" w:space="0" w:color="auto"/>
        <w:right w:val="none" w:sz="0" w:space="0" w:color="auto"/>
      </w:divBdr>
    </w:div>
    <w:div w:id="1208644944">
      <w:bodyDiv w:val="1"/>
      <w:marLeft w:val="0"/>
      <w:marRight w:val="0"/>
      <w:marTop w:val="0"/>
      <w:marBottom w:val="0"/>
      <w:divBdr>
        <w:top w:val="none" w:sz="0" w:space="0" w:color="auto"/>
        <w:left w:val="none" w:sz="0" w:space="0" w:color="auto"/>
        <w:bottom w:val="none" w:sz="0" w:space="0" w:color="auto"/>
        <w:right w:val="none" w:sz="0" w:space="0" w:color="auto"/>
      </w:divBdr>
    </w:div>
    <w:div w:id="1229921748">
      <w:bodyDiv w:val="1"/>
      <w:marLeft w:val="0"/>
      <w:marRight w:val="0"/>
      <w:marTop w:val="0"/>
      <w:marBottom w:val="0"/>
      <w:divBdr>
        <w:top w:val="none" w:sz="0" w:space="0" w:color="auto"/>
        <w:left w:val="none" w:sz="0" w:space="0" w:color="auto"/>
        <w:bottom w:val="none" w:sz="0" w:space="0" w:color="auto"/>
        <w:right w:val="none" w:sz="0" w:space="0" w:color="auto"/>
      </w:divBdr>
    </w:div>
    <w:div w:id="1231845130">
      <w:bodyDiv w:val="1"/>
      <w:marLeft w:val="0"/>
      <w:marRight w:val="0"/>
      <w:marTop w:val="0"/>
      <w:marBottom w:val="0"/>
      <w:divBdr>
        <w:top w:val="none" w:sz="0" w:space="0" w:color="auto"/>
        <w:left w:val="none" w:sz="0" w:space="0" w:color="auto"/>
        <w:bottom w:val="none" w:sz="0" w:space="0" w:color="auto"/>
        <w:right w:val="none" w:sz="0" w:space="0" w:color="auto"/>
      </w:divBdr>
    </w:div>
    <w:div w:id="1235119795">
      <w:bodyDiv w:val="1"/>
      <w:marLeft w:val="0"/>
      <w:marRight w:val="0"/>
      <w:marTop w:val="0"/>
      <w:marBottom w:val="0"/>
      <w:divBdr>
        <w:top w:val="none" w:sz="0" w:space="0" w:color="auto"/>
        <w:left w:val="none" w:sz="0" w:space="0" w:color="auto"/>
        <w:bottom w:val="none" w:sz="0" w:space="0" w:color="auto"/>
        <w:right w:val="none" w:sz="0" w:space="0" w:color="auto"/>
      </w:divBdr>
      <w:divsChild>
        <w:div w:id="1925647406">
          <w:marLeft w:val="0"/>
          <w:marRight w:val="0"/>
          <w:marTop w:val="0"/>
          <w:marBottom w:val="0"/>
          <w:divBdr>
            <w:top w:val="none" w:sz="0" w:space="0" w:color="auto"/>
            <w:left w:val="none" w:sz="0" w:space="0" w:color="auto"/>
            <w:bottom w:val="none" w:sz="0" w:space="0" w:color="auto"/>
            <w:right w:val="none" w:sz="0" w:space="0" w:color="auto"/>
          </w:divBdr>
          <w:divsChild>
            <w:div w:id="1095783529">
              <w:marLeft w:val="0"/>
              <w:marRight w:val="0"/>
              <w:marTop w:val="0"/>
              <w:marBottom w:val="0"/>
              <w:divBdr>
                <w:top w:val="none" w:sz="0" w:space="0" w:color="auto"/>
                <w:left w:val="none" w:sz="0" w:space="0" w:color="auto"/>
                <w:bottom w:val="none" w:sz="0" w:space="0" w:color="auto"/>
                <w:right w:val="none" w:sz="0" w:space="0" w:color="auto"/>
              </w:divBdr>
              <w:divsChild>
                <w:div w:id="40905129">
                  <w:marLeft w:val="0"/>
                  <w:marRight w:val="0"/>
                  <w:marTop w:val="0"/>
                  <w:marBottom w:val="0"/>
                  <w:divBdr>
                    <w:top w:val="none" w:sz="0" w:space="0" w:color="auto"/>
                    <w:left w:val="none" w:sz="0" w:space="0" w:color="auto"/>
                    <w:bottom w:val="none" w:sz="0" w:space="0" w:color="auto"/>
                    <w:right w:val="none" w:sz="0" w:space="0" w:color="auto"/>
                  </w:divBdr>
                  <w:divsChild>
                    <w:div w:id="25717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414344">
      <w:bodyDiv w:val="1"/>
      <w:marLeft w:val="0"/>
      <w:marRight w:val="0"/>
      <w:marTop w:val="0"/>
      <w:marBottom w:val="0"/>
      <w:divBdr>
        <w:top w:val="none" w:sz="0" w:space="0" w:color="auto"/>
        <w:left w:val="none" w:sz="0" w:space="0" w:color="auto"/>
        <w:bottom w:val="none" w:sz="0" w:space="0" w:color="auto"/>
        <w:right w:val="none" w:sz="0" w:space="0" w:color="auto"/>
      </w:divBdr>
      <w:divsChild>
        <w:div w:id="139270318">
          <w:marLeft w:val="0"/>
          <w:marRight w:val="0"/>
          <w:marTop w:val="0"/>
          <w:marBottom w:val="0"/>
          <w:divBdr>
            <w:top w:val="none" w:sz="0" w:space="0" w:color="auto"/>
            <w:left w:val="none" w:sz="0" w:space="0" w:color="auto"/>
            <w:bottom w:val="none" w:sz="0" w:space="0" w:color="auto"/>
            <w:right w:val="none" w:sz="0" w:space="0" w:color="auto"/>
          </w:divBdr>
          <w:divsChild>
            <w:div w:id="1551576658">
              <w:marLeft w:val="0"/>
              <w:marRight w:val="0"/>
              <w:marTop w:val="0"/>
              <w:marBottom w:val="0"/>
              <w:divBdr>
                <w:top w:val="none" w:sz="0" w:space="0" w:color="auto"/>
                <w:left w:val="none" w:sz="0" w:space="0" w:color="auto"/>
                <w:bottom w:val="none" w:sz="0" w:space="0" w:color="auto"/>
                <w:right w:val="none" w:sz="0" w:space="0" w:color="auto"/>
              </w:divBdr>
              <w:divsChild>
                <w:div w:id="91254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362435">
      <w:bodyDiv w:val="1"/>
      <w:marLeft w:val="0"/>
      <w:marRight w:val="0"/>
      <w:marTop w:val="0"/>
      <w:marBottom w:val="0"/>
      <w:divBdr>
        <w:top w:val="none" w:sz="0" w:space="0" w:color="auto"/>
        <w:left w:val="none" w:sz="0" w:space="0" w:color="auto"/>
        <w:bottom w:val="none" w:sz="0" w:space="0" w:color="auto"/>
        <w:right w:val="none" w:sz="0" w:space="0" w:color="auto"/>
      </w:divBdr>
    </w:div>
    <w:div w:id="1372224058">
      <w:bodyDiv w:val="1"/>
      <w:marLeft w:val="0"/>
      <w:marRight w:val="0"/>
      <w:marTop w:val="0"/>
      <w:marBottom w:val="0"/>
      <w:divBdr>
        <w:top w:val="none" w:sz="0" w:space="0" w:color="auto"/>
        <w:left w:val="none" w:sz="0" w:space="0" w:color="auto"/>
        <w:bottom w:val="none" w:sz="0" w:space="0" w:color="auto"/>
        <w:right w:val="none" w:sz="0" w:space="0" w:color="auto"/>
      </w:divBdr>
    </w:div>
    <w:div w:id="1455903750">
      <w:bodyDiv w:val="1"/>
      <w:marLeft w:val="0"/>
      <w:marRight w:val="0"/>
      <w:marTop w:val="0"/>
      <w:marBottom w:val="0"/>
      <w:divBdr>
        <w:top w:val="none" w:sz="0" w:space="0" w:color="auto"/>
        <w:left w:val="none" w:sz="0" w:space="0" w:color="auto"/>
        <w:bottom w:val="none" w:sz="0" w:space="0" w:color="auto"/>
        <w:right w:val="none" w:sz="0" w:space="0" w:color="auto"/>
      </w:divBdr>
    </w:div>
    <w:div w:id="1461338175">
      <w:bodyDiv w:val="1"/>
      <w:marLeft w:val="0"/>
      <w:marRight w:val="0"/>
      <w:marTop w:val="0"/>
      <w:marBottom w:val="0"/>
      <w:divBdr>
        <w:top w:val="none" w:sz="0" w:space="0" w:color="auto"/>
        <w:left w:val="none" w:sz="0" w:space="0" w:color="auto"/>
        <w:bottom w:val="none" w:sz="0" w:space="0" w:color="auto"/>
        <w:right w:val="none" w:sz="0" w:space="0" w:color="auto"/>
      </w:divBdr>
    </w:div>
    <w:div w:id="1665472608">
      <w:bodyDiv w:val="1"/>
      <w:marLeft w:val="0"/>
      <w:marRight w:val="0"/>
      <w:marTop w:val="0"/>
      <w:marBottom w:val="0"/>
      <w:divBdr>
        <w:top w:val="none" w:sz="0" w:space="0" w:color="auto"/>
        <w:left w:val="none" w:sz="0" w:space="0" w:color="auto"/>
        <w:bottom w:val="none" w:sz="0" w:space="0" w:color="auto"/>
        <w:right w:val="none" w:sz="0" w:space="0" w:color="auto"/>
      </w:divBdr>
    </w:div>
    <w:div w:id="1786191551">
      <w:bodyDiv w:val="1"/>
      <w:marLeft w:val="0"/>
      <w:marRight w:val="0"/>
      <w:marTop w:val="0"/>
      <w:marBottom w:val="0"/>
      <w:divBdr>
        <w:top w:val="none" w:sz="0" w:space="0" w:color="auto"/>
        <w:left w:val="none" w:sz="0" w:space="0" w:color="auto"/>
        <w:bottom w:val="none" w:sz="0" w:space="0" w:color="auto"/>
        <w:right w:val="none" w:sz="0" w:space="0" w:color="auto"/>
      </w:divBdr>
    </w:div>
    <w:div w:id="1788115606">
      <w:bodyDiv w:val="1"/>
      <w:marLeft w:val="0"/>
      <w:marRight w:val="0"/>
      <w:marTop w:val="0"/>
      <w:marBottom w:val="0"/>
      <w:divBdr>
        <w:top w:val="none" w:sz="0" w:space="0" w:color="auto"/>
        <w:left w:val="none" w:sz="0" w:space="0" w:color="auto"/>
        <w:bottom w:val="none" w:sz="0" w:space="0" w:color="auto"/>
        <w:right w:val="none" w:sz="0" w:space="0" w:color="auto"/>
      </w:divBdr>
    </w:div>
    <w:div w:id="1849632457">
      <w:bodyDiv w:val="1"/>
      <w:marLeft w:val="0"/>
      <w:marRight w:val="0"/>
      <w:marTop w:val="0"/>
      <w:marBottom w:val="0"/>
      <w:divBdr>
        <w:top w:val="none" w:sz="0" w:space="0" w:color="auto"/>
        <w:left w:val="none" w:sz="0" w:space="0" w:color="auto"/>
        <w:bottom w:val="none" w:sz="0" w:space="0" w:color="auto"/>
        <w:right w:val="none" w:sz="0" w:space="0" w:color="auto"/>
      </w:divBdr>
      <w:divsChild>
        <w:div w:id="1991399733">
          <w:marLeft w:val="0"/>
          <w:marRight w:val="0"/>
          <w:marTop w:val="0"/>
          <w:marBottom w:val="0"/>
          <w:divBdr>
            <w:top w:val="none" w:sz="0" w:space="0" w:color="auto"/>
            <w:left w:val="none" w:sz="0" w:space="0" w:color="auto"/>
            <w:bottom w:val="none" w:sz="0" w:space="0" w:color="auto"/>
            <w:right w:val="none" w:sz="0" w:space="0" w:color="auto"/>
          </w:divBdr>
          <w:divsChild>
            <w:div w:id="806121866">
              <w:marLeft w:val="0"/>
              <w:marRight w:val="0"/>
              <w:marTop w:val="0"/>
              <w:marBottom w:val="0"/>
              <w:divBdr>
                <w:top w:val="none" w:sz="0" w:space="0" w:color="auto"/>
                <w:left w:val="none" w:sz="0" w:space="0" w:color="auto"/>
                <w:bottom w:val="none" w:sz="0" w:space="0" w:color="auto"/>
                <w:right w:val="none" w:sz="0" w:space="0" w:color="auto"/>
              </w:divBdr>
              <w:divsChild>
                <w:div w:id="1985356343">
                  <w:marLeft w:val="0"/>
                  <w:marRight w:val="0"/>
                  <w:marTop w:val="0"/>
                  <w:marBottom w:val="0"/>
                  <w:divBdr>
                    <w:top w:val="none" w:sz="0" w:space="0" w:color="auto"/>
                    <w:left w:val="none" w:sz="0" w:space="0" w:color="auto"/>
                    <w:bottom w:val="none" w:sz="0" w:space="0" w:color="auto"/>
                    <w:right w:val="none" w:sz="0" w:space="0" w:color="auto"/>
                  </w:divBdr>
                  <w:divsChild>
                    <w:div w:id="41478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328077">
      <w:bodyDiv w:val="1"/>
      <w:marLeft w:val="0"/>
      <w:marRight w:val="0"/>
      <w:marTop w:val="0"/>
      <w:marBottom w:val="0"/>
      <w:divBdr>
        <w:top w:val="none" w:sz="0" w:space="0" w:color="auto"/>
        <w:left w:val="none" w:sz="0" w:space="0" w:color="auto"/>
        <w:bottom w:val="none" w:sz="0" w:space="0" w:color="auto"/>
        <w:right w:val="none" w:sz="0" w:space="0" w:color="auto"/>
      </w:divBdr>
    </w:div>
    <w:div w:id="1875190768">
      <w:bodyDiv w:val="1"/>
      <w:marLeft w:val="0"/>
      <w:marRight w:val="0"/>
      <w:marTop w:val="0"/>
      <w:marBottom w:val="0"/>
      <w:divBdr>
        <w:top w:val="none" w:sz="0" w:space="0" w:color="auto"/>
        <w:left w:val="none" w:sz="0" w:space="0" w:color="auto"/>
        <w:bottom w:val="none" w:sz="0" w:space="0" w:color="auto"/>
        <w:right w:val="none" w:sz="0" w:space="0" w:color="auto"/>
      </w:divBdr>
    </w:div>
    <w:div w:id="1894658037">
      <w:bodyDiv w:val="1"/>
      <w:marLeft w:val="0"/>
      <w:marRight w:val="0"/>
      <w:marTop w:val="0"/>
      <w:marBottom w:val="0"/>
      <w:divBdr>
        <w:top w:val="none" w:sz="0" w:space="0" w:color="auto"/>
        <w:left w:val="none" w:sz="0" w:space="0" w:color="auto"/>
        <w:bottom w:val="none" w:sz="0" w:space="0" w:color="auto"/>
        <w:right w:val="none" w:sz="0" w:space="0" w:color="auto"/>
      </w:divBdr>
    </w:div>
    <w:div w:id="1915627686">
      <w:bodyDiv w:val="1"/>
      <w:marLeft w:val="0"/>
      <w:marRight w:val="0"/>
      <w:marTop w:val="0"/>
      <w:marBottom w:val="0"/>
      <w:divBdr>
        <w:top w:val="none" w:sz="0" w:space="0" w:color="auto"/>
        <w:left w:val="none" w:sz="0" w:space="0" w:color="auto"/>
        <w:bottom w:val="none" w:sz="0" w:space="0" w:color="auto"/>
        <w:right w:val="none" w:sz="0" w:space="0" w:color="auto"/>
      </w:divBdr>
    </w:div>
    <w:div w:id="1932662540">
      <w:bodyDiv w:val="1"/>
      <w:marLeft w:val="0"/>
      <w:marRight w:val="0"/>
      <w:marTop w:val="0"/>
      <w:marBottom w:val="0"/>
      <w:divBdr>
        <w:top w:val="none" w:sz="0" w:space="0" w:color="auto"/>
        <w:left w:val="none" w:sz="0" w:space="0" w:color="auto"/>
        <w:bottom w:val="none" w:sz="0" w:space="0" w:color="auto"/>
        <w:right w:val="none" w:sz="0" w:space="0" w:color="auto"/>
      </w:divBdr>
      <w:divsChild>
        <w:div w:id="1401056813">
          <w:marLeft w:val="0"/>
          <w:marRight w:val="0"/>
          <w:marTop w:val="0"/>
          <w:marBottom w:val="0"/>
          <w:divBdr>
            <w:top w:val="none" w:sz="0" w:space="0" w:color="auto"/>
            <w:left w:val="none" w:sz="0" w:space="0" w:color="auto"/>
            <w:bottom w:val="none" w:sz="0" w:space="0" w:color="auto"/>
            <w:right w:val="none" w:sz="0" w:space="0" w:color="auto"/>
          </w:divBdr>
        </w:div>
        <w:div w:id="1679692546">
          <w:marLeft w:val="0"/>
          <w:marRight w:val="0"/>
          <w:marTop w:val="0"/>
          <w:marBottom w:val="0"/>
          <w:divBdr>
            <w:top w:val="none" w:sz="0" w:space="0" w:color="auto"/>
            <w:left w:val="none" w:sz="0" w:space="0" w:color="auto"/>
            <w:bottom w:val="none" w:sz="0" w:space="0" w:color="auto"/>
            <w:right w:val="none" w:sz="0" w:space="0" w:color="auto"/>
          </w:divBdr>
        </w:div>
        <w:div w:id="1332372240">
          <w:marLeft w:val="0"/>
          <w:marRight w:val="0"/>
          <w:marTop w:val="0"/>
          <w:marBottom w:val="0"/>
          <w:divBdr>
            <w:top w:val="none" w:sz="0" w:space="0" w:color="auto"/>
            <w:left w:val="none" w:sz="0" w:space="0" w:color="auto"/>
            <w:bottom w:val="none" w:sz="0" w:space="0" w:color="auto"/>
            <w:right w:val="none" w:sz="0" w:space="0" w:color="auto"/>
          </w:divBdr>
        </w:div>
      </w:divsChild>
    </w:div>
    <w:div w:id="1947423734">
      <w:bodyDiv w:val="1"/>
      <w:marLeft w:val="0"/>
      <w:marRight w:val="0"/>
      <w:marTop w:val="0"/>
      <w:marBottom w:val="0"/>
      <w:divBdr>
        <w:top w:val="none" w:sz="0" w:space="0" w:color="auto"/>
        <w:left w:val="none" w:sz="0" w:space="0" w:color="auto"/>
        <w:bottom w:val="none" w:sz="0" w:space="0" w:color="auto"/>
        <w:right w:val="none" w:sz="0" w:space="0" w:color="auto"/>
      </w:divBdr>
    </w:div>
    <w:div w:id="1949114708">
      <w:bodyDiv w:val="1"/>
      <w:marLeft w:val="0"/>
      <w:marRight w:val="0"/>
      <w:marTop w:val="0"/>
      <w:marBottom w:val="0"/>
      <w:divBdr>
        <w:top w:val="none" w:sz="0" w:space="0" w:color="auto"/>
        <w:left w:val="none" w:sz="0" w:space="0" w:color="auto"/>
        <w:bottom w:val="none" w:sz="0" w:space="0" w:color="auto"/>
        <w:right w:val="none" w:sz="0" w:space="0" w:color="auto"/>
      </w:divBdr>
    </w:div>
    <w:div w:id="1962414625">
      <w:bodyDiv w:val="1"/>
      <w:marLeft w:val="0"/>
      <w:marRight w:val="0"/>
      <w:marTop w:val="0"/>
      <w:marBottom w:val="0"/>
      <w:divBdr>
        <w:top w:val="none" w:sz="0" w:space="0" w:color="auto"/>
        <w:left w:val="none" w:sz="0" w:space="0" w:color="auto"/>
        <w:bottom w:val="none" w:sz="0" w:space="0" w:color="auto"/>
        <w:right w:val="none" w:sz="0" w:space="0" w:color="auto"/>
      </w:divBdr>
    </w:div>
    <w:div w:id="1986467791">
      <w:bodyDiv w:val="1"/>
      <w:marLeft w:val="0"/>
      <w:marRight w:val="0"/>
      <w:marTop w:val="0"/>
      <w:marBottom w:val="0"/>
      <w:divBdr>
        <w:top w:val="none" w:sz="0" w:space="0" w:color="auto"/>
        <w:left w:val="none" w:sz="0" w:space="0" w:color="auto"/>
        <w:bottom w:val="none" w:sz="0" w:space="0" w:color="auto"/>
        <w:right w:val="none" w:sz="0" w:space="0" w:color="auto"/>
      </w:divBdr>
    </w:div>
    <w:div w:id="1995915927">
      <w:bodyDiv w:val="1"/>
      <w:marLeft w:val="0"/>
      <w:marRight w:val="0"/>
      <w:marTop w:val="0"/>
      <w:marBottom w:val="0"/>
      <w:divBdr>
        <w:top w:val="none" w:sz="0" w:space="0" w:color="auto"/>
        <w:left w:val="none" w:sz="0" w:space="0" w:color="auto"/>
        <w:bottom w:val="none" w:sz="0" w:space="0" w:color="auto"/>
        <w:right w:val="none" w:sz="0" w:space="0" w:color="auto"/>
      </w:divBdr>
    </w:div>
    <w:div w:id="2024354274">
      <w:bodyDiv w:val="1"/>
      <w:marLeft w:val="0"/>
      <w:marRight w:val="0"/>
      <w:marTop w:val="0"/>
      <w:marBottom w:val="0"/>
      <w:divBdr>
        <w:top w:val="none" w:sz="0" w:space="0" w:color="auto"/>
        <w:left w:val="none" w:sz="0" w:space="0" w:color="auto"/>
        <w:bottom w:val="none" w:sz="0" w:space="0" w:color="auto"/>
        <w:right w:val="none" w:sz="0" w:space="0" w:color="auto"/>
      </w:divBdr>
    </w:div>
    <w:div w:id="2027360489">
      <w:bodyDiv w:val="1"/>
      <w:marLeft w:val="0"/>
      <w:marRight w:val="0"/>
      <w:marTop w:val="0"/>
      <w:marBottom w:val="0"/>
      <w:divBdr>
        <w:top w:val="none" w:sz="0" w:space="0" w:color="auto"/>
        <w:left w:val="none" w:sz="0" w:space="0" w:color="auto"/>
        <w:bottom w:val="none" w:sz="0" w:space="0" w:color="auto"/>
        <w:right w:val="none" w:sz="0" w:space="0" w:color="auto"/>
      </w:divBdr>
    </w:div>
    <w:div w:id="2053263087">
      <w:bodyDiv w:val="1"/>
      <w:marLeft w:val="0"/>
      <w:marRight w:val="0"/>
      <w:marTop w:val="0"/>
      <w:marBottom w:val="0"/>
      <w:divBdr>
        <w:top w:val="none" w:sz="0" w:space="0" w:color="auto"/>
        <w:left w:val="none" w:sz="0" w:space="0" w:color="auto"/>
        <w:bottom w:val="none" w:sz="0" w:space="0" w:color="auto"/>
        <w:right w:val="none" w:sz="0" w:space="0" w:color="auto"/>
      </w:divBdr>
    </w:div>
    <w:div w:id="2063820146">
      <w:bodyDiv w:val="1"/>
      <w:marLeft w:val="0"/>
      <w:marRight w:val="0"/>
      <w:marTop w:val="0"/>
      <w:marBottom w:val="0"/>
      <w:divBdr>
        <w:top w:val="none" w:sz="0" w:space="0" w:color="auto"/>
        <w:left w:val="none" w:sz="0" w:space="0" w:color="auto"/>
        <w:bottom w:val="none" w:sz="0" w:space="0" w:color="auto"/>
        <w:right w:val="none" w:sz="0" w:space="0" w:color="auto"/>
      </w:divBdr>
    </w:div>
    <w:div w:id="2087532120">
      <w:bodyDiv w:val="1"/>
      <w:marLeft w:val="0"/>
      <w:marRight w:val="0"/>
      <w:marTop w:val="0"/>
      <w:marBottom w:val="0"/>
      <w:divBdr>
        <w:top w:val="none" w:sz="0" w:space="0" w:color="auto"/>
        <w:left w:val="none" w:sz="0" w:space="0" w:color="auto"/>
        <w:bottom w:val="none" w:sz="0" w:space="0" w:color="auto"/>
        <w:right w:val="none" w:sz="0" w:space="0" w:color="auto"/>
      </w:divBdr>
    </w:div>
    <w:div w:id="2098869044">
      <w:bodyDiv w:val="1"/>
      <w:marLeft w:val="0"/>
      <w:marRight w:val="0"/>
      <w:marTop w:val="0"/>
      <w:marBottom w:val="0"/>
      <w:divBdr>
        <w:top w:val="none" w:sz="0" w:space="0" w:color="auto"/>
        <w:left w:val="none" w:sz="0" w:space="0" w:color="auto"/>
        <w:bottom w:val="none" w:sz="0" w:space="0" w:color="auto"/>
        <w:right w:val="none" w:sz="0" w:space="0" w:color="auto"/>
      </w:divBdr>
    </w:div>
    <w:div w:id="2141341402">
      <w:bodyDiv w:val="1"/>
      <w:marLeft w:val="0"/>
      <w:marRight w:val="0"/>
      <w:marTop w:val="0"/>
      <w:marBottom w:val="0"/>
      <w:divBdr>
        <w:top w:val="none" w:sz="0" w:space="0" w:color="auto"/>
        <w:left w:val="none" w:sz="0" w:space="0" w:color="auto"/>
        <w:bottom w:val="none" w:sz="0" w:space="0" w:color="auto"/>
        <w:right w:val="none" w:sz="0" w:space="0" w:color="auto"/>
      </w:divBdr>
    </w:div>
    <w:div w:id="2144228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c36a5516539c7c97/2025/Inbox/Projects/Financial%20Model/Prosper_Loan_Portfolio_Project/Prosper-Loan-Portfolio-Valuation/Project_Discounted%20Cash%20Flow%20Base.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t" anchorCtr="1"/>
          <a:lstStyle/>
          <a:p>
            <a:pPr>
              <a:defRPr sz="1400" b="0" i="0" u="none" strike="noStrike" kern="1200" spc="0" baseline="0">
                <a:solidFill>
                  <a:schemeClr val="tx1"/>
                </a:solidFill>
                <a:latin typeface="+mn-lt"/>
                <a:ea typeface="+mn-ea"/>
                <a:cs typeface="+mn-cs"/>
              </a:defRPr>
            </a:pPr>
            <a:r>
              <a:rPr lang="en-US">
                <a:solidFill>
                  <a:schemeClr val="tx1"/>
                </a:solidFill>
              </a:rPr>
              <a:t>NPV</a:t>
            </a:r>
            <a:r>
              <a:rPr lang="en-US" baseline="0">
                <a:solidFill>
                  <a:schemeClr val="tx1"/>
                </a:solidFill>
              </a:rPr>
              <a:t> Sensitivity Analysis</a:t>
            </a:r>
            <a:endParaRPr lang="en-US">
              <a:solidFill>
                <a:schemeClr val="tx1"/>
              </a:solidFill>
            </a:endParaRPr>
          </a:p>
        </c:rich>
      </c:tx>
      <c:layout>
        <c:manualLayout>
          <c:xMode val="edge"/>
          <c:yMode val="edge"/>
          <c:x val="0.44418880093116836"/>
          <c:y val="2.7777777777777776E-2"/>
        </c:manualLayout>
      </c:layout>
      <c:overlay val="0"/>
      <c:spPr>
        <a:noFill/>
        <a:ln>
          <a:noFill/>
        </a:ln>
        <a:effectLst/>
      </c:spPr>
      <c:txPr>
        <a:bodyPr rot="0" spcFirstLastPara="1" vertOverflow="ellipsis" vert="horz" wrap="square" anchor="t" anchorCtr="1"/>
        <a:lstStyle/>
        <a:p>
          <a:pPr>
            <a:defRPr sz="1400" b="0" i="0" u="none" strike="noStrike" kern="1200" spc="0" baseline="0">
              <a:solidFill>
                <a:schemeClr val="tx1"/>
              </a:solidFill>
              <a:latin typeface="+mn-lt"/>
              <a:ea typeface="+mn-ea"/>
              <a:cs typeface="+mn-cs"/>
            </a:defRPr>
          </a:pPr>
          <a:endParaRPr lang="en-US"/>
        </a:p>
      </c:txPr>
    </c:title>
    <c:autoTitleDeleted val="0"/>
    <c:plotArea>
      <c:layout/>
      <c:barChart>
        <c:barDir val="bar"/>
        <c:grouping val="stacked"/>
        <c:varyColors val="0"/>
        <c:ser>
          <c:idx val="0"/>
          <c:order val="0"/>
          <c:tx>
            <c:strRef>
              <c:f>Sensitivity_Analysis!$E$134</c:f>
              <c:strCache>
                <c:ptCount val="1"/>
                <c:pt idx="0">
                  <c:v>Downside Impact</c:v>
                </c:pt>
              </c:strCache>
            </c:strRef>
          </c:tx>
          <c:spPr>
            <a:solidFill>
              <a:schemeClr val="accent2"/>
            </a:solidFill>
            <a:ln>
              <a:solidFill>
                <a:schemeClr val="tx1">
                  <a:lumMod val="95000"/>
                  <a:lumOff val="5000"/>
                </a:schemeClr>
              </a:solidFill>
            </a:ln>
            <a:effectLst/>
          </c:spPr>
          <c:invertIfNegative val="0"/>
          <c:dLbls>
            <c:numFmt formatCode=";;;"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Sensitivity_Analysis!$A$135:$A$137</c:f>
              <c:strCache>
                <c:ptCount val="3"/>
                <c:pt idx="0">
                  <c:v>Recovery Adjustment Factor</c:v>
                </c:pt>
                <c:pt idx="1">
                  <c:v>Discount Rate</c:v>
                </c:pt>
                <c:pt idx="2">
                  <c:v>Collection Cost %</c:v>
                </c:pt>
              </c:strCache>
            </c:strRef>
          </c:cat>
          <c:val>
            <c:numRef>
              <c:f>Sensitivity_Analysis!$E$135:$E$137</c:f>
              <c:numCache>
                <c:formatCode>"$"#,##0.00</c:formatCode>
                <c:ptCount val="3"/>
                <c:pt idx="0">
                  <c:v>-573991.70838601561</c:v>
                </c:pt>
                <c:pt idx="1">
                  <c:v>-233948.56244444195</c:v>
                </c:pt>
                <c:pt idx="2">
                  <c:v>-114798.34167720331</c:v>
                </c:pt>
              </c:numCache>
            </c:numRef>
          </c:val>
          <c:extLst>
            <c:ext xmlns:c16="http://schemas.microsoft.com/office/drawing/2014/chart" uri="{C3380CC4-5D6E-409C-BE32-E72D297353CC}">
              <c16:uniqueId val="{00000000-85BA-4B82-AF9D-8B5352164644}"/>
            </c:ext>
          </c:extLst>
        </c:ser>
        <c:ser>
          <c:idx val="1"/>
          <c:order val="1"/>
          <c:tx>
            <c:strRef>
              <c:f>Sensitivity_Analysis!$F$134</c:f>
              <c:strCache>
                <c:ptCount val="1"/>
                <c:pt idx="0">
                  <c:v>Upside Impact</c:v>
                </c:pt>
              </c:strCache>
            </c:strRef>
          </c:tx>
          <c:spPr>
            <a:solidFill>
              <a:schemeClr val="tx2">
                <a:lumMod val="60000"/>
                <a:lumOff val="40000"/>
              </a:schemeClr>
            </a:solidFill>
            <a:ln>
              <a:solidFill>
                <a:schemeClr val="tx1">
                  <a:lumMod val="95000"/>
                  <a:lumOff val="5000"/>
                </a:schemeClr>
              </a:solidFill>
            </a:ln>
            <a:effectLst/>
          </c:spPr>
          <c:invertIfNegative val="0"/>
          <c:cat>
            <c:strRef>
              <c:f>Sensitivity_Analysis!$A$135:$A$137</c:f>
              <c:strCache>
                <c:ptCount val="3"/>
                <c:pt idx="0">
                  <c:v>Recovery Adjustment Factor</c:v>
                </c:pt>
                <c:pt idx="1">
                  <c:v>Discount Rate</c:v>
                </c:pt>
                <c:pt idx="2">
                  <c:v>Collection Cost %</c:v>
                </c:pt>
              </c:strCache>
            </c:strRef>
          </c:cat>
          <c:val>
            <c:numRef>
              <c:f>Sensitivity_Analysis!$F$135:$F$137</c:f>
              <c:numCache>
                <c:formatCode>"$"#,##0.00</c:formatCode>
                <c:ptCount val="3"/>
                <c:pt idx="0">
                  <c:v>573991.70838601468</c:v>
                </c:pt>
                <c:pt idx="1">
                  <c:v>292665.43030548748</c:v>
                </c:pt>
                <c:pt idx="2">
                  <c:v>114798.34167720284</c:v>
                </c:pt>
              </c:numCache>
            </c:numRef>
          </c:val>
          <c:extLst>
            <c:ext xmlns:c16="http://schemas.microsoft.com/office/drawing/2014/chart" uri="{C3380CC4-5D6E-409C-BE32-E72D297353CC}">
              <c16:uniqueId val="{00000001-85BA-4B82-AF9D-8B5352164644}"/>
            </c:ext>
          </c:extLst>
        </c:ser>
        <c:dLbls>
          <c:showLegendKey val="0"/>
          <c:showVal val="0"/>
          <c:showCatName val="0"/>
          <c:showSerName val="0"/>
          <c:showPercent val="0"/>
          <c:showBubbleSize val="0"/>
        </c:dLbls>
        <c:gapWidth val="10"/>
        <c:overlap val="100"/>
        <c:axId val="211585552"/>
        <c:axId val="211586032"/>
      </c:barChart>
      <c:lineChart>
        <c:grouping val="standard"/>
        <c:varyColors val="0"/>
        <c:ser>
          <c:idx val="2"/>
          <c:order val="2"/>
          <c:tx>
            <c:v>Base Case</c:v>
          </c:tx>
          <c:spPr>
            <a:ln w="28575" cap="rnd">
              <a:noFill/>
              <a:round/>
            </a:ln>
            <a:effectLst/>
          </c:spPr>
          <c:marker>
            <c:symbol val="none"/>
          </c:marker>
          <c:val>
            <c:numLit>
              <c:formatCode>General</c:formatCode>
              <c:ptCount val="4"/>
              <c:pt idx="0">
                <c:v>0</c:v>
              </c:pt>
              <c:pt idx="1">
                <c:v>0</c:v>
              </c:pt>
              <c:pt idx="2">
                <c:v>0</c:v>
              </c:pt>
              <c:pt idx="3">
                <c:v>0</c:v>
              </c:pt>
            </c:numLit>
          </c:val>
          <c:smooth val="0"/>
          <c:extLst>
            <c:ext xmlns:c16="http://schemas.microsoft.com/office/drawing/2014/chart" uri="{C3380CC4-5D6E-409C-BE32-E72D297353CC}">
              <c16:uniqueId val="{00000002-85BA-4B82-AF9D-8B5352164644}"/>
            </c:ext>
          </c:extLst>
        </c:ser>
        <c:dLbls>
          <c:showLegendKey val="0"/>
          <c:showVal val="0"/>
          <c:showCatName val="0"/>
          <c:showSerName val="0"/>
          <c:showPercent val="0"/>
          <c:showBubbleSize val="0"/>
        </c:dLbls>
        <c:marker val="1"/>
        <c:smooth val="0"/>
        <c:axId val="1749287663"/>
        <c:axId val="1749282863"/>
      </c:lineChart>
      <c:catAx>
        <c:axId val="211585552"/>
        <c:scaling>
          <c:orientation val="maxMin"/>
        </c:scaling>
        <c:delete val="0"/>
        <c:axPos val="l"/>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211586032"/>
        <c:crosses val="autoZero"/>
        <c:auto val="1"/>
        <c:lblAlgn val="ctr"/>
        <c:lblOffset val="100"/>
        <c:noMultiLvlLbl val="0"/>
      </c:catAx>
      <c:valAx>
        <c:axId val="211586032"/>
        <c:scaling>
          <c:orientation val="minMax"/>
          <c:max val="600000"/>
          <c:min val="-600000"/>
        </c:scaling>
        <c:delete val="0"/>
        <c:axPos val="t"/>
        <c:numFmt formatCode="&quot;$&quot;#,##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211585552"/>
        <c:crosses val="autoZero"/>
        <c:crossBetween val="between"/>
      </c:valAx>
      <c:valAx>
        <c:axId val="1749282863"/>
        <c:scaling>
          <c:orientation val="minMax"/>
        </c:scaling>
        <c:delete val="1"/>
        <c:axPos val="r"/>
        <c:numFmt formatCode="General" sourceLinked="1"/>
        <c:majorTickMark val="out"/>
        <c:minorTickMark val="none"/>
        <c:tickLblPos val="nextTo"/>
        <c:crossAx val="1749287663"/>
        <c:crosses val="max"/>
        <c:crossBetween val="between"/>
      </c:valAx>
      <c:catAx>
        <c:axId val="1749287663"/>
        <c:scaling>
          <c:orientation val="minMax"/>
        </c:scaling>
        <c:delete val="1"/>
        <c:axPos val="b"/>
        <c:majorTickMark val="out"/>
        <c:minorTickMark val="none"/>
        <c:tickLblPos val="nextTo"/>
        <c:crossAx val="1749282863"/>
        <c:crosses val="autoZero"/>
        <c:auto val="1"/>
        <c:lblAlgn val="ctr"/>
        <c:lblOffset val="100"/>
        <c:noMultiLvlLbl val="0"/>
      </c:catAx>
      <c:spPr>
        <a:noFill/>
        <a:ln>
          <a:noFill/>
        </a:ln>
        <a:effectLst/>
      </c:spPr>
    </c:plotArea>
    <c:legend>
      <c:legendPos val="b"/>
      <c:legendEntry>
        <c:idx val="2"/>
        <c:delete val="1"/>
      </c:legendEntry>
      <c:layout>
        <c:manualLayout>
          <c:xMode val="edge"/>
          <c:yMode val="edge"/>
          <c:x val="0.41856326640841923"/>
          <c:y val="0.85685283010509772"/>
          <c:w val="0.36437400308884221"/>
          <c:h val="9.251425850249731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2"/>
      </a:solidFill>
      <a:round/>
    </a:ln>
    <a:effectLst/>
  </c:spPr>
  <c:txPr>
    <a:bodyPr anchor="ctr" anchorCtr="1"/>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2C31096-116E-4E7A-B244-B4B5F5F0D8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1930</Words>
  <Characters>11007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12912</CharactersWithSpaces>
  <SharedDoc>false</SharedDoc>
  <HLinks>
    <vt:vector size="108" baseType="variant">
      <vt:variant>
        <vt:i4>393283</vt:i4>
      </vt:variant>
      <vt:variant>
        <vt:i4>51</vt:i4>
      </vt:variant>
      <vt:variant>
        <vt:i4>0</vt:i4>
      </vt:variant>
      <vt:variant>
        <vt:i4>5</vt:i4>
      </vt:variant>
      <vt:variant>
        <vt:lpwstr>https://www.nytimes.com/interactive/2020/03/22/world/coronavirus-spread.html</vt:lpwstr>
      </vt:variant>
      <vt:variant>
        <vt:lpwstr/>
      </vt:variant>
      <vt:variant>
        <vt:i4>6815835</vt:i4>
      </vt:variant>
      <vt:variant>
        <vt:i4>48</vt:i4>
      </vt:variant>
      <vt:variant>
        <vt:i4>0</vt:i4>
      </vt:variant>
      <vt:variant>
        <vt:i4>5</vt:i4>
      </vt:variant>
      <vt:variant>
        <vt:lpwstr>https://medium.com/@csuglobalwritingcenter/whats-an-appendix-for-anyways-ac73d89e8423</vt:lpwstr>
      </vt:variant>
      <vt:variant>
        <vt:lpwstr/>
      </vt:variant>
      <vt:variant>
        <vt:i4>6160413</vt:i4>
      </vt:variant>
      <vt:variant>
        <vt:i4>45</vt:i4>
      </vt:variant>
      <vt:variant>
        <vt:i4>0</vt:i4>
      </vt:variant>
      <vt:variant>
        <vt:i4>5</vt:i4>
      </vt:variant>
      <vt:variant>
        <vt:lpwstr>https://www.nytimes.com/2014/08/06/upshot/how-to-talk-about-americas-newest-arrivals.html</vt:lpwstr>
      </vt:variant>
      <vt:variant>
        <vt:lpwstr/>
      </vt:variant>
      <vt:variant>
        <vt:i4>4653090</vt:i4>
      </vt:variant>
      <vt:variant>
        <vt:i4>42</vt:i4>
      </vt:variant>
      <vt:variant>
        <vt:i4>0</vt:i4>
      </vt:variant>
      <vt:variant>
        <vt:i4>5</vt:i4>
      </vt:variant>
      <vt:variant>
        <vt:lpwstr>https://csuglobal.libguides.com/writingcenter/writing_consultations</vt:lpwstr>
      </vt:variant>
      <vt:variant>
        <vt:lpwstr/>
      </vt:variant>
      <vt:variant>
        <vt:i4>131165</vt:i4>
      </vt:variant>
      <vt:variant>
        <vt:i4>39</vt:i4>
      </vt:variant>
      <vt:variant>
        <vt:i4>0</vt:i4>
      </vt:variant>
      <vt:variant>
        <vt:i4>5</vt:i4>
      </vt:variant>
      <vt:variant>
        <vt:lpwstr>https://portal.csuglobal.edu/</vt:lpwstr>
      </vt:variant>
      <vt:variant>
        <vt:lpwstr/>
      </vt:variant>
      <vt:variant>
        <vt:i4>131165</vt:i4>
      </vt:variant>
      <vt:variant>
        <vt:i4>36</vt:i4>
      </vt:variant>
      <vt:variant>
        <vt:i4>0</vt:i4>
      </vt:variant>
      <vt:variant>
        <vt:i4>5</vt:i4>
      </vt:variant>
      <vt:variant>
        <vt:lpwstr>https://portal.csuglobal.edu/</vt:lpwstr>
      </vt:variant>
      <vt:variant>
        <vt:lpwstr/>
      </vt:variant>
      <vt:variant>
        <vt:i4>393260</vt:i4>
      </vt:variant>
      <vt:variant>
        <vt:i4>33</vt:i4>
      </vt:variant>
      <vt:variant>
        <vt:i4>0</vt:i4>
      </vt:variant>
      <vt:variant>
        <vt:i4>5</vt:i4>
      </vt:variant>
      <vt:variant>
        <vt:lpwstr>https://csuglobal.libguides.com/writingcenter/writing_tutorials/organization_and_structure</vt:lpwstr>
      </vt:variant>
      <vt:variant>
        <vt:lpwstr>Introductions_And_Conclusions</vt:lpwstr>
      </vt:variant>
      <vt:variant>
        <vt:i4>852048</vt:i4>
      </vt:variant>
      <vt:variant>
        <vt:i4>30</vt:i4>
      </vt:variant>
      <vt:variant>
        <vt:i4>0</vt:i4>
      </vt:variant>
      <vt:variant>
        <vt:i4>5</vt:i4>
      </vt:variant>
      <vt:variant>
        <vt:lpwstr>https://csuglobal.libguides.com/writingcenter/apa7_resources/references_math_figures_tables</vt:lpwstr>
      </vt:variant>
      <vt:variant>
        <vt:lpwstr/>
      </vt:variant>
      <vt:variant>
        <vt:i4>1703975</vt:i4>
      </vt:variant>
      <vt:variant>
        <vt:i4>27</vt:i4>
      </vt:variant>
      <vt:variant>
        <vt:i4>0</vt:i4>
      </vt:variant>
      <vt:variant>
        <vt:i4>5</vt:i4>
      </vt:variant>
      <vt:variant>
        <vt:lpwstr>https://csuglobal.libguides.com/writingcenter/apa_resources/using_apa</vt:lpwstr>
      </vt:variant>
      <vt:variant>
        <vt:lpwstr>Reference_Examples</vt:lpwstr>
      </vt:variant>
      <vt:variant>
        <vt:i4>8257567</vt:i4>
      </vt:variant>
      <vt:variant>
        <vt:i4>24</vt:i4>
      </vt:variant>
      <vt:variant>
        <vt:i4>0</vt:i4>
      </vt:variant>
      <vt:variant>
        <vt:i4>5</vt:i4>
      </vt:variant>
      <vt:variant>
        <vt:lpwstr>https://csuglobal.libguides.com/writingcenter/apa_resources/using_apa</vt:lpwstr>
      </vt:variant>
      <vt:variant>
        <vt:lpwstr>In-Text_Examples</vt:lpwstr>
      </vt:variant>
      <vt:variant>
        <vt:i4>7864390</vt:i4>
      </vt:variant>
      <vt:variant>
        <vt:i4>21</vt:i4>
      </vt:variant>
      <vt:variant>
        <vt:i4>0</vt:i4>
      </vt:variant>
      <vt:variant>
        <vt:i4>5</vt:i4>
      </vt:variant>
      <vt:variant>
        <vt:lpwstr>https://csuglobal.libguides.com/writingcenter/writing_tutorials/organization_and_structure</vt:lpwstr>
      </vt:variant>
      <vt:variant>
        <vt:lpwstr>Transitions</vt:lpwstr>
      </vt:variant>
      <vt:variant>
        <vt:i4>589870</vt:i4>
      </vt:variant>
      <vt:variant>
        <vt:i4>18</vt:i4>
      </vt:variant>
      <vt:variant>
        <vt:i4>0</vt:i4>
      </vt:variant>
      <vt:variant>
        <vt:i4>5</vt:i4>
      </vt:variant>
      <vt:variant>
        <vt:lpwstr>https://csuglobal.libguides.com/writingcenter/writing_tutorials/critical_thinking_and_source_usage</vt:lpwstr>
      </vt:variant>
      <vt:variant>
        <vt:lpwstr>Evaluate</vt:lpwstr>
      </vt:variant>
      <vt:variant>
        <vt:i4>1048630</vt:i4>
      </vt:variant>
      <vt:variant>
        <vt:i4>15</vt:i4>
      </vt:variant>
      <vt:variant>
        <vt:i4>0</vt:i4>
      </vt:variant>
      <vt:variant>
        <vt:i4>5</vt:i4>
      </vt:variant>
      <vt:variant>
        <vt:lpwstr>https://csuglobal.libguides.com/writingcenter/writing_tutorials/critical_thinking_and_source_usage</vt:lpwstr>
      </vt:variant>
      <vt:variant>
        <vt:lpwstr>Paraphrasing</vt:lpwstr>
      </vt:variant>
      <vt:variant>
        <vt:i4>1966085</vt:i4>
      </vt:variant>
      <vt:variant>
        <vt:i4>12</vt:i4>
      </vt:variant>
      <vt:variant>
        <vt:i4>0</vt:i4>
      </vt:variant>
      <vt:variant>
        <vt:i4>5</vt:i4>
      </vt:variant>
      <vt:variant>
        <vt:lpwstr>https://csuglobal.libguides.com/writingcenter/writing_tutorials/critical_thinking_and_source_usage</vt:lpwstr>
      </vt:variant>
      <vt:variant>
        <vt:lpwstr>Source_Usage</vt:lpwstr>
      </vt:variant>
      <vt:variant>
        <vt:i4>5242944</vt:i4>
      </vt:variant>
      <vt:variant>
        <vt:i4>9</vt:i4>
      </vt:variant>
      <vt:variant>
        <vt:i4>0</vt:i4>
      </vt:variant>
      <vt:variant>
        <vt:i4>5</vt:i4>
      </vt:variant>
      <vt:variant>
        <vt:lpwstr>https://csuglobal.libguides.com/writingcenter/writing_tutorials/organization_and_structure</vt:lpwstr>
      </vt:variant>
      <vt:variant>
        <vt:lpwstr>Paragraph_Structure</vt:lpwstr>
      </vt:variant>
      <vt:variant>
        <vt:i4>6291508</vt:i4>
      </vt:variant>
      <vt:variant>
        <vt:i4>6</vt:i4>
      </vt:variant>
      <vt:variant>
        <vt:i4>0</vt:i4>
      </vt:variant>
      <vt:variant>
        <vt:i4>5</vt:i4>
      </vt:variant>
      <vt:variant>
        <vt:lpwstr>https://apastyle.apa.org/style-grammar-guidelines/paper-format/headings</vt:lpwstr>
      </vt:variant>
      <vt:variant>
        <vt:lpwstr/>
      </vt:variant>
      <vt:variant>
        <vt:i4>5374045</vt:i4>
      </vt:variant>
      <vt:variant>
        <vt:i4>3</vt:i4>
      </vt:variant>
      <vt:variant>
        <vt:i4>0</vt:i4>
      </vt:variant>
      <vt:variant>
        <vt:i4>5</vt:i4>
      </vt:variant>
      <vt:variant>
        <vt:lpwstr>https://csuglobal.libguides.com/writingcenter/writing_tutorials/organization_and_structure</vt:lpwstr>
      </vt:variant>
      <vt:variant>
        <vt:lpwstr>Creating_A_Thesis_Statement</vt:lpwstr>
      </vt:variant>
      <vt:variant>
        <vt:i4>393260</vt:i4>
      </vt:variant>
      <vt:variant>
        <vt:i4>0</vt:i4>
      </vt:variant>
      <vt:variant>
        <vt:i4>0</vt:i4>
      </vt:variant>
      <vt:variant>
        <vt:i4>5</vt:i4>
      </vt:variant>
      <vt:variant>
        <vt:lpwstr>https://csuglobal.libguides.com/writingcenter/writing_tutorials/organization_and_structure</vt:lpwstr>
      </vt:variant>
      <vt:variant>
        <vt:lpwstr>Introductions_And_Conclusions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CSU-Global</dc:creator>
  <cp:keywords/>
  <dc:description/>
  <cp:lastModifiedBy>Justin Ladrillono</cp:lastModifiedBy>
  <cp:revision>2</cp:revision>
  <dcterms:created xsi:type="dcterms:W3CDTF">2025-06-18T12:15:00Z</dcterms:created>
  <dcterms:modified xsi:type="dcterms:W3CDTF">2025-06-18T12:15:00Z</dcterms:modified>
</cp:coreProperties>
</file>