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color w:val="0A3761"/>
          <w:sz w:val="52"/>
        </w:rPr>
        <w:t>Grupo Actual HR</w:t>
      </w:r>
    </w:p>
    <w:p>
      <w:pPr>
        <w:pStyle w:val="Subtitle"/>
      </w:pPr>
      <w:r>
        <w:rPr>
          <w:b w:val="0"/>
          <w:color w:val="1D2D3E"/>
        </w:rPr>
        <w:t>Documentación del proceso completo de diseño, rebranding, construcción y validación de la landing page corporativa.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vAlign w:val="center"/>
            <w:shd w:fill="F5F7F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</w:tcPr>
          <w:p>
            <w:pPr>
              <w:spacing w:after="80"/>
            </w:pPr>
            <w:r>
              <w:rPr>
                <w:b/>
                <w:color w:val="0A3761"/>
              </w:rPr>
              <w:t>Resultado validado</w:t>
            </w:r>
          </w:p>
          <w:p>
            <w:pPr>
              <w:spacing w:after="0" w:line="264" w:lineRule="auto"/>
            </w:pPr>
            <w:r>
              <w:rPr>
                <w:b w:val="0"/>
                <w:color w:val="1D2D3E"/>
              </w:rPr>
              <w:t>La versión final quedó operativa en http://127.0.0.1:3022/ y el build de producción fue validado correctamente con npm run build.</w:t>
            </w:r>
          </w:p>
        </w:tc>
      </w:tr>
    </w:tbl>
    <w:p/>
    <w:p>
      <w:pPr>
        <w:pStyle w:val="Heading1"/>
        <w:keepNext/>
      </w:pPr>
      <w:r>
        <w:t>1. Resumen ejecutivo</w:t>
      </w:r>
    </w:p>
    <w:p>
      <w:r>
        <w:t>El proyecto comenzó como una landing corporativa para una marca previa y evolucionó hacia una identidad completamente renovada: Grupo Actual HR. La solución final posiciona a la firma como consultora enterprise especializada en procesos de Capital Humano, Discovery funcional, arquitectura de procesos, SAP HCM and SAP SuccessFactors, trazabilidad, cumplimiento y adopción operacional.</w:t>
      </w:r>
    </w:p>
    <w:p>
      <w:r>
        <w:t>El foco estratégico dejó de ser una narrativa genérica de tecnología HR Cloud y pasó a una propuesta consultiva basada en procesos: antes de implementar tecnología, Grupo Actual HR entiende el negocio, diseña el proceso y luego habilita la solución.</w:t>
      </w:r>
    </w:p>
    <w:p>
      <w:pPr>
        <w:pStyle w:val="Heading1"/>
        <w:keepNext/>
      </w:pPr>
      <w:r>
        <w:t>2. Punto de partida y cambio de dirección</w:t>
      </w:r>
    </w:p>
    <w:p>
      <w:pPr>
        <w:pStyle w:val="ListBullet"/>
        <w:spacing w:after="80" w:line="276" w:lineRule="auto"/>
      </w:pPr>
      <w:r>
        <w:t>La primera base se trabajó como landing B2B para una marca distinta, con servicios SAP HCM, SAP SuccessFactors y WorkForce Software.</w:t>
      </w:r>
    </w:p>
    <w:p>
      <w:pPr>
        <w:pStyle w:val="ListBullet"/>
        <w:spacing w:after="80" w:line="276" w:lineRule="auto"/>
      </w:pPr>
      <w:r>
        <w:t>Luego se solicitó un rebranding completo hacia Grupo Actual HR, eliminando referencias anteriores y cambiando el eje visual a Blueprint funcional para Capital Humano.</w:t>
      </w:r>
    </w:p>
    <w:p>
      <w:pPr>
        <w:pStyle w:val="ListBullet"/>
        <w:spacing w:after="80" w:line="276" w:lineRule="auto"/>
      </w:pPr>
      <w:r>
        <w:t>Se definió una estética SAP-like consultiva, más cercana a una firma de procesos enterprise que a una empresa de software genérica.</w:t>
      </w:r>
    </w:p>
    <w:p>
      <w:pPr>
        <w:pStyle w:val="ListBullet"/>
        <w:spacing w:after="80" w:line="276" w:lineRule="auto"/>
      </w:pPr>
      <w:r>
        <w:t>Se construyó una versión limpia y validada en la carpeta final del proyecto.</w:t>
      </w:r>
    </w:p>
    <w:p>
      <w:pPr>
        <w:pStyle w:val="Heading1"/>
        <w:keepNext/>
      </w:pPr>
      <w:r>
        <w:t>3. Brand kit vigente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96"/>
            <w:vAlign w:val="center"/>
            <w:shd w:fill="0A3761"/>
            <w:tcBorders>
              <w:top w:val="single" w:sz="6" w:space="0" w:color="0A3761"/>
              <w:left w:val="single" w:sz="6" w:space="0" w:color="0A3761"/>
              <w:bottom w:val="single" w:sz="6" w:space="0" w:color="0A3761"/>
              <w:right w:val="single" w:sz="6" w:space="0" w:color="0A3761"/>
            </w:tcBorders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263"/>
            <w:vAlign w:val="center"/>
            <w:shd w:fill="0A3761"/>
            <w:tcBorders>
              <w:top w:val="single" w:sz="6" w:space="0" w:color="0A3761"/>
              <w:left w:val="single" w:sz="6" w:space="0" w:color="0A3761"/>
              <w:bottom w:val="single" w:sz="6" w:space="0" w:color="0A3761"/>
              <w:right w:val="single" w:sz="6" w:space="0" w:color="0A3761"/>
            </w:tcBorders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Nombre oficial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Grupo Actual HR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Logo textual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GRUPO arriba y Actual HR abajo, sin isotipo dominante.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Eje conceptual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Blueprint funcional para Capital Humano.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Territorio visual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Ruta Blueprint.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Promesa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Diseñamos procesos de Capital Humano para implementar tecnología con sentido de negocio.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Frase estratégica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Antes de implementar, entendemos. Antes de configurar, diseñamos. Antes del sistema, está el proceso.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Personalidad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Consultiva, técnica, enterprise, humana y clara.</w:t>
            </w:r>
          </w:p>
        </w:tc>
      </w:tr>
    </w:tbl>
    <w:p/>
    <w:p>
      <w:pPr>
        <w:pStyle w:val="Heading1"/>
        <w:keepNext/>
      </w:pPr>
      <w:r>
        <w:t>4. Paleta aprobada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96"/>
            <w:vAlign w:val="center"/>
            <w:shd w:fill="0A3761"/>
            <w:tcBorders>
              <w:top w:val="single" w:sz="6" w:space="0" w:color="0A3761"/>
              <w:left w:val="single" w:sz="6" w:space="0" w:color="0A3761"/>
              <w:bottom w:val="single" w:sz="6" w:space="0" w:color="0A3761"/>
              <w:right w:val="single" w:sz="6" w:space="0" w:color="0A3761"/>
            </w:tcBorders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263"/>
            <w:vAlign w:val="center"/>
            <w:shd w:fill="0A3761"/>
            <w:tcBorders>
              <w:top w:val="single" w:sz="6" w:space="0" w:color="0A3761"/>
              <w:left w:val="single" w:sz="6" w:space="0" w:color="0A3761"/>
              <w:bottom w:val="single" w:sz="6" w:space="0" w:color="0A3761"/>
              <w:right w:val="single" w:sz="6" w:space="0" w:color="0A3761"/>
            </w:tcBorders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Deep SAP Navy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#0A3761 - logo, fondos institucionales, títulos y autoridad enterprise.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SAP-like Blue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#0A6ED1 - acentos principales, navegación, botones y links.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Electric Cyan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#00B8D9 - nodos, líneas Blueprint, highlights y trazabilidad.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Cloud White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#FFFFFF - fondos principales y claridad visual.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Fiori Grey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#F5F7FA - fondos secundarios, tarjetas y bloques.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Graphite Blue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#1D2D3E - textos, profundidad y contraste ejecutivo.</w:t>
            </w:r>
          </w:p>
        </w:tc>
      </w:tr>
    </w:tbl>
    <w:p/>
    <w:p>
      <w:pPr>
        <w:pStyle w:val="Heading1"/>
        <w:keepNext/>
      </w:pPr>
      <w:r>
        <w:t>5. Decisiones editoriales</w:t>
      </w:r>
    </w:p>
    <w:p>
      <w:pPr>
        <w:pStyle w:val="ListBullet"/>
        <w:spacing w:after="80" w:line="276" w:lineRule="auto"/>
      </w:pPr>
      <w:r>
        <w:t>Todo el contenido visible del sitio se mantuvo en español.</w:t>
      </w:r>
    </w:p>
    <w:p>
      <w:pPr>
        <w:pStyle w:val="ListBullet"/>
        <w:spacing w:after="80" w:line="276" w:lineRule="auto"/>
      </w:pPr>
      <w:r>
        <w:t>Cuando se conectan ambas plataformas, se usa la forma SAP HCM and SAP SuccessFactors.</w:t>
      </w:r>
    </w:p>
    <w:p>
      <w:pPr>
        <w:pStyle w:val="ListBullet"/>
        <w:spacing w:after="80" w:line="276" w:lineRule="auto"/>
      </w:pPr>
      <w:r>
        <w:t>Se reemplazaron claims en inglés visibles por expresiones comerciales en español, como Blueprint funcional para Capital Humano y Ruta Blueprint.</w:t>
      </w:r>
    </w:p>
    <w:p>
      <w:pPr>
        <w:pStyle w:val="ListBullet"/>
        <w:spacing w:after="80" w:line="276" w:lineRule="auto"/>
      </w:pPr>
      <w:r>
        <w:t>Se eliminó la dependencia conceptual de la marca anterior y se mantuvo una narrativa consultiva de procesos.</w:t>
      </w:r>
    </w:p>
    <w:p>
      <w:pPr>
        <w:pStyle w:val="Heading1"/>
        <w:keepNext/>
      </w:pPr>
      <w:r>
        <w:t>6. Arquitectura de la landing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20"/>
            <w:vAlign w:val="center"/>
            <w:shd w:fill="0A3761"/>
            <w:tcBorders>
              <w:top w:val="single" w:sz="6" w:space="0" w:color="0A3761"/>
              <w:left w:val="single" w:sz="6" w:space="0" w:color="0A3761"/>
              <w:bottom w:val="single" w:sz="6" w:space="0" w:color="0A3761"/>
              <w:right w:val="single" w:sz="6" w:space="0" w:color="0A3761"/>
            </w:tcBorders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28"/>
            <w:vAlign w:val="center"/>
            <w:shd w:fill="0A3761"/>
            <w:tcBorders>
              <w:top w:val="single" w:sz="6" w:space="0" w:color="0A3761"/>
              <w:left w:val="single" w:sz="6" w:space="0" w:color="0A3761"/>
              <w:bottom w:val="single" w:sz="6" w:space="0" w:color="0A3761"/>
              <w:right w:val="single" w:sz="6" w:space="0" w:color="0A3761"/>
            </w:tcBorders>
          </w:tcPr>
          <w:p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311"/>
            <w:vAlign w:val="center"/>
            <w:shd w:fill="0A3761"/>
            <w:tcBorders>
              <w:top w:val="single" w:sz="6" w:space="0" w:color="0A3761"/>
              <w:left w:val="single" w:sz="6" w:space="0" w:color="0A3761"/>
              <w:bottom w:val="single" w:sz="6" w:space="0" w:color="0A3761"/>
              <w:right w:val="single" w:sz="6" w:space="0" w:color="0A3761"/>
            </w:tcBorders>
          </w:tcPr>
          <w:p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5F7FA"/>
          </w:tcPr>
          <w:p>
            <w:pPr>
              <w:spacing w:after="0" w:line="252" w:lineRule="auto"/>
            </w:pPr>
            <w:r>
              <w:rPr>
                <w:b/>
                <w:color w:val="0A3761"/>
                <w:sz w:val="18"/>
              </w:rPr>
              <w:t>Header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Navegación sticky con logo textual.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Contraste corregido y CTA visible.</w:t>
            </w:r>
          </w:p>
        </w:tc>
      </w:tr>
      <w:tr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5F7FA"/>
          </w:tcPr>
          <w:p>
            <w:pPr>
              <w:spacing w:after="0" w:line="252" w:lineRule="auto"/>
            </w:pPr>
            <w:r>
              <w:rPr>
                <w:b/>
                <w:color w:val="0A3761"/>
                <w:sz w:val="18"/>
              </w:rPr>
              <w:t>Hero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Presentar propuesta central y visual Blueprint.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Incluye nodos, capas, BPML y portlets estratégicos.</w:t>
            </w:r>
          </w:p>
        </w:tc>
      </w:tr>
      <w:tr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5F7FA"/>
          </w:tcPr>
          <w:p>
            <w:pPr>
              <w:spacing w:after="0" w:line="252" w:lineRule="auto"/>
            </w:pPr>
            <w:r>
              <w:rPr>
                <w:b/>
                <w:color w:val="0A3761"/>
                <w:sz w:val="18"/>
              </w:rPr>
              <w:t>Esencia de marca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Explicar convicción de procesos antes de tecnología.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Dos cards: Procesos y Consultoría.</w:t>
            </w:r>
          </w:p>
        </w:tc>
      </w:tr>
      <w:tr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5F7FA"/>
          </w:tcPr>
          <w:p>
            <w:pPr>
              <w:spacing w:after="0" w:line="252" w:lineRule="auto"/>
            </w:pPr>
            <w:r>
              <w:rPr>
                <w:b/>
                <w:color w:val="0A3761"/>
                <w:sz w:val="18"/>
              </w:rPr>
              <w:t>Blueprint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Mostrar método funcional de trabajo.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Cuatro pasos: Entender, Diseñar, Implementar, Adoptar.</w:t>
            </w:r>
          </w:p>
        </w:tc>
      </w:tr>
      <w:tr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5F7FA"/>
          </w:tcPr>
          <w:p>
            <w:pPr>
              <w:spacing w:after="0" w:line="252" w:lineRule="auto"/>
            </w:pPr>
            <w:r>
              <w:rPr>
                <w:b/>
                <w:color w:val="0A3761"/>
                <w:sz w:val="18"/>
              </w:rPr>
              <w:t>Servicios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Ordenar líneas comerciales.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Cards con capacidades y microcopy consultivo.</w:t>
            </w:r>
          </w:p>
        </w:tc>
      </w:tr>
      <w:tr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5F7FA"/>
          </w:tcPr>
          <w:p>
            <w:pPr>
              <w:spacing w:after="0" w:line="252" w:lineRule="auto"/>
            </w:pPr>
            <w:r>
              <w:rPr>
                <w:b/>
                <w:color w:val="0A3761"/>
                <w:sz w:val="18"/>
              </w:rPr>
              <w:t>SAP HCM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Detallar continuidad, control y evolución.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Lista funcional actualizada por solicitud del usuario.</w:t>
            </w:r>
          </w:p>
        </w:tc>
      </w:tr>
      <w:tr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5F7FA"/>
          </w:tcPr>
          <w:p>
            <w:pPr>
              <w:spacing w:after="0" w:line="252" w:lineRule="auto"/>
            </w:pPr>
            <w:r>
              <w:rPr>
                <w:b/>
                <w:color w:val="0A3761"/>
                <w:sz w:val="18"/>
              </w:rPr>
              <w:t>SAP SuccessFactors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Explicar transformación cloud con sentido de negocio.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Módulos y mensaje destacado.</w:t>
            </w:r>
          </w:p>
        </w:tc>
      </w:tr>
      <w:tr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5F7FA"/>
          </w:tcPr>
          <w:p>
            <w:pPr>
              <w:spacing w:after="0" w:line="252" w:lineRule="auto"/>
            </w:pPr>
            <w:r>
              <w:rPr>
                <w:b/>
                <w:color w:val="0A3761"/>
                <w:sz w:val="18"/>
              </w:rPr>
              <w:t>Metodología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Presentar ciclo de trabajo.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Pasos en español: Descubrir, Mapear, Diseñar, Habilitar, Adoptar, Mejorar.</w:t>
            </w:r>
          </w:p>
        </w:tc>
      </w:tr>
      <w:tr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5F7FA"/>
          </w:tcPr>
          <w:p>
            <w:pPr>
              <w:spacing w:after="0" w:line="252" w:lineRule="auto"/>
            </w:pPr>
            <w:r>
              <w:rPr>
                <w:b/>
                <w:color w:val="0A3761"/>
                <w:sz w:val="18"/>
              </w:rPr>
              <w:t>CTA final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Convertir interés en contacto.</w:t>
            </w:r>
          </w:p>
        </w:tc>
        <w:tc>
          <w:tcPr>
            <w:tcW w:type="dxa" w:w="32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 w:line="252" w:lineRule="auto"/>
            </w:pPr>
            <w:r>
              <w:rPr>
                <w:color w:val="1D2D3E"/>
                <w:sz w:val="18"/>
              </w:rPr>
              <w:t>Formulario visual y CTA de diagnóstico.</w:t>
            </w:r>
          </w:p>
        </w:tc>
      </w:tr>
    </w:tbl>
    <w:p/>
    <w:p>
      <w:pPr>
        <w:pStyle w:val="Heading1"/>
        <w:keepNext/>
      </w:pPr>
      <w:r>
        <w:t>7. Cambios visuales clave</w:t>
      </w:r>
    </w:p>
    <w:p>
      <w:pPr>
        <w:pStyle w:val="ListBullet"/>
        <w:spacing w:after="80" w:line="276" w:lineRule="auto"/>
      </w:pPr>
      <w:r>
        <w:t>Se removió el isotipo del logo para mantener únicamente GRUPO / Actual HR.</w:t>
      </w:r>
    </w:p>
    <w:p>
      <w:pPr>
        <w:pStyle w:val="ListBullet"/>
        <w:spacing w:after="80" w:line="276" w:lineRule="auto"/>
      </w:pPr>
      <w:r>
        <w:t>Se corrigió el contraste del menú principal para asegurar legibilidad sobre fondo institucional.</w:t>
      </w:r>
    </w:p>
    <w:p>
      <w:pPr>
        <w:pStyle w:val="ListBullet"/>
        <w:spacing w:after="80" w:line="276" w:lineRule="auto"/>
      </w:pPr>
      <w:r>
        <w:t>Se reforzó el hero con fondo Deep SAP Navy, patrón Blueprint y panel de arquitectura funcional HR.</w:t>
      </w:r>
    </w:p>
    <w:p>
      <w:pPr>
        <w:pStyle w:val="ListBullet"/>
        <w:spacing w:after="80" w:line="276" w:lineRule="auto"/>
      </w:pPr>
      <w:r>
        <w:t>Se incorporaron portlets específicos: colaborador, cumplimiento, automatización, sistemas y temas críticos de implementación.</w:t>
      </w:r>
    </w:p>
    <w:p>
      <w:pPr>
        <w:pStyle w:val="ListBullet"/>
        <w:spacing w:after="80" w:line="276" w:lineRule="auto"/>
      </w:pPr>
      <w:r>
        <w:t>Se agregó la bajada BPML (Maestro de Procesos).</w:t>
      </w:r>
    </w:p>
    <w:p>
      <w:pPr>
        <w:pStyle w:val="ListBullet"/>
        <w:spacing w:after="80" w:line="276" w:lineRule="auto"/>
      </w:pPr>
      <w:r>
        <w:t>Se corrigió Tailwind agregando el alias deep-navy, necesario para cargar correctamente el azul institucional en producción.</w:t>
      </w:r>
    </w:p>
    <w:p>
      <w:pPr>
        <w:pStyle w:val="Heading1"/>
        <w:keepNext/>
      </w:pPr>
      <w:r>
        <w:t>8. Stack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96"/>
            <w:vAlign w:val="center"/>
            <w:shd w:fill="0A3761"/>
            <w:tcBorders>
              <w:top w:val="single" w:sz="6" w:space="0" w:color="0A3761"/>
              <w:left w:val="single" w:sz="6" w:space="0" w:color="0A3761"/>
              <w:bottom w:val="single" w:sz="6" w:space="0" w:color="0A3761"/>
              <w:right w:val="single" w:sz="6" w:space="0" w:color="0A3761"/>
            </w:tcBorders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263"/>
            <w:vAlign w:val="center"/>
            <w:shd w:fill="0A3761"/>
            <w:tcBorders>
              <w:top w:val="single" w:sz="6" w:space="0" w:color="0A3761"/>
              <w:left w:val="single" w:sz="6" w:space="0" w:color="0A3761"/>
              <w:bottom w:val="single" w:sz="6" w:space="0" w:color="0A3761"/>
              <w:right w:val="single" w:sz="6" w:space="0" w:color="0A3761"/>
            </w:tcBorders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Framework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Next.js 14.2.35 con App Router.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Lenguaje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TypeScript.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UI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React con componentes reutilizables por sección.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Estilos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Tailwind CSS con paleta personalizada.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Íconos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lucide-react.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Deploy objetivo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Vercel.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Carpeta final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/Users/jorgelandaburmillan/Documents/Codex/grupo-actual-hr-final</w:t>
            </w:r>
          </w:p>
        </w:tc>
      </w:tr>
    </w:tbl>
    <w:p/>
    <w:p>
      <w:pPr>
        <w:pStyle w:val="Heading1"/>
        <w:keepNext/>
      </w:pPr>
      <w:r>
        <w:t>9. Archivos principales</w:t>
      </w:r>
    </w:p>
    <w:p>
      <w:pPr>
        <w:pStyle w:val="ListBullet"/>
        <w:spacing w:after="80" w:line="276" w:lineRule="auto"/>
      </w:pPr>
      <w:r>
        <w:t>app/layout.tsx - metadata SEO y estructura raíz.</w:t>
      </w:r>
    </w:p>
    <w:p>
      <w:pPr>
        <w:pStyle w:val="ListBullet"/>
        <w:spacing w:after="80" w:line="276" w:lineRule="auto"/>
      </w:pPr>
      <w:r>
        <w:t>app/page.tsx - composición de secciones de la landing.</w:t>
      </w:r>
    </w:p>
    <w:p>
      <w:pPr>
        <w:pStyle w:val="ListBullet"/>
        <w:spacing w:after="80" w:line="276" w:lineRule="auto"/>
      </w:pPr>
      <w:r>
        <w:t>app/globals.css - sistema visual base, spacing, patrones y cards.</w:t>
      </w:r>
    </w:p>
    <w:p>
      <w:pPr>
        <w:pStyle w:val="ListBullet"/>
        <w:spacing w:after="80" w:line="276" w:lineRule="auto"/>
      </w:pPr>
      <w:r>
        <w:t>components/Header.tsx - logo, navegación y menú mobile.</w:t>
      </w:r>
    </w:p>
    <w:p>
      <w:pPr>
        <w:pStyle w:val="ListBullet"/>
        <w:spacing w:after="80" w:line="276" w:lineRule="auto"/>
      </w:pPr>
      <w:r>
        <w:t>components/Hero.tsx - propuesta principal y visual Blueprint.</w:t>
      </w:r>
    </w:p>
    <w:p>
      <w:pPr>
        <w:pStyle w:val="ListBullet"/>
        <w:spacing w:after="80" w:line="276" w:lineRule="auto"/>
      </w:pPr>
      <w:r>
        <w:t>components/Services.tsx - líneas de servicio.</w:t>
      </w:r>
    </w:p>
    <w:p>
      <w:pPr>
        <w:pStyle w:val="ListBullet"/>
        <w:spacing w:after="80" w:line="276" w:lineRule="auto"/>
      </w:pPr>
      <w:r>
        <w:t>components/SapHcmSection.tsx - sección SAP HCM actualizada.</w:t>
      </w:r>
    </w:p>
    <w:p>
      <w:pPr>
        <w:pStyle w:val="ListBullet"/>
        <w:spacing w:after="80" w:line="276" w:lineRule="auto"/>
      </w:pPr>
      <w:r>
        <w:t>components/Methodology.tsx - metodología en español.</w:t>
      </w:r>
    </w:p>
    <w:p>
      <w:pPr>
        <w:pStyle w:val="ListBullet"/>
        <w:spacing w:after="80" w:line="276" w:lineRule="auto"/>
      </w:pPr>
      <w:r>
        <w:t>tailwind.config.ts - paleta oficial, alias deep-navy y sombras.</w:t>
      </w:r>
    </w:p>
    <w:p>
      <w:pPr>
        <w:pStyle w:val="ListBullet"/>
        <w:spacing w:after="80" w:line="276" w:lineRule="auto"/>
      </w:pPr>
      <w:r>
        <w:t>GRUPO_ACTUAL_HR_HANDOFF_PROMPT.md - prompt maestro actualizado.</w:t>
      </w:r>
    </w:p>
    <w:p>
      <w:pPr>
        <w:pStyle w:val="ListBullet"/>
        <w:spacing w:after="80" w:line="276" w:lineRule="auto"/>
      </w:pPr>
      <w:r>
        <w:t>PROMPT_APP_WEB_RESPONSIVA_GRUPO_ACTUAL_HR.md - prompt para evolucionar a app web.</w:t>
      </w:r>
    </w:p>
    <w:p>
      <w:pPr>
        <w:pStyle w:val="Heading1"/>
        <w:keepNext/>
      </w:pPr>
      <w:r>
        <w:t>10. Validaciones realizadas</w:t>
      </w:r>
    </w:p>
    <w:p>
      <w:pPr>
        <w:pStyle w:val="ListBullet"/>
        <w:spacing w:after="80" w:line="276" w:lineRule="auto"/>
      </w:pPr>
      <w:r>
        <w:t>Se instaló una base limpia de dependencias.</w:t>
      </w:r>
    </w:p>
    <w:p>
      <w:pPr>
        <w:pStyle w:val="ListBullet"/>
        <w:spacing w:after="80" w:line="276" w:lineRule="auto"/>
      </w:pPr>
      <w:r>
        <w:t>Se corrigió la dependencia faltante lucide-react.</w:t>
      </w:r>
    </w:p>
    <w:p>
      <w:pPr>
        <w:pStyle w:val="ListBullet"/>
        <w:spacing w:after="80" w:line="276" w:lineRule="auto"/>
      </w:pPr>
      <w:r>
        <w:t>Se validó TypeScript sin errores.</w:t>
      </w:r>
    </w:p>
    <w:p>
      <w:pPr>
        <w:pStyle w:val="ListBullet"/>
        <w:spacing w:after="80" w:line="276" w:lineRule="auto"/>
      </w:pPr>
      <w:r>
        <w:t>Se ejecutó npm run build correctamente.</w:t>
      </w:r>
    </w:p>
    <w:p>
      <w:pPr>
        <w:pStyle w:val="ListBullet"/>
        <w:spacing w:after="80" w:line="276" w:lineRule="auto"/>
      </w:pPr>
      <w:r>
        <w:t>Se levantó servidor local de producción.</w:t>
      </w:r>
    </w:p>
    <w:p>
      <w:pPr>
        <w:pStyle w:val="ListBullet"/>
        <w:spacing w:after="80" w:line="276" w:lineRule="auto"/>
      </w:pPr>
      <w:r>
        <w:t>Se verificó respuesta HTTP 200.</w:t>
      </w:r>
    </w:p>
    <w:p>
      <w:pPr>
        <w:pStyle w:val="ListBullet"/>
        <w:spacing w:after="80" w:line="276" w:lineRule="auto"/>
      </w:pPr>
      <w:r>
        <w:t>Se corrigió el problema visual de carga parcial agregando el alias deep-navy en Tailwind.</w:t>
      </w:r>
    </w:p>
    <w:p>
      <w:pPr>
        <w:pStyle w:val="ListBullet"/>
        <w:spacing w:after="80" w:line="276" w:lineRule="auto"/>
      </w:pPr>
      <w:r>
        <w:t>Se confirmó visualmente que la página queda desplegada correctamente en http://127.0.0.1:3022/.</w:t>
      </w:r>
    </w:p>
    <w:p>
      <w:pPr>
        <w:pStyle w:val="Heading1"/>
        <w:keepNext/>
      </w:pPr>
      <w:r>
        <w:t>11. Entregables generados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96"/>
            <w:vAlign w:val="center"/>
            <w:shd w:fill="0A3761"/>
            <w:tcBorders>
              <w:top w:val="single" w:sz="6" w:space="0" w:color="0A3761"/>
              <w:left w:val="single" w:sz="6" w:space="0" w:color="0A3761"/>
              <w:bottom w:val="single" w:sz="6" w:space="0" w:color="0A3761"/>
              <w:right w:val="single" w:sz="6" w:space="0" w:color="0A3761"/>
            </w:tcBorders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263"/>
            <w:vAlign w:val="center"/>
            <w:shd w:fill="0A3761"/>
            <w:tcBorders>
              <w:top w:val="single" w:sz="6" w:space="0" w:color="0A3761"/>
              <w:left w:val="single" w:sz="6" w:space="0" w:color="0A3761"/>
              <w:bottom w:val="single" w:sz="6" w:space="0" w:color="0A3761"/>
              <w:right w:val="single" w:sz="6" w:space="0" w:color="0A3761"/>
            </w:tcBorders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Sitio final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/Users/jorgelandaburmillan/Documents/Codex/grupo-actual-hr-final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Zip de entrega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/Users/jorgelandaburmillan/Documents/Codex/grupo-actual-hr-final.zip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Prompt maestro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GRUPO_ACTUAL_HR_HANDOFF_PROMPT.md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Prompt app web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PROMPT_APP_WEB_RESPONSIVA_GRUPO_ACTUAL_HR.md</w:t>
            </w:r>
          </w:p>
        </w:tc>
      </w:tr>
      <w:tr>
        <w:tc>
          <w:tcPr>
            <w:tcW w:type="dxa" w:w="4824"/>
            <w:shd w:fill="F5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b/>
                <w:color w:val="0A3761"/>
                <w:sz w:val="19"/>
              </w:rPr>
              <w:t>Documento Word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color w:val="1D2D3E"/>
                <w:sz w:val="19"/>
              </w:rPr>
              <w:t>Grupo_Actual_HR_Documentacion_Proceso.docx</w:t>
            </w:r>
          </w:p>
        </w:tc>
      </w:tr>
    </w:tbl>
    <w:p/>
    <w:p>
      <w:pPr>
        <w:pStyle w:val="Heading1"/>
        <w:keepNext/>
      </w:pPr>
      <w:r>
        <w:t>12. Próximos pasos recomendados</w:t>
      </w:r>
    </w:p>
    <w:p>
      <w:pPr>
        <w:pStyle w:val="ListNumber"/>
        <w:spacing w:after="100" w:line="276" w:lineRule="auto"/>
      </w:pPr>
      <w:r>
        <w:t>Subir el proyecto a un repositorio Git.</w:t>
      </w:r>
    </w:p>
    <w:p>
      <w:pPr>
        <w:pStyle w:val="ListNumber"/>
        <w:spacing w:after="100" w:line="276" w:lineRule="auto"/>
      </w:pPr>
      <w:r>
        <w:t>Conectar el repositorio a Vercel.</w:t>
      </w:r>
    </w:p>
    <w:p>
      <w:pPr>
        <w:pStyle w:val="ListNumber"/>
        <w:spacing w:after="100" w:line="276" w:lineRule="auto"/>
      </w:pPr>
      <w:r>
        <w:t>Configurar dominio final.</w:t>
      </w:r>
    </w:p>
    <w:p>
      <w:pPr>
        <w:pStyle w:val="ListNumber"/>
        <w:spacing w:after="100" w:line="276" w:lineRule="auto"/>
      </w:pPr>
      <w:r>
        <w:t>Implementar formulario real de contacto.</w:t>
      </w:r>
    </w:p>
    <w:p>
      <w:pPr>
        <w:pStyle w:val="ListNumber"/>
        <w:spacing w:after="100" w:line="276" w:lineRule="auto"/>
      </w:pPr>
      <w:r>
        <w:t>Separar contenido comercial en un archivo editable de contenido.</w:t>
      </w:r>
    </w:p>
    <w:p>
      <w:pPr>
        <w:pStyle w:val="ListNumber"/>
        <w:spacing w:after="100" w:line="276" w:lineRule="auto"/>
      </w:pPr>
      <w:r>
        <w:t>Agregar sitemap, robots, Open Graph y analítica.</w:t>
      </w:r>
    </w:p>
    <w:p>
      <w:pPr>
        <w:pStyle w:val="ListNumber"/>
        <w:spacing w:after="100" w:line="276" w:lineRule="auto"/>
      </w:pPr>
      <w:r>
        <w:t>Crear una ruta para brochure o material descargable.</w:t>
      </w:r>
    </w:p>
    <w:p>
      <w:pPr>
        <w:pStyle w:val="ListNumber"/>
        <w:spacing w:after="100" w:line="276" w:lineRule="auto"/>
      </w:pPr>
      <w:r>
        <w:t>Preparar política de privacidad si el formulario captura datos reales.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vAlign w:val="center"/>
            <w:shd w:fill="F5F7F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</w:tcPr>
          <w:p>
            <w:pPr>
              <w:spacing w:after="80"/>
            </w:pPr>
            <w:r>
              <w:rPr>
                <w:b/>
                <w:color w:val="0A3761"/>
              </w:rPr>
              <w:t>Conclusión</w:t>
            </w:r>
          </w:p>
          <w:p>
            <w:pPr>
              <w:spacing w:after="0" w:line="264" w:lineRule="auto"/>
            </w:pPr>
            <w:r>
              <w:rPr>
                <w:b w:val="0"/>
                <w:color w:val="1D2D3E"/>
              </w:rPr>
              <w:t>Grupo Actual HR quedó documentado, validado y preparado como base de producción. La siguiente etapa natural es convertir la landing en una app web con formulario funcional, rutas adicionales y despliegue en Vercel.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0A6ED1"/>
        <w:sz w:val="17"/>
      </w:rPr>
      <w:t>Blueprint funcional para Capital Humano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color w:val="0A3761"/>
        <w:sz w:val="17"/>
      </w:rPr>
      <w:t>Grupo Actual HR · Documentación de proceso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D2D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A3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A6ED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A376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A376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1D2D3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