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7692" w:rsidRPr="0089158D" w:rsidRDefault="00777692" w:rsidP="00777692">
      <w:pPr>
        <w:pStyle w:val="Ttulo2"/>
        <w:rPr>
          <w:rFonts w:eastAsia="MS Mincho"/>
          <w:color w:val="auto"/>
        </w:rPr>
      </w:pPr>
      <w:bookmarkStart w:id="0" w:name="_Toc401557279"/>
      <w:r>
        <w:t xml:space="preserve">MÉTODOS DE </w:t>
      </w:r>
      <w:r w:rsidRPr="009029E6">
        <w:t>ENTRENAMIENTO DE FUERZA MÁXIMA</w:t>
      </w:r>
      <w:bookmarkEnd w:id="0"/>
    </w:p>
    <w:p w:rsidR="00777692" w:rsidRDefault="00777692" w:rsidP="00777692"/>
    <w:p w:rsidR="00777692" w:rsidRDefault="00777692" w:rsidP="00777692">
      <w:r>
        <w:t xml:space="preserve">En la literatura científica se pueden encontrar diferentes formas de trabajo de la fuerza dirigidas hacia conseguir diferentes adaptaciones específicas como: Fres, fuerza hipertrofia (Fhip) o Fmáx. Por ello focalizar el objetivo que se quiere conseguir con el entrenamiento, es el principal condicionante para la planificación </w:t>
      </w:r>
      <w:r>
        <w:fldChar w:fldCharType="begin" w:fldLock="1"/>
      </w:r>
      <w:r>
        <w:instrText>ADDIN CSL_CITATION {"citationItems":[{"id":"ITEM-1","itemData":{"ISBN":"8480199423","abstract":"Traducción de: NSCA's essentials of personal training. Manual NSCA. Fundamentos del entrenamiento personal, escrito por reconocidas autoridades en anatomía, fisiología del ejercicio, biomecánica, medicina, psicología, pruebas de esfuerzo, nutrición y ciencias del ejercicio. Es una obra de referencia para entrenadores personales y otros profesionales del deporte. También es una herramienta insustituible para la preparación del examen de NSCA-Certified Personal Trainer®. El libro desarrolla las bases científicas de la preparación física personal y trata temas como la consulta y evaluación iniciales, las técnicas seguras y eficaces para los ejercicios, el diseño de programas, el entrenamiento para clientes o poblaciones especiales, y los aspectos legales que todo entrenador personal debe conocer y tener en cuenta. Todo esto se acompaña con más de 240 fotografías a todo color que muestran y explican con precisión la técnica correcta de los estiramientos, el entrenamiento anaeróbico, el entrenamiento aeróbico y los ejercicios pliométricos. Estructura y función de los sistemas muscular, nervioso y óseo / Len Kravitz. Estructura y función de los sistemas cardiovascular y respiratorio / Mark A. Williams. Bioenergética / Travis Triplett-McBride. Biomecánica / Everett Harman. Adaptaciones al entrenamiento resistido / Lee E. Brown y Joseph P. Weir. Adaptaciones al entrenamiento aeróbico / Lee E. Brown y Mathew J. Comeau. Nutrición y entrenamiento personal / Kristin J. Reimers. Psicología deportiva para el entrenador personal / Bradley D. Hatfield y Phil Kaplan. Consulta y valoración de la salud del cliente / John A.C. Kordich. Selección y administración de la evaluación de la forma física / John A.C. Kordich y Susan L. Heinrich. Protocolos y normas para las pruebas de la forma física / Joel T. Cramer y Jared W. Coburn. Ejercicios de flexibilidad, con el peso corporal y con \"fitball\" / Allen Hedrick. Técnicas de los ejercicios resistidos / Thomas R. Baechle y Roger W. Earle. Técnicas para las actividades cardiovasculares / J. Henry &lt;&lt;Hank&gt;&gt; Drought. Diseño de un programa de ejercicios resistidos / Roger W. Earle y Thomas R. Baechle. Diseño de un programa aeróbico de fondo / Patrick S. Hagerman. Entrenamiento pliométrico y de velocidad / David H. Potach. Clientes embarazadas, mayores o preadolescentes / Wayne L. Westcott y Avery D. Faigenbaum. Clientes con problemas nutricionales y metabólicos / Christine L. Vega y Carlos E. Jiménez. Clientes con enfermedades cardio…","author":[{"dropping-particle":"","family":"Earle","given":"Roger W.","non-dropping-particle":"","parse-names":false,"suffix":""},{"dropping-particle":"","family":"Baechle","given":"Thomas R.","non-dropping-particle":"","parse-names":false,"suffix":""}],"id":"ITEM-1","issued":{"date-parts":[["2012"]]},"publisher":"Paidotribo","publisher-place":"Barcelona","title":"Manual NSCA : fundamentos del entrenamiento personal","type":"book"},"uris":["http://www.mendeley.com/documents/?uuid=7f950dd5-af7e-3fe7-8cc3-7287f8b4ed36"]}],"mendeley":{"formattedCitation":"(Earle &amp; Baechle, 2012)","plainTextFormattedCitation":"(Earle &amp; Baechle, 2012)","previouslyFormattedCitation":"(Earle &amp; Baechle, 2012)"},"properties":{"noteIndex":0},"schema":"https://github.com/citation-style-language/schema/raw/master/csl-citation.json"}</w:instrText>
      </w:r>
      <w:r>
        <w:fldChar w:fldCharType="separate"/>
      </w:r>
      <w:r w:rsidRPr="00B05C64">
        <w:rPr>
          <w:noProof/>
        </w:rPr>
        <w:t>(Earle &amp; Baechle, 2012)</w:t>
      </w:r>
      <w:r>
        <w:fldChar w:fldCharType="end"/>
      </w:r>
      <w:r>
        <w:t xml:space="preserve">. </w:t>
      </w:r>
    </w:p>
    <w:p w:rsidR="00777692" w:rsidRDefault="00777692" w:rsidP="00777692"/>
    <w:p w:rsidR="00777692" w:rsidRDefault="00777692" w:rsidP="00777692">
      <w:r>
        <w:t>¿En qué consiste cada uno de ellos?:</w:t>
      </w:r>
    </w:p>
    <w:p w:rsidR="00777692" w:rsidRDefault="00777692" w:rsidP="00777692"/>
    <w:p w:rsidR="00777692" w:rsidRDefault="00777692" w:rsidP="00777692">
      <w:pPr>
        <w:numPr>
          <w:ilvl w:val="0"/>
          <w:numId w:val="3"/>
        </w:numPr>
        <w:contextualSpacing/>
      </w:pPr>
      <w:r>
        <w:t xml:space="preserve">Fres: capacidad de resistir una carga el mayor tiempo posible </w:t>
      </w:r>
      <w:r>
        <w:fldChar w:fldCharType="begin" w:fldLock="1"/>
      </w:r>
      <w:r>
        <w:instrText>ADDIN CSL_CITATION {"citationItems":[{"id":"ITEM-1","itemData":{"DOI":"10.3389/fphys.2017.00331","ISSN":"1664-042X","PMID":"28611677","abstract":"We examined the neuromuscular adaptations following 3 and 6 weeks of 80 vs. 30% one repetition maximum (1RM) resistance training to failure in the leg extensors. Twenty-six men (age = 23.1 ± 4.7 years) were randomly assigned to a high- (80% 1RM; n = 13) or low-load (30% 1RM; n = 13) resistance training group and completed leg extension resistance training to failure 3 times per week for 6 weeks. Testing was completed at baseline, 3, and 6 weeks of training. During each testing session, ultrasound muscle thickness and echo intensity, 1RM strength, maximal voluntary isometric contraction (MVIC) strength, and contractile properties of the quadriceps femoris were measured. Percent voluntary activation (VA) and electromyographic (EMG) amplitude were measured during MVIC, and during randomly ordered isometric step muscle actions at 10-100% of baseline MVIC. There were similar increases in muscle thickness from Baseline to Week 3 and 6 in the 80 and 30% 1RM groups. However, both 1RM and MVIC strength increased from Baseline to Week 3 and 6 to a greater degree in the 80% than 30% 1RM group. VA during MVIC was also greater in the 80 vs. 30% 1RM group at Week 6, and only training at 80% 1RM elicited a significant increase in EMG amplitude during MVIC. The peak twitch torque to MVIC ratio was also significantly reduced in the 80%, but not 30% 1RM group, at Week 3 and 6. Finally, VA and EMG amplitude were reduced during submaximal torque production as a result of training at 80% 1RM, but not 30% 1RM. Despite eliciting similar hypertrophy, 80% 1RM improved muscle strength more than 30% 1RM, and was accompanied by increases in VA and EMG amplitude during maximal force production. Furthermore, training at 80% 1RM resulted in a decreased neural cost to produce the same relative submaximal torques after training, whereas training at 30% 1RM did not. Therefore, our data suggest that high-load training results in greater neural adaptations that may explain the disparate increases in muscle strength despite similar hypertrophy following high- and low-load training programs.","author":[{"dropping-particle":"","family":"Jenkins","given":"Nathaniel D M","non-dropping-particle":"","parse-names":false,"suffix":""},{"dropping-particle":"","family":"Miramonti","given":"Amelia A","non-dropping-particle":"","parse-names":false,"suffix":""},{"dropping-particle":"","family":"Hill","given":"Ethan C","non-dropping-particle":"","parse-names":false,"suffix":""},{"dropping-particle":"","family":"Smith","given":"Cory M","non-dropping-particle":"","parse-names":false,"suffix":""},{"dropping-particle":"","family":"Cochrane-Snyman","given":"Kristen C","non-dropping-particle":"","parse-names":false,"suffix":""},{"dropping-particle":"","family":"Housh","given":"Terry J","non-dropping-particle":"","parse-names":false,"suffix":""},{"dropping-particle":"","family":"Cramer","given":"Joel T","non-dropping-particle":"","parse-names":false,"suffix":""}],"container-title":"Frontiers in physiology","id":"ITEM-1","issued":{"date-parts":[["2017"]]},"page":"331","publisher":"Frontiers Media SA","title":"Greater Neural Adaptations following High- vs. Low-Load Resistance Training.","type":"article-journal","volume":"8"},"uris":["http://www.mendeley.com/documents/?uuid=2e0a130a-44d8-33eb-af1a-1b686d8cd28f"]}],"mendeley":{"formattedCitation":"(Jenkins et al., 2017)","plainTextFormattedCitation":"(Jenkins et al., 2017)","previouslyFormattedCitation":"(Jenkins et al., 2017)"},"properties":{"noteIndex":0},"schema":"https://github.com/citation-style-language/schema/raw/master/csl-citation.json"}</w:instrText>
      </w:r>
      <w:r>
        <w:fldChar w:fldCharType="separate"/>
      </w:r>
      <w:r w:rsidRPr="00342F1A">
        <w:rPr>
          <w:noProof/>
        </w:rPr>
        <w:t>(Jenkins et al., 2017)</w:t>
      </w:r>
      <w:r>
        <w:fldChar w:fldCharType="end"/>
      </w:r>
      <w:r>
        <w:t>.</w:t>
      </w:r>
    </w:p>
    <w:p w:rsidR="00777692" w:rsidRDefault="00777692" w:rsidP="00777692"/>
    <w:p w:rsidR="00777692" w:rsidRDefault="00777692" w:rsidP="00777692">
      <w:pPr>
        <w:numPr>
          <w:ilvl w:val="0"/>
          <w:numId w:val="3"/>
        </w:numPr>
        <w:contextualSpacing/>
      </w:pPr>
      <w:r>
        <w:t xml:space="preserve">Fhip: capacidad de aumentar la masa muscular </w:t>
      </w:r>
      <w:r>
        <w:fldChar w:fldCharType="begin" w:fldLock="1"/>
      </w:r>
      <w:r>
        <w:instrText>ADDIN CSL_CITATION {"citationItems":[{"id":"ITEM-1","itemData":{"DOI":"10.1007/s00421-010-1735-9","ISSN":"1439-6327","PMID":"21113614","abstract":"Volume load (VL) is suggested to influence the adaptation of muscle to resistance exercise (RE). We sought to examine the independent association between total VL and hypertrophy and strength following a progressive RE protocol of equated sets and intensity. Total VL was calculated in 83 subjects (n = 43 males, n = 40 females; age = 25.12 ± 5.5 years) who participated in unilateral arm RE for 12 weeks. Subjects were tested for biceps muscle volume (MRI of the upper arm), isometric maximal voluntary contraction (MVC), and dynamic biceps strength (1RM), at baseline and following RE. Linear regression analysis revealed that sex was a significant predictor of hypertrophy (β = 0.06; p = 0.01) and strength (β = 0.14; p = 0.04), and that males had greater increases. Total VL was independently associated with hypertrophy only among females (β = 0.12; p &lt; 0.01). For males, only baseline strength was (inversely) related to hypertrophy (β = -0.12; p = 0.04). VL was strongly associated with changes in 1RM strength improvement for both males (β = 0.66; p &lt; 0.01) and females (β = 0.26; p = 0.02), but only related to MVC among females (β = 0.20; p = 0.02). Findings reveal that VL was independently associated with hypertrophy only among females. For males baseline strength was independently and inversely related to changes in muscle mass. Conversely, VL was found to be strongly associated with changes in 1RM for both males and females, controlling for age, body mass, and baseline strength.","author":[{"dropping-particle":"","family":"Peterson","given":"Mark D","non-dropping-particle":"","parse-names":false,"suffix":""},{"dropping-particle":"","family":"Pistilli","given":"Emidio","non-dropping-particle":"","parse-names":false,"suffix":""},{"dropping-particle":"","family":"Haff","given":"G Gregory","non-dropping-particle":"","parse-names":false,"suffix":""},{"dropping-particle":"","family":"Hoffman","given":"Eric P","non-dropping-particle":"","parse-names":false,"suffix":""},{"dropping-particle":"","family":"Gordon","given":"Paul M","non-dropping-particle":"","parse-names":false,"suffix":""}],"container-title":"European journal of applied physiology","id":"ITEM-1","issue":"6","issued":{"date-parts":[["2011","6"]]},"page":"1063-71","publisher":"NIH Public Access","title":"Progression of volume load and muscular adaptation during resistance exercise.","type":"article-journal","volume":"111"},"uris":["http://www.mendeley.com/documents/?uuid=3ad51a93-80ae-3e05-bc9f-b51265f5d322"]}],"mendeley":{"formattedCitation":"(Peterson et al., 2011)","plainTextFormattedCitation":"(Peterson et al., 2011)","previouslyFormattedCitation":"(Peterson et al., 2011)"},"properties":{"noteIndex":0},"schema":"https://github.com/citation-style-language/schema/raw/master/csl-citation.json"}</w:instrText>
      </w:r>
      <w:r>
        <w:fldChar w:fldCharType="separate"/>
      </w:r>
      <w:r w:rsidRPr="00342F1A">
        <w:rPr>
          <w:noProof/>
        </w:rPr>
        <w:t>(Peterson et al., 2011)</w:t>
      </w:r>
      <w:r>
        <w:fldChar w:fldCharType="end"/>
      </w:r>
      <w:r>
        <w:t>.</w:t>
      </w:r>
    </w:p>
    <w:p w:rsidR="00777692" w:rsidRDefault="00777692" w:rsidP="00777692"/>
    <w:p w:rsidR="00777692" w:rsidRDefault="00777692" w:rsidP="00777692">
      <w:pPr>
        <w:numPr>
          <w:ilvl w:val="0"/>
          <w:numId w:val="3"/>
        </w:numPr>
        <w:contextualSpacing/>
      </w:pPr>
      <w:r>
        <w:t xml:space="preserve">Fmáx: capacidad del sistema neuromuscular para superar la mayor carga posible en un solo movimiento, mediante una contracción máxima voluntaria </w:t>
      </w:r>
      <w:r>
        <w:fldChar w:fldCharType="begin" w:fldLock="1"/>
      </w:r>
      <w:r>
        <w:instrText>ADDIN CSL_CITATION {"citationItems":[{"id":"ITEM-1","itemData":{"ISBN":"8460599353","abstract":"1a. ed.","author":[{"dropping-particle":"","family":"Tous-Fajardo","given":"Julio.","non-dropping-particle":"","parse-names":false,"suffix":""}],"id":"ITEM-1","issued":{"date-parts":[["1999"]]},"publisher":"J. Tous","title":"Nuevas tendencias en fuerza y musculación","type":"book"},"uris":["http://www.mendeley.com/documents/?uuid=dda3536d-0a5b-3022-bfb5-b8c63f047987"]},{"id":"ITEM-2","itemData":{"ISBN":"9788495114051","abstract":"1a ed.","author":[{"dropping-particle":"","family":"Sebastiani-Obrador","given":"Enric Ma.","non-dropping-particle":"","parse-names":false,"suffix":""},{"dropping-particle":"","family":"González-Barrazán","given":"Carlos A.","non-dropping-particle":"","parse-names":false,"suffix":""}],"id":"ITEM-2","issued":{"date-parts":[["2000"]]},"number-of-pages":"102","publisher":"INDE","title":"Cualidades físicas","type":"book"},"uris":["http://www.mendeley.com/documents/?uuid=c20b30d4-8e4e-3c35-b177-c3a648c4e9cc"]}],"mendeley":{"formattedCitation":"(Sebastiani-Obrador &amp; González-Barrazán, 2000; Tous-Fajardo, 1999)"},"properties":{"noteIndex":0},"schema":"https://github.com/citation-style-language/schema/raw/master/csl-citation.json"}</w:instrText>
      </w:r>
      <w:r>
        <w:fldChar w:fldCharType="separate"/>
      </w:r>
      <w:r w:rsidRPr="003A204E">
        <w:rPr>
          <w:noProof/>
        </w:rPr>
        <w:t>(Sebastiani-Obrador &amp; González-Barrazán, 2000; Tous-Fajardo, 1999)</w:t>
      </w:r>
      <w:r>
        <w:fldChar w:fldCharType="end"/>
      </w:r>
      <w:r>
        <w:t>.</w:t>
      </w:r>
    </w:p>
    <w:p w:rsidR="00777692" w:rsidRDefault="00777692" w:rsidP="00777692"/>
    <w:p w:rsidR="00777692" w:rsidRDefault="00777692" w:rsidP="00777692">
      <w:r>
        <w:t xml:space="preserve">Las planificaciones referidas al entrenamiento de fuerza, incluyen distintos factores que afectan al sistema neuromuscular y por lo tanto van dirigidos a un objetivo concreto. Estos factores son </w:t>
      </w:r>
      <w:r>
        <w:fldChar w:fldCharType="begin" w:fldLock="1"/>
      </w:r>
      <w:r>
        <w:instrText>ADDIN CSL_CITATION {"citationItems":[{"id":"ITEM-1","itemData":{"ISBN":"9788498356540","abstract":"2a. ed. Precede al tit.: National Strength and Conditioning Association. Índices. Este libro representa el texto básico para aquellos profesionales que estén preparando el examen de certificación de la NSCA Certified Strength and Conditioning Specialist (CSCS), además de ser un texto de ayuda muy útil para la preparación del examen para obtener el certificado de entrenador personal (Certified Personal Trainer) de la NSCA.","author":[{"dropping-particle":"","family":"Baechle","given":"Thomas R.","non-dropping-particle":"","parse-names":false,"suffix":""},{"dropping-particle":"","family":"Earle","given":"Roger W.","non-dropping-particle":"","parse-names":false,"suffix":""}],"id":"ITEM-1","issued":{"date-parts":[["2013"]]},"publisher":"Panamericana","publisher-place":"Colorado","title":"Principios del entrenamiento de la fuerza y del acondicionamiento fisico","type":"book"},"uris":["http://www.mendeley.com/documents/?uuid=fef6b5cb-7ea0-3e52-8e54-c84ce259abe6"]}],"mendeley":{"formattedCitation":"(Baechle &amp; Earle, 2013)","plainTextFormattedCitation":"(Baechle &amp; Earle, 2013)","previouslyFormattedCitation":"(Baechle &amp; Earle, 2013)"},"properties":{"noteIndex":0},"schema":"https://github.com/citation-style-language/schema/raw/master/csl-citation.json"}</w:instrText>
      </w:r>
      <w:r>
        <w:fldChar w:fldCharType="separate"/>
      </w:r>
      <w:r w:rsidRPr="00C9455C">
        <w:rPr>
          <w:noProof/>
        </w:rPr>
        <w:t>(Baechle &amp; Earle, 2013)</w:t>
      </w:r>
      <w:r>
        <w:fldChar w:fldCharType="end"/>
      </w:r>
      <w:r>
        <w:t>:</w:t>
      </w:r>
    </w:p>
    <w:p w:rsidR="00777692" w:rsidRDefault="00777692" w:rsidP="00777692"/>
    <w:p w:rsidR="00777692" w:rsidRDefault="00777692" w:rsidP="00777692">
      <w:pPr>
        <w:numPr>
          <w:ilvl w:val="0"/>
          <w:numId w:val="2"/>
        </w:numPr>
        <w:contextualSpacing/>
      </w:pPr>
      <w:r w:rsidRPr="000C43C0">
        <w:rPr>
          <w:u w:val="single"/>
        </w:rPr>
        <w:t>Frecuencia del entrenamiento</w:t>
      </w:r>
      <w:r>
        <w:t>: número de sesiones semanales específicas dirigidas al entrenamiento.</w:t>
      </w:r>
    </w:p>
    <w:p w:rsidR="00777692" w:rsidRDefault="00777692" w:rsidP="00777692"/>
    <w:p w:rsidR="00777692" w:rsidRDefault="00777692" w:rsidP="00777692">
      <w:pPr>
        <w:numPr>
          <w:ilvl w:val="0"/>
          <w:numId w:val="2"/>
        </w:numPr>
        <w:contextualSpacing/>
      </w:pPr>
      <w:r w:rsidRPr="000C43C0">
        <w:rPr>
          <w:u w:val="single"/>
        </w:rPr>
        <w:t>Carga</w:t>
      </w:r>
      <w:r>
        <w:t>: cantidad de Kg totales levantados en una sesión de entrenamiento.</w:t>
      </w:r>
    </w:p>
    <w:p w:rsidR="00777692" w:rsidRDefault="00777692" w:rsidP="00777692"/>
    <w:p w:rsidR="00777692" w:rsidRDefault="00777692" w:rsidP="00777692">
      <w:pPr>
        <w:numPr>
          <w:ilvl w:val="0"/>
          <w:numId w:val="2"/>
        </w:numPr>
        <w:contextualSpacing/>
      </w:pPr>
      <w:r>
        <w:rPr>
          <w:u w:val="single"/>
        </w:rPr>
        <w:t>Intensidad</w:t>
      </w:r>
      <w:r w:rsidRPr="00F74272">
        <w:t>:</w:t>
      </w:r>
      <w:r>
        <w:t xml:space="preserve"> porcentaje de carga con el que se trabaja en la sesión. Habitualmente se calcula mediante un test de estimación de repetición máxima (1RM).</w:t>
      </w:r>
    </w:p>
    <w:p w:rsidR="00777692" w:rsidRDefault="00777692" w:rsidP="00777692"/>
    <w:p w:rsidR="00777692" w:rsidRDefault="00777692" w:rsidP="00777692">
      <w:pPr>
        <w:numPr>
          <w:ilvl w:val="0"/>
          <w:numId w:val="2"/>
        </w:numPr>
        <w:contextualSpacing/>
      </w:pPr>
      <w:r w:rsidRPr="000C43C0">
        <w:rPr>
          <w:u w:val="single"/>
        </w:rPr>
        <w:t>Número de series</w:t>
      </w:r>
      <w:r>
        <w:t>: bloque de repeticiones que se practican consecutivamente.</w:t>
      </w:r>
    </w:p>
    <w:p w:rsidR="00777692" w:rsidRDefault="00777692" w:rsidP="00777692"/>
    <w:p w:rsidR="00777692" w:rsidRDefault="00777692" w:rsidP="00777692">
      <w:pPr>
        <w:numPr>
          <w:ilvl w:val="0"/>
          <w:numId w:val="2"/>
        </w:numPr>
        <w:contextualSpacing/>
      </w:pPr>
      <w:r w:rsidRPr="000C43C0">
        <w:rPr>
          <w:u w:val="single"/>
        </w:rPr>
        <w:t>Repeticiones</w:t>
      </w:r>
      <w:r>
        <w:t>: número de veces que se supera la carga.</w:t>
      </w:r>
    </w:p>
    <w:p w:rsidR="00777692" w:rsidRDefault="00777692" w:rsidP="00777692"/>
    <w:p w:rsidR="00777692" w:rsidRDefault="00777692" w:rsidP="00777692">
      <w:pPr>
        <w:numPr>
          <w:ilvl w:val="0"/>
          <w:numId w:val="2"/>
        </w:numPr>
        <w:contextualSpacing/>
      </w:pPr>
      <w:r>
        <w:rPr>
          <w:u w:val="single"/>
        </w:rPr>
        <w:lastRenderedPageBreak/>
        <w:t>Periodo de recuperación total</w:t>
      </w:r>
      <w:r w:rsidRPr="007C1CB3">
        <w:t>:</w:t>
      </w:r>
      <w:r>
        <w:t xml:space="preserve"> tiempo necesario que transcurre para poder realizar sin fatiga la próxima sesión de entrenamiento.</w:t>
      </w:r>
    </w:p>
    <w:p w:rsidR="00777692" w:rsidRDefault="00777692" w:rsidP="00777692"/>
    <w:p w:rsidR="00777692" w:rsidRDefault="00777692" w:rsidP="00777692">
      <w:pPr>
        <w:numPr>
          <w:ilvl w:val="0"/>
          <w:numId w:val="2"/>
        </w:numPr>
        <w:contextualSpacing/>
      </w:pPr>
      <w:r w:rsidRPr="000C43C0">
        <w:rPr>
          <w:u w:val="single"/>
        </w:rPr>
        <w:t>Periodo de recuperación</w:t>
      </w:r>
      <w:r>
        <w:t>: tiempo que se programa entre el final de una serie y el principio de la siguiente.</w:t>
      </w:r>
    </w:p>
    <w:p w:rsidR="00777692" w:rsidRDefault="00777692" w:rsidP="00777692"/>
    <w:p w:rsidR="00777692" w:rsidRDefault="00777692" w:rsidP="00777692">
      <w:r>
        <w:t xml:space="preserve">Además de los factores enumerados anteriormente González-Badillo y Ribas-Serna (2002), nombran otro factor como variable de control de intensidad, el cual consideran incluso más preciso y racional que los descritos anteriormente, </w:t>
      </w:r>
      <w:r w:rsidRPr="00D343D7">
        <w:rPr>
          <w:u w:val="single"/>
        </w:rPr>
        <w:t>la velocidad de ejecución</w:t>
      </w:r>
      <w:r>
        <w:t xml:space="preserve">. Esta variable de control aparece en los inicios del S.XXI, anteriormente no se utilizaba debido al trastorno que genera su medición, al necesitar en el momento de la acción la dinamometría isocinética. Este dispositivo no es muy común en el entorno práctico del entrenamiento </w:t>
      </w:r>
      <w:r>
        <w:fldChar w:fldCharType="begin" w:fldLock="1"/>
      </w:r>
      <w:r>
        <w:instrText>ADDIN CSL_CITATION {"citationItems":[{"id":"ITEM-1","itemData":{"DOI":"10.2478/v10078-011-0053-6","ISSN":"1640-5544","PMID":"23487504","abstract":"Configuration of the exercise stimulus in resitance training has been traditionally associated with a combination of the so-called 'acute resistance exercise variables' (exercise type and order, loading, number of repetitions and sets, rests duration and movement velocity). During typical resistance exercise in isoinertial conditions, and assuming every repetition is performed with maximal voluntary effort, velocity unintentionally declines as fatigue develops. However, few studies analyzing the response to different resitance training schemes have described changes in repetition velocity or power. It thus seems necessary to conduct more research using models of fatigue that analyze the reduction in mechanical variables such as force, velocity and power output over repeated dynamic contractions in actual training or competition settings. Thus, the aim of this paper was to discuss the importance of movement velocity concerning control training intensity.","author":[{"dropping-particle":"","family":"González-Badillo","given":"Juan José","non-dropping-particle":"","parse-names":false,"suffix":""},{"dropping-particle":"","family":"Marques","given":"Mário C","non-dropping-particle":"","parse-names":false,"suffix":""},{"dropping-particle":"","family":"Sánchez-Medina","given":"Luis","non-dropping-particle":"","parse-names":false,"suffix":""}],"container-title":"Journal of human kinetics","id":"ITEM-1","issued":{"date-parts":[["2011","9"]]},"page":"15-9","publisher":"De Gruyter Open","title":"The importance of movement velocity as a measure to control resistance training intensity.","type":"article-journal","volume":"29A"},"uris":["http://www.mendeley.com/documents/?uuid=a4948b6b-952b-320c-ac2d-24bb74466113"]}],"mendeley":{"formattedCitation":"(Juan José González-Badillo, Marques, &amp; Sánchez-Medina, 2011)"},"properties":{"noteIndex":0},"schema":"https://github.com/citation-style-language/schema/raw/master/csl-citation.json"}</w:instrText>
      </w:r>
      <w:r>
        <w:fldChar w:fldCharType="separate"/>
      </w:r>
      <w:r w:rsidRPr="003A204E">
        <w:rPr>
          <w:noProof/>
        </w:rPr>
        <w:t>(González-Badillo, Marques, &amp; Sánchez-Medina, 2011)</w:t>
      </w:r>
      <w:r>
        <w:fldChar w:fldCharType="end"/>
      </w:r>
      <w:r>
        <w:t xml:space="preserve">. Actualmente existen múltiples dispositivos tecnológicos que facilitan la extracción de este dato sin mayor complicación. La velocidad de ejecución está relacionada con el nivel de esfuerzo real que realiza el deportista, lo cual aporta un valor más fiable del esfuerzo que se ejecuta en cada serie </w:t>
      </w:r>
      <w:r>
        <w:fldChar w:fldCharType="begin" w:fldLock="1"/>
      </w:r>
      <w:r>
        <w:instrText>ADDIN CSL_CITATION {"citationItems":[{"id":"ITEM-1","itemData":{"DOI":"10.1249/MSS.0b013e318213f880","ISSN":"0195-9131","PMID":"21311352","abstract":"PURPOSE This study aimed to analyze the acute mechanical and metabolic response to resistance exercise protocols (REP) differing in the number of repetitions (R) performed in each set (S) with respect to the maximum predicted number (P). METHODS Over 21 exercise sessions separated by 48-72 h, 18 strength-trained males (10 in bench press (BP) and 8 in squat (SQ)) performed 1) a progressive test for one-repetition maximum (1RM) and load-velocity profile determination, 2) tests of maximal number of repetitions to failure (12RM, 10RM, 8RM, 6RM, and 4RM), and 3) 15 REP (S × R[P]: 3 × 6[12], 3 × 8[12], 3 × 10[12], 3 × 12[12], 3 × 6[10], 3 × 8[10], 3 × 10[10], 3 × 4[8], 3 × 6[8], 3 × 8[8], 3 × 3[6], 3 × 4[6], 3 × 6[6], 3 × 2[4], 3 × 4[4]), with 5-min interset rests. Kinematic data were registered by a linear velocity transducer. Blood lactate and ammonia were measured before and after exercise. RESULTS Mean repetition velocity loss after three sets, loss of velocity pre-post exercise against the 1-m·s load, and countermovement jump height loss (SQ group) were significant for all REP and were highly correlated to each other (r = 0.91-0.97). Velocity loss was significantly greater for BP compared with SQ and strongly correlated to peak postexercise lactate (r = 0.93-0.97) for both SQ and BP. Unlike lactate, ammonia showed a curvilinear response to loss of velocity, only increasing above resting levels when R was at least two repetitions higher than 50% of P. CONCLUSIONS Velocity loss and metabolic stress clearly differs when manipulating the number of repetitions actually performed in each training set. The high correlations found between mechanical (velocity and countermovement jump height losses) and metabolic (lactate, ammonia) measures of fatigue support the validity of using velocity loss to objectively quantify neuromuscular fatigue during resistance training.","author":[{"dropping-particle":"","family":"Sánchez-Medina","given":"Luis","non-dropping-particle":"","parse-names":false,"suffix":""},{"dropping-particle":"","family":"González-Badillo","given":"Juan José","non-dropping-particle":"","parse-names":false,"suffix":""}],"container-title":"Medicine &amp; Science in Sports &amp; Exercise","id":"ITEM-1","issue":"9","issued":{"date-parts":[["2011","9"]]},"page":"1725-1734","title":"Velocity Loss as an Indicator of Neuromuscular Fatigue during Resistance Training","type":"article-journal","volume":"43"},"uris":["http://www.mendeley.com/documents/?uuid=95e4d48c-cfe1-3193-8f3b-cbfd322c23ca"]},{"id":"ITEM-2","itemData":{"DOI":"10.2478/v10078-011-0053-6","ISSN":"1640-5544","PMID":"23487504","abstract":"Configuration of the exercise stimulus in resitance training has been traditionally associated with a combination of the so-called 'acute resistance exercise variables' (exercise type and order, loading, number of repetitions and sets, rests duration and movement velocity). During typical resistance exercise in isoinertial conditions, and assuming every repetition is performed with maximal voluntary effort, velocity unintentionally declines as fatigue develops. However, few studies analyzing the response to different resitance training schemes have described changes in repetition velocity or power. It thus seems necessary to conduct more research using models of fatigue that analyze the reduction in mechanical variables such as force, velocity and power output over repeated dynamic contractions in actual training or competition settings. Thus, the aim of this paper was to discuss the importance of movement velocity concerning control training intensity.","author":[{"dropping-particle":"","family":"González-Badillo","given":"Juan José","non-dropping-particle":"","parse-names":false,"suffix":""},{"dropping-particle":"","family":"Marques","given":"Mário C","non-dropping-particle":"","parse-names":false,"suffix":""},{"dropping-particle":"","family":"Sánchez-Medina","given":"Luis","non-dropping-particle":"","parse-names":false,"suffix":""}],"container-title":"Journal of human kinetics","id":"ITEM-2","issued":{"date-parts":[["2011","9"]]},"page":"15-9","publisher":"De Gruyter Open","title":"The importance of movement velocity as a measure to control resistance training intensity.","type":"article-journal","volume":"29A"},"uris":["http://www.mendeley.com/documents/?uuid=a4948b6b-952b-320c-ac2d-24bb74466113"]}],"mendeley":{"formattedCitation":"(Juan José González-Badillo et al., 2011; Sánchez-Medina &amp; González-Badillo, 2011)"},"properties":{"noteIndex":0},"schema":"https://github.com/citation-style-language/schema/raw/master/csl-citation.json"}</w:instrText>
      </w:r>
      <w:r>
        <w:fldChar w:fldCharType="separate"/>
      </w:r>
      <w:r w:rsidRPr="003A204E">
        <w:rPr>
          <w:noProof/>
        </w:rPr>
        <w:t>(González-Badillo et al., 2011; Sánchez-Medina &amp; González-Badillo, 2011)</w:t>
      </w:r>
      <w:r>
        <w:fldChar w:fldCharType="end"/>
      </w:r>
      <w:r>
        <w:t xml:space="preserve">. </w:t>
      </w:r>
    </w:p>
    <w:p w:rsidR="00777692" w:rsidRDefault="00777692" w:rsidP="00777692"/>
    <w:p w:rsidR="00777692" w:rsidRDefault="00777692" w:rsidP="00777692">
      <w:r>
        <w:t>Dependiendo del objetivo propuesto, los factores del entrenamiento son unos u otros y tienen una estrecha relación con el tipo de fuerza que se quiera mejorar. Por ello se puede ver en la Tabla 1 las variaciones de dichos factores extraídas de Baechle &amp; Earle (2013), con la incorporación de la velocidad media propulsiva (VMP) propuesta por Balsalobre-Fernández &amp; Jiménez-Reyes (2014).</w:t>
      </w:r>
    </w:p>
    <w:p w:rsidR="00777692" w:rsidRDefault="00777692" w:rsidP="00777692">
      <w:pPr>
        <w:rPr>
          <w:b/>
        </w:rPr>
      </w:pPr>
    </w:p>
    <w:p w:rsidR="00777692" w:rsidRDefault="00777692" w:rsidP="00777692">
      <w:pPr>
        <w:rPr>
          <w:b/>
        </w:rPr>
      </w:pPr>
    </w:p>
    <w:p w:rsidR="00777692" w:rsidRDefault="00777692" w:rsidP="00777692">
      <w:pPr>
        <w:rPr>
          <w:b/>
        </w:rPr>
      </w:pPr>
    </w:p>
    <w:p w:rsidR="00777692" w:rsidRPr="00C705D1" w:rsidRDefault="00777692" w:rsidP="00777692"/>
    <w:p w:rsidR="00777692" w:rsidRDefault="00777692" w:rsidP="00777692">
      <w:pPr>
        <w:pStyle w:val="Descripcin"/>
        <w:keepNext/>
      </w:pPr>
      <w:bookmarkStart w:id="1" w:name="_Toc401568537"/>
      <w:r>
        <w:rPr>
          <w:b/>
        </w:rPr>
        <w:t>T</w:t>
      </w:r>
      <w:r w:rsidRPr="00C705D1">
        <w:rPr>
          <w:b/>
        </w:rPr>
        <w:t xml:space="preserve">abla </w:t>
      </w:r>
      <w:r w:rsidRPr="00C705D1">
        <w:rPr>
          <w:b/>
        </w:rPr>
        <w:fldChar w:fldCharType="begin"/>
      </w:r>
      <w:r w:rsidRPr="00C705D1">
        <w:rPr>
          <w:b/>
        </w:rPr>
        <w:instrText xml:space="preserve"> </w:instrText>
      </w:r>
      <w:r>
        <w:rPr>
          <w:b/>
        </w:rPr>
        <w:instrText>SEQ</w:instrText>
      </w:r>
      <w:r w:rsidRPr="00C705D1">
        <w:rPr>
          <w:b/>
        </w:rPr>
        <w:instrText xml:space="preserve"> Tabla \* ARABIC </w:instrText>
      </w:r>
      <w:r w:rsidRPr="00C705D1">
        <w:rPr>
          <w:b/>
        </w:rPr>
        <w:fldChar w:fldCharType="separate"/>
      </w:r>
      <w:r>
        <w:rPr>
          <w:b/>
          <w:noProof/>
        </w:rPr>
        <w:t>1</w:t>
      </w:r>
      <w:r w:rsidRPr="00C705D1">
        <w:rPr>
          <w:b/>
        </w:rPr>
        <w:fldChar w:fldCharType="end"/>
      </w:r>
      <w:r w:rsidRPr="00C705D1">
        <w:rPr>
          <w:b/>
        </w:rPr>
        <w:t>.</w:t>
      </w:r>
      <w:r>
        <w:t xml:space="preserve"> </w:t>
      </w:r>
      <w:r w:rsidRPr="00335484">
        <w:t xml:space="preserve">Relación entre los factores de la planificación del entrenamiento y el tipo de adaptación respecto a la </w:t>
      </w:r>
      <w:r>
        <w:t>fuerza</w:t>
      </w:r>
      <w:r w:rsidRPr="00335484">
        <w:t xml:space="preserve"> que se quiere conseguir</w:t>
      </w:r>
      <w:r>
        <w:t>. Elaboración propia.</w:t>
      </w:r>
      <w:bookmarkEnd w:id="1"/>
    </w:p>
    <w:tbl>
      <w:tblPr>
        <w:tblW w:w="8681" w:type="dxa"/>
        <w:tblInd w:w="55" w:type="dxa"/>
        <w:tblLayout w:type="fixed"/>
        <w:tblCellMar>
          <w:left w:w="70" w:type="dxa"/>
          <w:right w:w="70" w:type="dxa"/>
        </w:tblCellMar>
        <w:tblLook w:val="04A0" w:firstRow="1" w:lastRow="0" w:firstColumn="1" w:lastColumn="0" w:noHBand="0" w:noVBand="1"/>
      </w:tblPr>
      <w:tblGrid>
        <w:gridCol w:w="1140"/>
        <w:gridCol w:w="1002"/>
        <w:gridCol w:w="677"/>
        <w:gridCol w:w="1299"/>
        <w:gridCol w:w="1284"/>
        <w:gridCol w:w="1276"/>
        <w:gridCol w:w="992"/>
        <w:gridCol w:w="851"/>
        <w:gridCol w:w="160"/>
      </w:tblGrid>
      <w:tr w:rsidR="00777692" w:rsidRPr="006B20FB" w:rsidTr="004F387C">
        <w:trPr>
          <w:trHeight w:val="600"/>
        </w:trPr>
        <w:tc>
          <w:tcPr>
            <w:tcW w:w="1140" w:type="dxa"/>
            <w:tcBorders>
              <w:top w:val="single" w:sz="4" w:space="0" w:color="auto"/>
              <w:left w:val="nil"/>
              <w:bottom w:val="single" w:sz="4" w:space="0" w:color="auto"/>
              <w:right w:val="nil"/>
            </w:tcBorders>
            <w:shd w:val="clear" w:color="auto" w:fill="auto"/>
            <w:noWrap/>
            <w:vAlign w:val="center"/>
            <w:hideMark/>
          </w:tcPr>
          <w:p w:rsidR="00777692" w:rsidRPr="001077A4" w:rsidRDefault="00777692" w:rsidP="004F387C">
            <w:pPr>
              <w:spacing w:line="240" w:lineRule="auto"/>
              <w:jc w:val="center"/>
              <w:rPr>
                <w:rFonts w:eastAsia="Times New Roman"/>
                <w:b/>
                <w:bCs/>
                <w:color w:val="000000"/>
                <w:sz w:val="20"/>
                <w:szCs w:val="20"/>
              </w:rPr>
            </w:pPr>
          </w:p>
        </w:tc>
        <w:tc>
          <w:tcPr>
            <w:tcW w:w="1002" w:type="dxa"/>
            <w:tcBorders>
              <w:top w:val="single" w:sz="4" w:space="0" w:color="auto"/>
              <w:left w:val="nil"/>
              <w:bottom w:val="single" w:sz="4" w:space="0" w:color="auto"/>
              <w:right w:val="nil"/>
            </w:tcBorders>
            <w:shd w:val="clear" w:color="auto" w:fill="auto"/>
            <w:noWrap/>
            <w:vAlign w:val="center"/>
            <w:hideMark/>
          </w:tcPr>
          <w:p w:rsidR="00777692" w:rsidRDefault="00777692" w:rsidP="004F387C">
            <w:pPr>
              <w:spacing w:line="240" w:lineRule="auto"/>
              <w:ind w:right="52"/>
              <w:jc w:val="center"/>
              <w:rPr>
                <w:rFonts w:eastAsia="Times New Roman"/>
                <w:b/>
                <w:bCs/>
                <w:color w:val="000000"/>
                <w:sz w:val="20"/>
                <w:szCs w:val="20"/>
              </w:rPr>
            </w:pPr>
            <w:r w:rsidRPr="001077A4">
              <w:rPr>
                <w:rFonts w:eastAsia="Times New Roman"/>
                <w:b/>
                <w:bCs/>
                <w:color w:val="000000"/>
                <w:sz w:val="20"/>
                <w:szCs w:val="20"/>
              </w:rPr>
              <w:t>Carga</w:t>
            </w:r>
          </w:p>
          <w:p w:rsidR="00777692" w:rsidRPr="001077A4" w:rsidRDefault="00777692" w:rsidP="004F387C">
            <w:pPr>
              <w:spacing w:line="240" w:lineRule="auto"/>
              <w:ind w:right="52"/>
              <w:jc w:val="center"/>
              <w:rPr>
                <w:rFonts w:eastAsia="Times New Roman"/>
                <w:b/>
                <w:bCs/>
                <w:color w:val="000000"/>
                <w:sz w:val="20"/>
                <w:szCs w:val="20"/>
              </w:rPr>
            </w:pPr>
            <w:r>
              <w:rPr>
                <w:rFonts w:eastAsia="Times New Roman"/>
                <w:b/>
                <w:bCs/>
                <w:color w:val="000000"/>
                <w:sz w:val="20"/>
                <w:szCs w:val="20"/>
              </w:rPr>
              <w:t>(% 1RM)</w:t>
            </w:r>
          </w:p>
        </w:tc>
        <w:tc>
          <w:tcPr>
            <w:tcW w:w="677" w:type="dxa"/>
            <w:tcBorders>
              <w:top w:val="single" w:sz="4" w:space="0" w:color="auto"/>
              <w:left w:val="nil"/>
              <w:bottom w:val="single" w:sz="4" w:space="0" w:color="auto"/>
              <w:right w:val="nil"/>
            </w:tcBorders>
            <w:shd w:val="clear" w:color="auto" w:fill="auto"/>
            <w:noWrap/>
            <w:vAlign w:val="center"/>
            <w:hideMark/>
          </w:tcPr>
          <w:p w:rsidR="00777692" w:rsidRPr="001077A4" w:rsidRDefault="00777692" w:rsidP="004F387C">
            <w:pPr>
              <w:spacing w:line="240" w:lineRule="auto"/>
              <w:jc w:val="center"/>
              <w:rPr>
                <w:rFonts w:eastAsia="Times New Roman"/>
                <w:b/>
                <w:bCs/>
                <w:color w:val="000000"/>
                <w:sz w:val="20"/>
                <w:szCs w:val="20"/>
              </w:rPr>
            </w:pPr>
            <w:r w:rsidRPr="001077A4">
              <w:rPr>
                <w:rFonts w:eastAsia="Times New Roman"/>
                <w:b/>
                <w:bCs/>
                <w:color w:val="000000"/>
                <w:sz w:val="20"/>
                <w:szCs w:val="20"/>
              </w:rPr>
              <w:t>Series</w:t>
            </w:r>
          </w:p>
        </w:tc>
        <w:tc>
          <w:tcPr>
            <w:tcW w:w="1299" w:type="dxa"/>
            <w:tcBorders>
              <w:top w:val="single" w:sz="4" w:space="0" w:color="auto"/>
              <w:left w:val="nil"/>
              <w:bottom w:val="single" w:sz="4" w:space="0" w:color="auto"/>
              <w:right w:val="nil"/>
            </w:tcBorders>
            <w:shd w:val="clear" w:color="auto" w:fill="auto"/>
            <w:noWrap/>
            <w:vAlign w:val="center"/>
            <w:hideMark/>
          </w:tcPr>
          <w:p w:rsidR="00777692" w:rsidRPr="001077A4" w:rsidRDefault="00777692" w:rsidP="004F387C">
            <w:pPr>
              <w:spacing w:line="240" w:lineRule="auto"/>
              <w:jc w:val="center"/>
              <w:rPr>
                <w:rFonts w:eastAsia="Times New Roman"/>
                <w:b/>
                <w:bCs/>
                <w:color w:val="000000"/>
                <w:sz w:val="20"/>
                <w:szCs w:val="20"/>
              </w:rPr>
            </w:pPr>
            <w:r w:rsidRPr="001077A4">
              <w:rPr>
                <w:rFonts w:eastAsia="Times New Roman"/>
                <w:b/>
                <w:bCs/>
                <w:color w:val="000000"/>
                <w:sz w:val="20"/>
                <w:szCs w:val="20"/>
              </w:rPr>
              <w:t>Repeticiones</w:t>
            </w:r>
          </w:p>
        </w:tc>
        <w:tc>
          <w:tcPr>
            <w:tcW w:w="1284" w:type="dxa"/>
            <w:tcBorders>
              <w:top w:val="single" w:sz="4" w:space="0" w:color="auto"/>
              <w:left w:val="nil"/>
              <w:bottom w:val="single" w:sz="4" w:space="0" w:color="auto"/>
              <w:right w:val="nil"/>
            </w:tcBorders>
            <w:shd w:val="clear" w:color="auto" w:fill="auto"/>
            <w:vAlign w:val="center"/>
            <w:hideMark/>
          </w:tcPr>
          <w:p w:rsidR="00777692" w:rsidRPr="001077A4" w:rsidRDefault="00777692" w:rsidP="004F387C">
            <w:pPr>
              <w:spacing w:line="240" w:lineRule="auto"/>
              <w:jc w:val="center"/>
              <w:rPr>
                <w:rFonts w:eastAsia="Times New Roman"/>
                <w:b/>
                <w:bCs/>
                <w:color w:val="000000"/>
                <w:sz w:val="20"/>
                <w:szCs w:val="20"/>
              </w:rPr>
            </w:pPr>
            <w:r w:rsidRPr="001077A4">
              <w:rPr>
                <w:rFonts w:eastAsia="Times New Roman"/>
                <w:b/>
                <w:bCs/>
                <w:color w:val="000000"/>
                <w:sz w:val="20"/>
                <w:szCs w:val="20"/>
              </w:rPr>
              <w:t>Recuperación Total</w:t>
            </w:r>
            <w:r>
              <w:rPr>
                <w:rFonts w:eastAsia="Times New Roman"/>
                <w:b/>
                <w:bCs/>
                <w:color w:val="000000"/>
                <w:sz w:val="20"/>
                <w:szCs w:val="20"/>
              </w:rPr>
              <w:t xml:space="preserve"> (h)</w:t>
            </w:r>
          </w:p>
        </w:tc>
        <w:tc>
          <w:tcPr>
            <w:tcW w:w="1276" w:type="dxa"/>
            <w:tcBorders>
              <w:top w:val="single" w:sz="4" w:space="0" w:color="auto"/>
              <w:left w:val="nil"/>
              <w:bottom w:val="single" w:sz="4" w:space="0" w:color="auto"/>
              <w:right w:val="nil"/>
            </w:tcBorders>
            <w:shd w:val="clear" w:color="auto" w:fill="auto"/>
            <w:vAlign w:val="center"/>
            <w:hideMark/>
          </w:tcPr>
          <w:p w:rsidR="00777692" w:rsidRPr="001077A4" w:rsidRDefault="00777692" w:rsidP="004F387C">
            <w:pPr>
              <w:spacing w:line="240" w:lineRule="auto"/>
              <w:jc w:val="center"/>
              <w:rPr>
                <w:rFonts w:eastAsia="Times New Roman"/>
                <w:b/>
                <w:bCs/>
                <w:color w:val="000000"/>
                <w:sz w:val="20"/>
                <w:szCs w:val="20"/>
              </w:rPr>
            </w:pPr>
            <w:r w:rsidRPr="001077A4">
              <w:rPr>
                <w:rFonts w:eastAsia="Times New Roman"/>
                <w:b/>
                <w:bCs/>
                <w:color w:val="000000"/>
                <w:sz w:val="20"/>
                <w:szCs w:val="20"/>
              </w:rPr>
              <w:t>Recuperación entre series</w:t>
            </w:r>
          </w:p>
        </w:tc>
        <w:tc>
          <w:tcPr>
            <w:tcW w:w="992" w:type="dxa"/>
            <w:tcBorders>
              <w:top w:val="single" w:sz="4" w:space="0" w:color="auto"/>
              <w:left w:val="nil"/>
              <w:bottom w:val="single" w:sz="4" w:space="0" w:color="auto"/>
              <w:right w:val="nil"/>
            </w:tcBorders>
            <w:vAlign w:val="center"/>
          </w:tcPr>
          <w:p w:rsidR="00777692" w:rsidRPr="006B20FB" w:rsidRDefault="00777692" w:rsidP="004F387C">
            <w:pPr>
              <w:spacing w:line="240" w:lineRule="auto"/>
              <w:ind w:left="-23"/>
              <w:jc w:val="center"/>
              <w:rPr>
                <w:rFonts w:eastAsia="Times New Roman"/>
                <w:b/>
                <w:bCs/>
                <w:color w:val="000000"/>
                <w:sz w:val="20"/>
                <w:szCs w:val="20"/>
                <w:lang w:val="en-US"/>
              </w:rPr>
            </w:pPr>
            <w:r w:rsidRPr="006B20FB">
              <w:rPr>
                <w:rFonts w:eastAsia="Times New Roman"/>
                <w:b/>
                <w:bCs/>
                <w:color w:val="000000"/>
                <w:sz w:val="20"/>
                <w:szCs w:val="20"/>
                <w:lang w:val="en-US"/>
              </w:rPr>
              <w:t>VMP</w:t>
            </w:r>
          </w:p>
          <w:p w:rsidR="00777692" w:rsidRPr="006B20FB" w:rsidRDefault="00777692" w:rsidP="004F387C">
            <w:pPr>
              <w:spacing w:line="240" w:lineRule="auto"/>
              <w:ind w:left="-23"/>
              <w:jc w:val="center"/>
              <w:rPr>
                <w:rFonts w:eastAsia="Times New Roman"/>
                <w:b/>
                <w:bCs/>
                <w:color w:val="000000"/>
                <w:sz w:val="20"/>
                <w:szCs w:val="20"/>
                <w:lang w:val="en-US"/>
              </w:rPr>
            </w:pPr>
            <w:r w:rsidRPr="006B20FB">
              <w:rPr>
                <w:rFonts w:eastAsia="Times New Roman"/>
                <w:b/>
                <w:bCs/>
                <w:color w:val="000000"/>
                <w:sz w:val="20"/>
                <w:szCs w:val="20"/>
                <w:lang w:val="en-US"/>
              </w:rPr>
              <w:t>Tren superior</w:t>
            </w:r>
          </w:p>
          <w:p w:rsidR="00777692" w:rsidRPr="006B20FB" w:rsidRDefault="00777692" w:rsidP="004F387C">
            <w:pPr>
              <w:spacing w:line="240" w:lineRule="auto"/>
              <w:ind w:left="-23"/>
              <w:jc w:val="center"/>
              <w:rPr>
                <w:rFonts w:eastAsia="Times New Roman"/>
                <w:b/>
                <w:bCs/>
                <w:color w:val="000000"/>
                <w:sz w:val="20"/>
                <w:szCs w:val="20"/>
                <w:lang w:val="en-US"/>
              </w:rPr>
            </w:pPr>
            <w:r w:rsidRPr="006B20FB">
              <w:rPr>
                <w:rFonts w:eastAsia="Times New Roman"/>
                <w:b/>
                <w:bCs/>
                <w:color w:val="000000"/>
                <w:sz w:val="20"/>
                <w:szCs w:val="20"/>
                <w:lang w:val="en-US"/>
              </w:rPr>
              <w:t>(m/s)</w:t>
            </w:r>
          </w:p>
        </w:tc>
        <w:tc>
          <w:tcPr>
            <w:tcW w:w="851" w:type="dxa"/>
            <w:tcBorders>
              <w:top w:val="single" w:sz="4" w:space="0" w:color="auto"/>
              <w:left w:val="nil"/>
              <w:bottom w:val="single" w:sz="4" w:space="0" w:color="auto"/>
              <w:right w:val="nil"/>
            </w:tcBorders>
            <w:vAlign w:val="center"/>
          </w:tcPr>
          <w:p w:rsidR="00777692" w:rsidRPr="006B20FB" w:rsidRDefault="00777692" w:rsidP="004F387C">
            <w:pPr>
              <w:spacing w:line="240" w:lineRule="auto"/>
              <w:ind w:left="-15" w:right="-155" w:firstLine="15"/>
              <w:jc w:val="center"/>
              <w:rPr>
                <w:b/>
                <w:sz w:val="20"/>
                <w:szCs w:val="20"/>
                <w:lang w:val="en-US"/>
              </w:rPr>
            </w:pPr>
            <w:r w:rsidRPr="006B20FB">
              <w:rPr>
                <w:b/>
                <w:sz w:val="20"/>
                <w:szCs w:val="20"/>
                <w:lang w:val="en-US"/>
              </w:rPr>
              <w:t>VMP</w:t>
            </w:r>
          </w:p>
          <w:p w:rsidR="00777692" w:rsidRPr="006B20FB" w:rsidRDefault="00777692" w:rsidP="004F387C">
            <w:pPr>
              <w:spacing w:line="240" w:lineRule="auto"/>
              <w:ind w:left="-15" w:right="-155" w:firstLine="15"/>
              <w:jc w:val="center"/>
              <w:rPr>
                <w:b/>
                <w:sz w:val="20"/>
                <w:szCs w:val="20"/>
                <w:lang w:val="en-US"/>
              </w:rPr>
            </w:pPr>
            <w:r w:rsidRPr="006B20FB">
              <w:rPr>
                <w:b/>
                <w:sz w:val="20"/>
                <w:szCs w:val="20"/>
                <w:lang w:val="en-US"/>
              </w:rPr>
              <w:t>Tren inferior</w:t>
            </w:r>
          </w:p>
          <w:p w:rsidR="00777692" w:rsidRPr="006B20FB" w:rsidRDefault="00777692" w:rsidP="004F387C">
            <w:pPr>
              <w:spacing w:line="240" w:lineRule="auto"/>
              <w:ind w:left="-15" w:right="-155" w:firstLine="15"/>
              <w:jc w:val="center"/>
              <w:rPr>
                <w:rFonts w:eastAsia="Times New Roman"/>
                <w:b/>
                <w:bCs/>
                <w:color w:val="000000"/>
                <w:sz w:val="20"/>
                <w:szCs w:val="20"/>
                <w:lang w:val="en-US"/>
              </w:rPr>
            </w:pPr>
            <w:r w:rsidRPr="006B20FB">
              <w:rPr>
                <w:b/>
                <w:sz w:val="20"/>
                <w:szCs w:val="20"/>
                <w:lang w:val="en-US"/>
              </w:rPr>
              <w:t>(m/s)</w:t>
            </w:r>
          </w:p>
        </w:tc>
        <w:tc>
          <w:tcPr>
            <w:tcW w:w="160" w:type="dxa"/>
            <w:tcBorders>
              <w:top w:val="single" w:sz="4" w:space="0" w:color="auto"/>
              <w:left w:val="nil"/>
              <w:bottom w:val="single" w:sz="4" w:space="0" w:color="auto"/>
              <w:right w:val="nil"/>
            </w:tcBorders>
          </w:tcPr>
          <w:p w:rsidR="00777692" w:rsidRPr="006B20FB" w:rsidRDefault="00777692" w:rsidP="004F387C">
            <w:pPr>
              <w:spacing w:line="240" w:lineRule="auto"/>
              <w:jc w:val="center"/>
              <w:rPr>
                <w:rFonts w:eastAsia="Times New Roman"/>
                <w:b/>
                <w:bCs/>
                <w:color w:val="000000"/>
                <w:sz w:val="20"/>
                <w:szCs w:val="20"/>
                <w:lang w:val="en-US"/>
              </w:rPr>
            </w:pPr>
          </w:p>
        </w:tc>
      </w:tr>
      <w:tr w:rsidR="00777692" w:rsidRPr="004C25AC" w:rsidTr="004F387C">
        <w:trPr>
          <w:trHeight w:val="360"/>
        </w:trPr>
        <w:tc>
          <w:tcPr>
            <w:tcW w:w="1140" w:type="dxa"/>
            <w:tcBorders>
              <w:top w:val="nil"/>
              <w:left w:val="nil"/>
              <w:bottom w:val="nil"/>
              <w:right w:val="nil"/>
            </w:tcBorders>
            <w:shd w:val="clear" w:color="auto" w:fill="auto"/>
            <w:noWrap/>
            <w:vAlign w:val="center"/>
            <w:hideMark/>
          </w:tcPr>
          <w:p w:rsidR="00777692" w:rsidRPr="001077A4" w:rsidRDefault="00777692" w:rsidP="004F387C">
            <w:pPr>
              <w:spacing w:line="240" w:lineRule="auto"/>
              <w:jc w:val="left"/>
              <w:rPr>
                <w:rFonts w:eastAsia="Times New Roman"/>
                <w:b/>
                <w:bCs/>
                <w:color w:val="000000"/>
                <w:sz w:val="20"/>
                <w:szCs w:val="20"/>
              </w:rPr>
            </w:pPr>
            <w:r>
              <w:rPr>
                <w:rFonts w:eastAsia="Times New Roman"/>
                <w:b/>
                <w:bCs/>
                <w:color w:val="000000"/>
                <w:sz w:val="20"/>
                <w:szCs w:val="20"/>
              </w:rPr>
              <w:t>Fres</w:t>
            </w:r>
          </w:p>
        </w:tc>
        <w:tc>
          <w:tcPr>
            <w:tcW w:w="1002" w:type="dxa"/>
            <w:tcBorders>
              <w:top w:val="nil"/>
              <w:left w:val="nil"/>
              <w:bottom w:val="nil"/>
              <w:right w:val="nil"/>
            </w:tcBorders>
            <w:shd w:val="clear" w:color="auto" w:fill="auto"/>
            <w:noWrap/>
            <w:vAlign w:val="center"/>
            <w:hideMark/>
          </w:tcPr>
          <w:p w:rsidR="00777692" w:rsidRPr="001077A4" w:rsidRDefault="00777692" w:rsidP="004F387C">
            <w:pPr>
              <w:spacing w:line="240" w:lineRule="auto"/>
              <w:jc w:val="center"/>
              <w:rPr>
                <w:rFonts w:eastAsia="Times New Roman"/>
                <w:color w:val="000000"/>
                <w:sz w:val="20"/>
                <w:szCs w:val="20"/>
              </w:rPr>
            </w:pPr>
            <w:r w:rsidRPr="001077A4">
              <w:rPr>
                <w:rFonts w:eastAsia="Times New Roman"/>
                <w:color w:val="000000"/>
                <w:sz w:val="20"/>
                <w:szCs w:val="20"/>
              </w:rPr>
              <w:t>≤</w:t>
            </w:r>
            <w:r>
              <w:rPr>
                <w:rFonts w:eastAsia="Times New Roman"/>
                <w:color w:val="000000"/>
                <w:sz w:val="20"/>
                <w:szCs w:val="20"/>
              </w:rPr>
              <w:t>65</w:t>
            </w:r>
            <w:r w:rsidRPr="001077A4">
              <w:rPr>
                <w:rFonts w:eastAsia="Times New Roman"/>
                <w:color w:val="000000"/>
                <w:sz w:val="20"/>
                <w:szCs w:val="20"/>
              </w:rPr>
              <w:t xml:space="preserve"> </w:t>
            </w:r>
          </w:p>
        </w:tc>
        <w:tc>
          <w:tcPr>
            <w:tcW w:w="677" w:type="dxa"/>
            <w:tcBorders>
              <w:top w:val="nil"/>
              <w:left w:val="nil"/>
              <w:bottom w:val="nil"/>
              <w:right w:val="nil"/>
            </w:tcBorders>
            <w:shd w:val="clear" w:color="auto" w:fill="auto"/>
            <w:noWrap/>
            <w:vAlign w:val="center"/>
            <w:hideMark/>
          </w:tcPr>
          <w:p w:rsidR="00777692" w:rsidRPr="001077A4" w:rsidRDefault="00777692" w:rsidP="004F387C">
            <w:pPr>
              <w:spacing w:line="240" w:lineRule="auto"/>
              <w:jc w:val="center"/>
              <w:rPr>
                <w:rFonts w:eastAsia="Times New Roman"/>
                <w:color w:val="000000"/>
                <w:sz w:val="20"/>
                <w:szCs w:val="20"/>
              </w:rPr>
            </w:pPr>
            <w:r w:rsidRPr="001077A4">
              <w:rPr>
                <w:rFonts w:eastAsia="Times New Roman"/>
                <w:color w:val="000000"/>
                <w:sz w:val="20"/>
                <w:szCs w:val="20"/>
              </w:rPr>
              <w:t>2-3</w:t>
            </w:r>
          </w:p>
        </w:tc>
        <w:tc>
          <w:tcPr>
            <w:tcW w:w="1299" w:type="dxa"/>
            <w:tcBorders>
              <w:top w:val="nil"/>
              <w:left w:val="nil"/>
              <w:bottom w:val="nil"/>
              <w:right w:val="nil"/>
            </w:tcBorders>
            <w:shd w:val="clear" w:color="auto" w:fill="auto"/>
            <w:noWrap/>
            <w:vAlign w:val="center"/>
            <w:hideMark/>
          </w:tcPr>
          <w:p w:rsidR="00777692" w:rsidRPr="001077A4" w:rsidRDefault="00777692" w:rsidP="004F387C">
            <w:pPr>
              <w:spacing w:line="240" w:lineRule="auto"/>
              <w:jc w:val="center"/>
              <w:rPr>
                <w:rFonts w:eastAsia="Times New Roman"/>
                <w:color w:val="000000"/>
                <w:sz w:val="20"/>
                <w:szCs w:val="20"/>
              </w:rPr>
            </w:pPr>
            <w:r>
              <w:rPr>
                <w:rFonts w:eastAsia="Times New Roman"/>
                <w:color w:val="000000"/>
                <w:sz w:val="20"/>
                <w:szCs w:val="20"/>
              </w:rPr>
              <w:t>≥</w:t>
            </w:r>
            <w:r w:rsidRPr="001077A4">
              <w:rPr>
                <w:rFonts w:eastAsia="Times New Roman"/>
                <w:color w:val="000000"/>
                <w:sz w:val="20"/>
                <w:szCs w:val="20"/>
              </w:rPr>
              <w:t>12</w:t>
            </w:r>
          </w:p>
        </w:tc>
        <w:tc>
          <w:tcPr>
            <w:tcW w:w="1284" w:type="dxa"/>
            <w:tcBorders>
              <w:top w:val="nil"/>
              <w:left w:val="nil"/>
              <w:bottom w:val="nil"/>
              <w:right w:val="nil"/>
            </w:tcBorders>
            <w:shd w:val="clear" w:color="auto" w:fill="auto"/>
            <w:noWrap/>
            <w:vAlign w:val="center"/>
            <w:hideMark/>
          </w:tcPr>
          <w:p w:rsidR="00777692" w:rsidRPr="001077A4" w:rsidRDefault="00777692" w:rsidP="004F387C">
            <w:pPr>
              <w:spacing w:line="240" w:lineRule="auto"/>
              <w:jc w:val="center"/>
              <w:rPr>
                <w:rFonts w:eastAsia="Times New Roman"/>
                <w:color w:val="000000"/>
                <w:sz w:val="20"/>
                <w:szCs w:val="20"/>
              </w:rPr>
            </w:pPr>
            <w:r>
              <w:rPr>
                <w:rFonts w:eastAsia="Times New Roman"/>
                <w:color w:val="000000"/>
                <w:sz w:val="20"/>
                <w:szCs w:val="20"/>
              </w:rPr>
              <w:t>≤ 24</w:t>
            </w:r>
          </w:p>
        </w:tc>
        <w:tc>
          <w:tcPr>
            <w:tcW w:w="1276" w:type="dxa"/>
            <w:tcBorders>
              <w:top w:val="nil"/>
              <w:left w:val="nil"/>
              <w:bottom w:val="nil"/>
              <w:right w:val="nil"/>
            </w:tcBorders>
            <w:shd w:val="clear" w:color="auto" w:fill="auto"/>
            <w:noWrap/>
            <w:vAlign w:val="center"/>
            <w:hideMark/>
          </w:tcPr>
          <w:p w:rsidR="00777692" w:rsidRPr="001077A4" w:rsidRDefault="00777692" w:rsidP="004F387C">
            <w:pPr>
              <w:spacing w:line="240" w:lineRule="auto"/>
              <w:jc w:val="center"/>
              <w:rPr>
                <w:rFonts w:eastAsia="Times New Roman"/>
                <w:color w:val="000000"/>
                <w:sz w:val="20"/>
                <w:szCs w:val="20"/>
              </w:rPr>
            </w:pPr>
            <w:r>
              <w:rPr>
                <w:rFonts w:eastAsia="Times New Roman"/>
                <w:color w:val="000000"/>
                <w:sz w:val="20"/>
                <w:szCs w:val="20"/>
              </w:rPr>
              <w:t>≤30”</w:t>
            </w:r>
          </w:p>
        </w:tc>
        <w:tc>
          <w:tcPr>
            <w:tcW w:w="992" w:type="dxa"/>
            <w:tcBorders>
              <w:top w:val="nil"/>
              <w:left w:val="nil"/>
              <w:bottom w:val="nil"/>
              <w:right w:val="nil"/>
            </w:tcBorders>
            <w:vAlign w:val="center"/>
          </w:tcPr>
          <w:p w:rsidR="00777692" w:rsidRPr="001077A4" w:rsidRDefault="00777692" w:rsidP="004F387C">
            <w:pPr>
              <w:spacing w:line="240" w:lineRule="auto"/>
              <w:jc w:val="center"/>
              <w:rPr>
                <w:rFonts w:eastAsia="Times New Roman"/>
                <w:color w:val="000000"/>
                <w:sz w:val="20"/>
                <w:szCs w:val="20"/>
              </w:rPr>
            </w:pPr>
            <w:r w:rsidRPr="001077A4">
              <w:rPr>
                <w:rFonts w:eastAsia="Times New Roman"/>
                <w:color w:val="000000"/>
                <w:sz w:val="20"/>
                <w:szCs w:val="20"/>
              </w:rPr>
              <w:t>≤</w:t>
            </w:r>
            <w:r>
              <w:rPr>
                <w:rFonts w:eastAsia="Times New Roman"/>
                <w:color w:val="000000"/>
                <w:sz w:val="20"/>
                <w:szCs w:val="20"/>
              </w:rPr>
              <w:t>O,69</w:t>
            </w:r>
          </w:p>
        </w:tc>
        <w:tc>
          <w:tcPr>
            <w:tcW w:w="851" w:type="dxa"/>
            <w:tcBorders>
              <w:top w:val="nil"/>
              <w:left w:val="nil"/>
              <w:bottom w:val="nil"/>
              <w:right w:val="nil"/>
            </w:tcBorders>
            <w:vAlign w:val="center"/>
          </w:tcPr>
          <w:p w:rsidR="00777692" w:rsidRPr="001077A4" w:rsidRDefault="00777692" w:rsidP="004F387C">
            <w:pPr>
              <w:spacing w:line="240" w:lineRule="auto"/>
              <w:jc w:val="center"/>
              <w:rPr>
                <w:rFonts w:eastAsia="Times New Roman"/>
                <w:color w:val="000000"/>
                <w:sz w:val="20"/>
                <w:szCs w:val="20"/>
              </w:rPr>
            </w:pPr>
            <w:r w:rsidRPr="001077A4">
              <w:rPr>
                <w:rFonts w:eastAsia="Times New Roman"/>
                <w:color w:val="000000"/>
                <w:sz w:val="20"/>
                <w:szCs w:val="20"/>
              </w:rPr>
              <w:t>≤</w:t>
            </w:r>
            <w:r>
              <w:rPr>
                <w:rFonts w:eastAsia="Times New Roman"/>
                <w:color w:val="000000"/>
                <w:sz w:val="20"/>
                <w:szCs w:val="20"/>
              </w:rPr>
              <w:t>0,91</w:t>
            </w:r>
          </w:p>
        </w:tc>
        <w:tc>
          <w:tcPr>
            <w:tcW w:w="160" w:type="dxa"/>
            <w:tcBorders>
              <w:top w:val="nil"/>
              <w:left w:val="nil"/>
              <w:bottom w:val="nil"/>
              <w:right w:val="nil"/>
            </w:tcBorders>
          </w:tcPr>
          <w:p w:rsidR="00777692" w:rsidRPr="001077A4" w:rsidRDefault="00777692" w:rsidP="004F387C">
            <w:pPr>
              <w:spacing w:line="240" w:lineRule="auto"/>
              <w:jc w:val="center"/>
              <w:rPr>
                <w:rFonts w:eastAsia="Times New Roman"/>
                <w:color w:val="000000"/>
                <w:sz w:val="20"/>
                <w:szCs w:val="20"/>
              </w:rPr>
            </w:pPr>
          </w:p>
        </w:tc>
      </w:tr>
      <w:tr w:rsidR="00777692" w:rsidRPr="004C25AC" w:rsidTr="004F387C">
        <w:trPr>
          <w:trHeight w:val="300"/>
        </w:trPr>
        <w:tc>
          <w:tcPr>
            <w:tcW w:w="1140" w:type="dxa"/>
            <w:tcBorders>
              <w:top w:val="nil"/>
              <w:left w:val="nil"/>
              <w:bottom w:val="nil"/>
              <w:right w:val="nil"/>
            </w:tcBorders>
            <w:shd w:val="clear" w:color="auto" w:fill="auto"/>
            <w:noWrap/>
            <w:vAlign w:val="center"/>
            <w:hideMark/>
          </w:tcPr>
          <w:p w:rsidR="00777692" w:rsidRPr="001077A4" w:rsidRDefault="00777692" w:rsidP="004F387C">
            <w:pPr>
              <w:spacing w:line="240" w:lineRule="auto"/>
              <w:jc w:val="left"/>
              <w:rPr>
                <w:rFonts w:eastAsia="Times New Roman"/>
                <w:b/>
                <w:bCs/>
                <w:color w:val="000000"/>
                <w:sz w:val="20"/>
                <w:szCs w:val="20"/>
              </w:rPr>
            </w:pPr>
            <w:r w:rsidRPr="001077A4">
              <w:rPr>
                <w:rFonts w:eastAsia="Times New Roman"/>
                <w:b/>
                <w:bCs/>
                <w:color w:val="000000"/>
                <w:sz w:val="20"/>
                <w:szCs w:val="20"/>
              </w:rPr>
              <w:t>F</w:t>
            </w:r>
            <w:r>
              <w:rPr>
                <w:rFonts w:eastAsia="Times New Roman"/>
                <w:b/>
                <w:bCs/>
                <w:color w:val="000000"/>
                <w:sz w:val="20"/>
                <w:szCs w:val="20"/>
              </w:rPr>
              <w:t>hip</w:t>
            </w:r>
          </w:p>
        </w:tc>
        <w:tc>
          <w:tcPr>
            <w:tcW w:w="1002" w:type="dxa"/>
            <w:tcBorders>
              <w:top w:val="nil"/>
              <w:left w:val="nil"/>
              <w:bottom w:val="nil"/>
              <w:right w:val="nil"/>
            </w:tcBorders>
            <w:shd w:val="clear" w:color="auto" w:fill="auto"/>
            <w:noWrap/>
            <w:vAlign w:val="center"/>
            <w:hideMark/>
          </w:tcPr>
          <w:p w:rsidR="00777692" w:rsidRPr="001077A4" w:rsidRDefault="00777692" w:rsidP="004F387C">
            <w:pPr>
              <w:spacing w:line="240" w:lineRule="auto"/>
              <w:jc w:val="center"/>
              <w:rPr>
                <w:rFonts w:eastAsia="Times New Roman"/>
                <w:color w:val="000000"/>
                <w:sz w:val="20"/>
                <w:szCs w:val="20"/>
              </w:rPr>
            </w:pPr>
            <w:r w:rsidRPr="001077A4">
              <w:rPr>
                <w:rFonts w:eastAsia="Times New Roman"/>
                <w:color w:val="000000"/>
                <w:sz w:val="20"/>
                <w:szCs w:val="20"/>
              </w:rPr>
              <w:t>65-85</w:t>
            </w:r>
          </w:p>
        </w:tc>
        <w:tc>
          <w:tcPr>
            <w:tcW w:w="677" w:type="dxa"/>
            <w:tcBorders>
              <w:top w:val="nil"/>
              <w:left w:val="nil"/>
              <w:bottom w:val="nil"/>
              <w:right w:val="nil"/>
            </w:tcBorders>
            <w:shd w:val="clear" w:color="auto" w:fill="auto"/>
            <w:noWrap/>
            <w:vAlign w:val="center"/>
            <w:hideMark/>
          </w:tcPr>
          <w:p w:rsidR="00777692" w:rsidRPr="001077A4" w:rsidRDefault="00777692" w:rsidP="004F387C">
            <w:pPr>
              <w:spacing w:line="240" w:lineRule="auto"/>
              <w:jc w:val="center"/>
              <w:rPr>
                <w:rFonts w:eastAsia="Times New Roman"/>
                <w:color w:val="000000"/>
                <w:sz w:val="20"/>
                <w:szCs w:val="20"/>
              </w:rPr>
            </w:pPr>
            <w:r w:rsidRPr="001077A4">
              <w:rPr>
                <w:rFonts w:eastAsia="Times New Roman"/>
                <w:color w:val="000000"/>
                <w:sz w:val="20"/>
                <w:szCs w:val="20"/>
              </w:rPr>
              <w:t>3-6</w:t>
            </w:r>
          </w:p>
        </w:tc>
        <w:tc>
          <w:tcPr>
            <w:tcW w:w="1299" w:type="dxa"/>
            <w:tcBorders>
              <w:top w:val="nil"/>
              <w:left w:val="nil"/>
              <w:bottom w:val="nil"/>
              <w:right w:val="nil"/>
            </w:tcBorders>
            <w:shd w:val="clear" w:color="auto" w:fill="auto"/>
            <w:noWrap/>
            <w:vAlign w:val="center"/>
            <w:hideMark/>
          </w:tcPr>
          <w:p w:rsidR="00777692" w:rsidRPr="001077A4" w:rsidRDefault="00777692" w:rsidP="004F387C">
            <w:pPr>
              <w:spacing w:line="240" w:lineRule="auto"/>
              <w:jc w:val="center"/>
              <w:rPr>
                <w:rFonts w:eastAsia="Times New Roman"/>
                <w:color w:val="000000"/>
                <w:sz w:val="20"/>
                <w:szCs w:val="20"/>
              </w:rPr>
            </w:pPr>
            <w:r w:rsidRPr="001077A4">
              <w:rPr>
                <w:rFonts w:eastAsia="Times New Roman"/>
                <w:color w:val="000000"/>
                <w:sz w:val="20"/>
                <w:szCs w:val="20"/>
              </w:rPr>
              <w:t>6-12</w:t>
            </w:r>
          </w:p>
        </w:tc>
        <w:tc>
          <w:tcPr>
            <w:tcW w:w="1284" w:type="dxa"/>
            <w:tcBorders>
              <w:top w:val="nil"/>
              <w:left w:val="nil"/>
              <w:bottom w:val="nil"/>
              <w:right w:val="nil"/>
            </w:tcBorders>
            <w:shd w:val="clear" w:color="auto" w:fill="auto"/>
            <w:noWrap/>
            <w:vAlign w:val="center"/>
            <w:hideMark/>
          </w:tcPr>
          <w:p w:rsidR="00777692" w:rsidRPr="001077A4" w:rsidRDefault="00777692" w:rsidP="004F387C">
            <w:pPr>
              <w:spacing w:line="240" w:lineRule="auto"/>
              <w:jc w:val="center"/>
              <w:rPr>
                <w:rFonts w:eastAsia="Times New Roman"/>
                <w:color w:val="000000"/>
                <w:sz w:val="20"/>
                <w:szCs w:val="20"/>
              </w:rPr>
            </w:pPr>
            <w:r>
              <w:rPr>
                <w:rFonts w:eastAsia="Times New Roman"/>
                <w:color w:val="000000"/>
                <w:sz w:val="20"/>
                <w:szCs w:val="20"/>
              </w:rPr>
              <w:t>24-48</w:t>
            </w:r>
          </w:p>
        </w:tc>
        <w:tc>
          <w:tcPr>
            <w:tcW w:w="1276" w:type="dxa"/>
            <w:tcBorders>
              <w:top w:val="nil"/>
              <w:left w:val="nil"/>
              <w:bottom w:val="nil"/>
              <w:right w:val="nil"/>
            </w:tcBorders>
            <w:shd w:val="clear" w:color="auto" w:fill="auto"/>
            <w:noWrap/>
            <w:vAlign w:val="center"/>
            <w:hideMark/>
          </w:tcPr>
          <w:p w:rsidR="00777692" w:rsidRPr="001077A4" w:rsidRDefault="00777692" w:rsidP="004F387C">
            <w:pPr>
              <w:spacing w:line="240" w:lineRule="auto"/>
              <w:jc w:val="center"/>
              <w:rPr>
                <w:rFonts w:eastAsia="Times New Roman"/>
                <w:color w:val="000000"/>
                <w:sz w:val="20"/>
                <w:szCs w:val="20"/>
              </w:rPr>
            </w:pPr>
            <w:r>
              <w:rPr>
                <w:rFonts w:eastAsia="Times New Roman"/>
                <w:color w:val="000000"/>
                <w:sz w:val="20"/>
                <w:szCs w:val="20"/>
              </w:rPr>
              <w:t>30”-1,5’</w:t>
            </w:r>
          </w:p>
        </w:tc>
        <w:tc>
          <w:tcPr>
            <w:tcW w:w="992" w:type="dxa"/>
            <w:tcBorders>
              <w:top w:val="nil"/>
              <w:left w:val="nil"/>
              <w:bottom w:val="nil"/>
              <w:right w:val="nil"/>
            </w:tcBorders>
            <w:vAlign w:val="center"/>
          </w:tcPr>
          <w:p w:rsidR="00777692" w:rsidRPr="001077A4" w:rsidRDefault="00777692" w:rsidP="004F387C">
            <w:pPr>
              <w:spacing w:line="240" w:lineRule="auto"/>
              <w:jc w:val="center"/>
              <w:rPr>
                <w:rFonts w:eastAsia="Times New Roman"/>
                <w:color w:val="000000"/>
                <w:sz w:val="20"/>
                <w:szCs w:val="20"/>
              </w:rPr>
            </w:pPr>
            <w:r>
              <w:rPr>
                <w:rFonts w:eastAsia="Times New Roman"/>
                <w:color w:val="000000"/>
                <w:sz w:val="20"/>
                <w:szCs w:val="20"/>
              </w:rPr>
              <w:t>0,69-0,37</w:t>
            </w:r>
          </w:p>
        </w:tc>
        <w:tc>
          <w:tcPr>
            <w:tcW w:w="851" w:type="dxa"/>
            <w:tcBorders>
              <w:top w:val="nil"/>
              <w:left w:val="nil"/>
              <w:bottom w:val="nil"/>
              <w:right w:val="nil"/>
            </w:tcBorders>
            <w:vAlign w:val="center"/>
          </w:tcPr>
          <w:p w:rsidR="00777692" w:rsidRPr="001077A4" w:rsidRDefault="00777692" w:rsidP="004F387C">
            <w:pPr>
              <w:spacing w:line="240" w:lineRule="auto"/>
              <w:jc w:val="center"/>
              <w:rPr>
                <w:rFonts w:eastAsia="Times New Roman"/>
                <w:color w:val="000000"/>
                <w:sz w:val="20"/>
                <w:szCs w:val="20"/>
              </w:rPr>
            </w:pPr>
            <w:r>
              <w:rPr>
                <w:rFonts w:eastAsia="Times New Roman"/>
                <w:color w:val="000000"/>
                <w:sz w:val="20"/>
                <w:szCs w:val="20"/>
              </w:rPr>
              <w:t>0,91-0,6</w:t>
            </w:r>
          </w:p>
        </w:tc>
        <w:tc>
          <w:tcPr>
            <w:tcW w:w="160" w:type="dxa"/>
            <w:tcBorders>
              <w:top w:val="nil"/>
              <w:left w:val="nil"/>
              <w:bottom w:val="nil"/>
              <w:right w:val="nil"/>
            </w:tcBorders>
          </w:tcPr>
          <w:p w:rsidR="00777692" w:rsidRPr="001077A4" w:rsidRDefault="00777692" w:rsidP="004F387C">
            <w:pPr>
              <w:spacing w:line="240" w:lineRule="auto"/>
              <w:jc w:val="center"/>
              <w:rPr>
                <w:rFonts w:eastAsia="Times New Roman"/>
                <w:color w:val="000000"/>
                <w:sz w:val="20"/>
                <w:szCs w:val="20"/>
              </w:rPr>
            </w:pPr>
          </w:p>
        </w:tc>
      </w:tr>
      <w:tr w:rsidR="00777692" w:rsidRPr="004C25AC" w:rsidTr="004F387C">
        <w:trPr>
          <w:trHeight w:val="300"/>
        </w:trPr>
        <w:tc>
          <w:tcPr>
            <w:tcW w:w="1140" w:type="dxa"/>
            <w:tcBorders>
              <w:top w:val="nil"/>
              <w:left w:val="nil"/>
              <w:bottom w:val="single" w:sz="4" w:space="0" w:color="auto"/>
              <w:right w:val="nil"/>
            </w:tcBorders>
            <w:shd w:val="clear" w:color="auto" w:fill="auto"/>
            <w:noWrap/>
            <w:vAlign w:val="center"/>
            <w:hideMark/>
          </w:tcPr>
          <w:p w:rsidR="00777692" w:rsidRPr="001077A4" w:rsidRDefault="00777692" w:rsidP="004F387C">
            <w:pPr>
              <w:spacing w:line="240" w:lineRule="auto"/>
              <w:jc w:val="left"/>
              <w:rPr>
                <w:rFonts w:eastAsia="Times New Roman"/>
                <w:b/>
                <w:bCs/>
                <w:color w:val="000000"/>
                <w:sz w:val="20"/>
                <w:szCs w:val="20"/>
              </w:rPr>
            </w:pPr>
            <w:r>
              <w:rPr>
                <w:rFonts w:eastAsia="Times New Roman"/>
                <w:b/>
                <w:bCs/>
                <w:color w:val="000000"/>
                <w:sz w:val="20"/>
                <w:szCs w:val="20"/>
              </w:rPr>
              <w:t>Fmáx</w:t>
            </w:r>
          </w:p>
        </w:tc>
        <w:tc>
          <w:tcPr>
            <w:tcW w:w="1002" w:type="dxa"/>
            <w:tcBorders>
              <w:top w:val="nil"/>
              <w:left w:val="nil"/>
              <w:bottom w:val="single" w:sz="4" w:space="0" w:color="auto"/>
              <w:right w:val="nil"/>
            </w:tcBorders>
            <w:shd w:val="clear" w:color="auto" w:fill="auto"/>
            <w:noWrap/>
            <w:vAlign w:val="center"/>
            <w:hideMark/>
          </w:tcPr>
          <w:p w:rsidR="00777692" w:rsidRPr="001077A4" w:rsidRDefault="00777692" w:rsidP="004F387C">
            <w:pPr>
              <w:spacing w:line="240" w:lineRule="auto"/>
              <w:jc w:val="center"/>
              <w:rPr>
                <w:rFonts w:eastAsia="Times New Roman"/>
                <w:color w:val="000000"/>
                <w:sz w:val="20"/>
                <w:szCs w:val="20"/>
              </w:rPr>
            </w:pPr>
            <w:r>
              <w:rPr>
                <w:rFonts w:eastAsia="Times New Roman"/>
                <w:color w:val="000000"/>
                <w:sz w:val="20"/>
                <w:szCs w:val="20"/>
              </w:rPr>
              <w:t>≥</w:t>
            </w:r>
            <w:r w:rsidRPr="001077A4">
              <w:rPr>
                <w:rFonts w:eastAsia="Times New Roman"/>
                <w:color w:val="000000"/>
                <w:sz w:val="20"/>
                <w:szCs w:val="20"/>
              </w:rPr>
              <w:t>85</w:t>
            </w:r>
          </w:p>
        </w:tc>
        <w:tc>
          <w:tcPr>
            <w:tcW w:w="677" w:type="dxa"/>
            <w:tcBorders>
              <w:top w:val="nil"/>
              <w:left w:val="nil"/>
              <w:bottom w:val="single" w:sz="4" w:space="0" w:color="auto"/>
              <w:right w:val="nil"/>
            </w:tcBorders>
            <w:shd w:val="clear" w:color="auto" w:fill="auto"/>
            <w:noWrap/>
            <w:vAlign w:val="center"/>
            <w:hideMark/>
          </w:tcPr>
          <w:p w:rsidR="00777692" w:rsidRPr="001077A4" w:rsidRDefault="00777692" w:rsidP="004F387C">
            <w:pPr>
              <w:spacing w:line="240" w:lineRule="auto"/>
              <w:jc w:val="center"/>
              <w:rPr>
                <w:rFonts w:eastAsia="Times New Roman"/>
                <w:color w:val="000000"/>
                <w:sz w:val="20"/>
                <w:szCs w:val="20"/>
              </w:rPr>
            </w:pPr>
            <w:r w:rsidRPr="001077A4">
              <w:rPr>
                <w:rFonts w:eastAsia="Times New Roman"/>
                <w:color w:val="000000"/>
                <w:sz w:val="20"/>
                <w:szCs w:val="20"/>
              </w:rPr>
              <w:t>2-6</w:t>
            </w:r>
          </w:p>
        </w:tc>
        <w:tc>
          <w:tcPr>
            <w:tcW w:w="1299" w:type="dxa"/>
            <w:tcBorders>
              <w:top w:val="nil"/>
              <w:left w:val="nil"/>
              <w:bottom w:val="single" w:sz="4" w:space="0" w:color="auto"/>
              <w:right w:val="nil"/>
            </w:tcBorders>
            <w:shd w:val="clear" w:color="auto" w:fill="auto"/>
            <w:noWrap/>
            <w:vAlign w:val="center"/>
            <w:hideMark/>
          </w:tcPr>
          <w:p w:rsidR="00777692" w:rsidRPr="001077A4" w:rsidRDefault="00777692" w:rsidP="004F387C">
            <w:pPr>
              <w:spacing w:line="240" w:lineRule="auto"/>
              <w:jc w:val="center"/>
              <w:rPr>
                <w:rFonts w:eastAsia="Times New Roman"/>
                <w:color w:val="000000"/>
                <w:sz w:val="20"/>
                <w:szCs w:val="20"/>
              </w:rPr>
            </w:pPr>
            <w:r>
              <w:rPr>
                <w:rFonts w:eastAsia="Times New Roman"/>
                <w:color w:val="000000"/>
                <w:sz w:val="20"/>
                <w:szCs w:val="20"/>
              </w:rPr>
              <w:t>≤</w:t>
            </w:r>
            <w:r w:rsidRPr="001077A4">
              <w:rPr>
                <w:rFonts w:eastAsia="Times New Roman"/>
                <w:color w:val="000000"/>
                <w:sz w:val="20"/>
                <w:szCs w:val="20"/>
              </w:rPr>
              <w:t>6</w:t>
            </w:r>
          </w:p>
        </w:tc>
        <w:tc>
          <w:tcPr>
            <w:tcW w:w="1284" w:type="dxa"/>
            <w:tcBorders>
              <w:top w:val="nil"/>
              <w:left w:val="nil"/>
              <w:bottom w:val="single" w:sz="4" w:space="0" w:color="auto"/>
              <w:right w:val="nil"/>
            </w:tcBorders>
            <w:shd w:val="clear" w:color="auto" w:fill="auto"/>
            <w:noWrap/>
            <w:vAlign w:val="center"/>
            <w:hideMark/>
          </w:tcPr>
          <w:p w:rsidR="00777692" w:rsidRPr="001077A4" w:rsidRDefault="00777692" w:rsidP="004F387C">
            <w:pPr>
              <w:spacing w:line="240" w:lineRule="auto"/>
              <w:jc w:val="center"/>
              <w:rPr>
                <w:rFonts w:eastAsia="Times New Roman"/>
                <w:color w:val="000000"/>
                <w:sz w:val="20"/>
                <w:szCs w:val="20"/>
              </w:rPr>
            </w:pPr>
            <w:r>
              <w:rPr>
                <w:rFonts w:eastAsia="Times New Roman"/>
                <w:color w:val="000000"/>
                <w:sz w:val="20"/>
                <w:szCs w:val="20"/>
              </w:rPr>
              <w:t>48-72</w:t>
            </w:r>
          </w:p>
        </w:tc>
        <w:tc>
          <w:tcPr>
            <w:tcW w:w="1276" w:type="dxa"/>
            <w:tcBorders>
              <w:top w:val="nil"/>
              <w:left w:val="nil"/>
              <w:bottom w:val="single" w:sz="4" w:space="0" w:color="auto"/>
              <w:right w:val="nil"/>
            </w:tcBorders>
            <w:shd w:val="clear" w:color="auto" w:fill="auto"/>
            <w:noWrap/>
            <w:vAlign w:val="center"/>
            <w:hideMark/>
          </w:tcPr>
          <w:p w:rsidR="00777692" w:rsidRPr="001077A4" w:rsidRDefault="00777692" w:rsidP="004F387C">
            <w:pPr>
              <w:spacing w:line="240" w:lineRule="auto"/>
              <w:ind w:right="72"/>
              <w:jc w:val="center"/>
              <w:rPr>
                <w:rFonts w:eastAsia="Times New Roman"/>
                <w:color w:val="000000"/>
                <w:sz w:val="20"/>
                <w:szCs w:val="20"/>
              </w:rPr>
            </w:pPr>
            <w:r>
              <w:rPr>
                <w:rFonts w:eastAsia="Times New Roman"/>
                <w:color w:val="000000"/>
                <w:sz w:val="20"/>
                <w:szCs w:val="20"/>
              </w:rPr>
              <w:t>2’-5’</w:t>
            </w:r>
          </w:p>
        </w:tc>
        <w:tc>
          <w:tcPr>
            <w:tcW w:w="992" w:type="dxa"/>
            <w:tcBorders>
              <w:top w:val="nil"/>
              <w:left w:val="nil"/>
              <w:bottom w:val="single" w:sz="4" w:space="0" w:color="auto"/>
              <w:right w:val="nil"/>
            </w:tcBorders>
            <w:vAlign w:val="center"/>
          </w:tcPr>
          <w:p w:rsidR="00777692" w:rsidRPr="001077A4" w:rsidRDefault="00777692" w:rsidP="004F387C">
            <w:pPr>
              <w:spacing w:line="240" w:lineRule="auto"/>
              <w:jc w:val="center"/>
              <w:rPr>
                <w:rFonts w:eastAsia="Times New Roman"/>
                <w:color w:val="000000"/>
                <w:sz w:val="20"/>
                <w:szCs w:val="20"/>
              </w:rPr>
            </w:pPr>
            <w:r>
              <w:rPr>
                <w:rFonts w:eastAsia="Times New Roman"/>
                <w:color w:val="000000"/>
                <w:sz w:val="20"/>
                <w:szCs w:val="20"/>
              </w:rPr>
              <w:t>≥0,37</w:t>
            </w:r>
          </w:p>
        </w:tc>
        <w:tc>
          <w:tcPr>
            <w:tcW w:w="851" w:type="dxa"/>
            <w:tcBorders>
              <w:top w:val="nil"/>
              <w:left w:val="nil"/>
              <w:bottom w:val="single" w:sz="4" w:space="0" w:color="auto"/>
              <w:right w:val="nil"/>
            </w:tcBorders>
            <w:vAlign w:val="center"/>
          </w:tcPr>
          <w:p w:rsidR="00777692" w:rsidRPr="001077A4" w:rsidRDefault="00777692" w:rsidP="004F387C">
            <w:pPr>
              <w:spacing w:line="240" w:lineRule="auto"/>
              <w:jc w:val="center"/>
              <w:rPr>
                <w:rFonts w:eastAsia="Times New Roman"/>
                <w:color w:val="000000"/>
                <w:sz w:val="20"/>
                <w:szCs w:val="20"/>
              </w:rPr>
            </w:pPr>
            <w:r>
              <w:rPr>
                <w:rFonts w:eastAsia="Times New Roman"/>
                <w:color w:val="000000"/>
                <w:sz w:val="20"/>
                <w:szCs w:val="20"/>
              </w:rPr>
              <w:t>≥0,6</w:t>
            </w:r>
          </w:p>
        </w:tc>
        <w:tc>
          <w:tcPr>
            <w:tcW w:w="160" w:type="dxa"/>
            <w:tcBorders>
              <w:top w:val="nil"/>
              <w:left w:val="nil"/>
              <w:bottom w:val="single" w:sz="4" w:space="0" w:color="auto"/>
              <w:right w:val="nil"/>
            </w:tcBorders>
          </w:tcPr>
          <w:p w:rsidR="00777692" w:rsidRPr="001077A4" w:rsidRDefault="00777692" w:rsidP="004F387C">
            <w:pPr>
              <w:spacing w:line="240" w:lineRule="auto"/>
              <w:jc w:val="center"/>
              <w:rPr>
                <w:rFonts w:eastAsia="Times New Roman"/>
                <w:color w:val="000000"/>
                <w:sz w:val="20"/>
                <w:szCs w:val="20"/>
              </w:rPr>
            </w:pPr>
          </w:p>
        </w:tc>
      </w:tr>
    </w:tbl>
    <w:p w:rsidR="00777692" w:rsidRPr="00584ADD" w:rsidRDefault="00777692" w:rsidP="00777692">
      <w:pPr>
        <w:spacing w:line="240" w:lineRule="auto"/>
        <w:rPr>
          <w:i/>
          <w:sz w:val="20"/>
          <w:szCs w:val="20"/>
        </w:rPr>
      </w:pPr>
      <w:r>
        <w:rPr>
          <w:i/>
          <w:sz w:val="20"/>
          <w:szCs w:val="20"/>
        </w:rPr>
        <w:lastRenderedPageBreak/>
        <w:t>Abreviaturas: Fres, fuerza resistencia; Fhip, fuerza hipertrofia; Fmáx, fuerza máxima; RM, repetición máxima; h, horas; VMP, velocidad media propulsiva; m/s, metros por segundo</w:t>
      </w:r>
    </w:p>
    <w:p w:rsidR="00777692" w:rsidRDefault="00777692" w:rsidP="00777692"/>
    <w:p w:rsidR="00777692" w:rsidRDefault="00777692" w:rsidP="00777692"/>
    <w:p w:rsidR="00777692" w:rsidRDefault="00777692" w:rsidP="00777692">
      <w:r>
        <w:t>Como se puede observar en la Tabla 1, existe variabilidad dentro de cada uno de los factores que definen el tipo de objetivo hacia el que se dirige el entrenamiento, lo cual es objeto de estudio desde que comienzan las investigaciones sobre entrenamientos de fuerza, por ello definir cual es el método más eficaz, todavía a día de hoy, es algo habitual.</w:t>
      </w:r>
    </w:p>
    <w:p w:rsidR="00777692" w:rsidRDefault="00777692" w:rsidP="00777692"/>
    <w:p w:rsidR="00777692" w:rsidRDefault="00777692" w:rsidP="00777692">
      <w:pPr>
        <w:pStyle w:val="Ttulo3"/>
        <w:numPr>
          <w:ilvl w:val="2"/>
          <w:numId w:val="8"/>
        </w:numPr>
        <w:ind w:left="567"/>
      </w:pPr>
      <w:bookmarkStart w:id="2" w:name="_Toc400875540"/>
      <w:bookmarkStart w:id="3" w:name="_Toc401143703"/>
      <w:bookmarkStart w:id="4" w:name="_Toc401557280"/>
      <w:r>
        <w:t xml:space="preserve">Métodos tradicionales en el </w:t>
      </w:r>
      <w:r w:rsidRPr="005221FF">
        <w:t>Entrenamiento de Fuerza Máxima</w:t>
      </w:r>
      <w:bookmarkEnd w:id="2"/>
      <w:bookmarkEnd w:id="3"/>
      <w:bookmarkEnd w:id="4"/>
      <w:r w:rsidRPr="005221FF">
        <w:t xml:space="preserve"> </w:t>
      </w:r>
    </w:p>
    <w:p w:rsidR="00777692" w:rsidRDefault="00777692" w:rsidP="00777692"/>
    <w:p w:rsidR="00777692" w:rsidRDefault="00777692" w:rsidP="00777692">
      <w:r>
        <w:t xml:space="preserve">Desde hace más de 50 años existen diversos métodos para trabajar la Fmáx. Fue Zatsiorski en 1966, uno de los autores pioneros en establecer que existen tres formas de entrenamiento para aumentar la fuerza muscular </w:t>
      </w:r>
      <w:r>
        <w:fldChar w:fldCharType="begin" w:fldLock="1"/>
      </w:r>
      <w:r>
        <w:instrText>ADDIN CSL_CITATION {"citationItems":[{"id":"ITEM-1","itemData":{"ISBN":"0736056289","abstract":"2nd ed. This edition examines fundamental concepts and principles practitioners need to understand in order to make decisions on what might be appropriate in the programme design for their athletes. An integration of coaching theory and scientific underpinnings, this book is useful for those interested in muscular strength. Basis of Strength Conditioning -- Basic Concepts of Training Theory -- Task-Specific Strength -- Athlete-Specific Strength -- Methods of Strength Conditioning -- Training Intensity -- Timing in Strength Training -- Strength Exercises -- Injury Prevention -- Goal-Specific Strength Training -- Training for Specific Populations -- Strength Training for Women -- Strength Training for Young Athletes -- Strength Training for Senior Athletes.","author":[{"dropping-particle":"","family":"Zatsiorsky","given":"Vladimir M.","non-dropping-particle":"","parse-names":false,"suffix":""},{"dropping-particle":"","family":"Kraemer","given":"William J.","non-dropping-particle":"","parse-names":false,"suffix":""}],"id":"ITEM-1","issued":{"date-parts":[["2006"]]},"number-of-pages":"251","publisher":"Human Kinetics","title":"Science and practice of strength training","type":"book"},"uris":["http://www.mendeley.com/documents/?uuid=4c746fc8-6ee3-37e9-8c66-6aef4b556d8e"]},{"id":"ITEM-2","itemData":{"ISBN":"9788480193894","abstract":"1. ed. Translation of: Les methodes modernes de musculation.","author":[{"dropping-particle":"","family":"Cometti","given":"Gilles.","non-dropping-particle":"","parse-names":false,"suffix":""}],"id":"ITEM-2","issued":{"date-parts":[["2011"]]},"publisher":"Editorial Paidotribo","title":"Los métodos modernos de musculación","type":"book"},"uris":["http://www.mendeley.com/documents/?uuid=3c06ab6c-8af2-3671-b41c-8081075dff1e"]}],"mendeley":{"formattedCitation":"(Cometti, 2011; Zatsiorsky &amp; Kraemer, 2006)","plainTextFormattedCitation":"(Cometti, 2011; Zatsiorsky &amp; Kraemer, 2006)","previouslyFormattedCitation":"(Cometti, 2011; Zatsiorsky &amp; Kraemer, 2006)"},"properties":{"noteIndex":0},"schema":"https://github.com/citation-style-language/schema/raw/master/csl-citation.json"}</w:instrText>
      </w:r>
      <w:r>
        <w:fldChar w:fldCharType="separate"/>
      </w:r>
      <w:r w:rsidRPr="005B573F">
        <w:rPr>
          <w:noProof/>
        </w:rPr>
        <w:t>(Cometti, 2011; Zatsiorsky &amp; Kraemer, 2006)</w:t>
      </w:r>
      <w:r>
        <w:fldChar w:fldCharType="end"/>
      </w:r>
      <w:r>
        <w:t>. Cometti (2011), hace referencia a una cuarta manera de entrenar asociada a la ganancia de Fmáx, denominada método piramidal. Todas ellas se describen a continuación:</w:t>
      </w:r>
    </w:p>
    <w:p w:rsidR="00777692" w:rsidRDefault="00777692" w:rsidP="00777692"/>
    <w:p w:rsidR="00777692" w:rsidRDefault="00777692" w:rsidP="00777692"/>
    <w:p w:rsidR="00777692" w:rsidRDefault="00777692" w:rsidP="00777692"/>
    <w:p w:rsidR="00777692" w:rsidRDefault="00777692" w:rsidP="00777692"/>
    <w:p w:rsidR="00777692" w:rsidRDefault="00777692" w:rsidP="00777692"/>
    <w:p w:rsidR="00777692" w:rsidRDefault="00777692" w:rsidP="00777692"/>
    <w:p w:rsidR="00777692" w:rsidRDefault="00777692" w:rsidP="00777692"/>
    <w:p w:rsidR="00777692" w:rsidRDefault="00777692" w:rsidP="00777692">
      <w:pPr>
        <w:numPr>
          <w:ilvl w:val="0"/>
          <w:numId w:val="9"/>
        </w:numPr>
        <w:contextualSpacing/>
      </w:pPr>
      <w:r w:rsidRPr="00376199">
        <w:rPr>
          <w:b/>
        </w:rPr>
        <w:t>Método de esfuerzos máximos (MEM):</w:t>
      </w:r>
      <w:r>
        <w:t xml:space="preserve"> levantamiento de la máxima carga posible.</w:t>
      </w:r>
      <w:r w:rsidRPr="006D3920">
        <w:t xml:space="preserve"> </w:t>
      </w:r>
    </w:p>
    <w:p w:rsidR="00777692" w:rsidRDefault="00777692" w:rsidP="00777692">
      <w:pPr>
        <w:ind w:left="360"/>
      </w:pPr>
    </w:p>
    <w:p w:rsidR="00777692" w:rsidRDefault="00777692" w:rsidP="00777692">
      <w:pPr>
        <w:ind w:left="360"/>
      </w:pPr>
      <w:r>
        <w:t>Este método es el más utilizado por los entrenadores para obtener ganancias respecto a la Fmáx, pero es cierto que puede ser lesivo y agresivo para personas que no estén acostumbradas a trabajar con altas cargas, que no tengan una buena técnica o que padezcan algún tipo de lesión. Por ello se estudian otras formas de conseguir un aumento en la Fmáx. Dentro de esta forma de trabajo de fuerza, se encuentran otros métodos como: concéntrico puro y el excéntrico.</w:t>
      </w:r>
    </w:p>
    <w:p w:rsidR="00777692" w:rsidRDefault="00777692" w:rsidP="00777692"/>
    <w:p w:rsidR="00777692" w:rsidRDefault="00777692" w:rsidP="00777692">
      <w:pPr>
        <w:numPr>
          <w:ilvl w:val="0"/>
          <w:numId w:val="8"/>
        </w:numPr>
        <w:contextualSpacing/>
      </w:pPr>
      <w:r w:rsidRPr="00376199">
        <w:rPr>
          <w:b/>
        </w:rPr>
        <w:t>Método de esfuerzos repetidos (MER):</w:t>
      </w:r>
      <w:r>
        <w:t xml:space="preserve"> levantamiento de cargas submáximas hasta llegar al fallo muscular.</w:t>
      </w:r>
    </w:p>
    <w:p w:rsidR="00777692" w:rsidRDefault="00777692" w:rsidP="00777692">
      <w:pPr>
        <w:ind w:left="360"/>
      </w:pPr>
    </w:p>
    <w:p w:rsidR="00777692" w:rsidRDefault="00777692" w:rsidP="00777692">
      <w:pPr>
        <w:ind w:left="360"/>
      </w:pPr>
      <w:r>
        <w:lastRenderedPageBreak/>
        <w:t xml:space="preserve">El trabajo de cargas más ligeras, genera una mayor adaptación para personas que se inicien en entrenamiento de Fmáx.  Aunque en contraste a este método, no es necesario llegar al fallo muscular para provocar una mayor ganancia de fuerza, como especifican Zatrsiorki &amp; Kraemer (2006), el trabajo con cargas submáximas en sí mismo ya genera ganancias sobre la Fmáx </w:t>
      </w:r>
      <w:r>
        <w:fldChar w:fldCharType="begin" w:fldLock="1"/>
      </w:r>
      <w:r>
        <w:instrText>ADDIN CSL_CITATION {"citationItems":[{"id":"ITEM-1","itemData":{"abstract":"Departamento de Formación formacion.iad.ctcd@juntadeandalucia.es Encuentro sobre Alto Rendimiento Deportivo 1. DEFINICIÓN DE CARGA DE ENTRENAMIENTO Se entiende por carga el conjunto de exigencias biológicas y psicológicas provocadas por las actividades de entrenamiento. La carga real es el conjunto de exigencias biológicas y psicológicas provocadas por las actividades de entrenamiento, que producen desgaste, distintas alteraciones fisiológicas y alteración del equilibrio homeostático. La carga propuesta es el conjunto de estímulos a través de los cuales se expresa la carga real. Estos estímulos constituyen el entrenamiento al que se enfrenta el deportista de manera sistemática. Se espera que la carga propuesta provoque las modificaciones funcionales, bioquímicas, morfológicas y físicas que se han programado al diseñar la carga real. La interrelación entre ambos tipos de carga constituye la esencia del entrenamiento deportivo. Por tanto, la carga que se programa es la carga real, y ésta ha de venir correctamente expresada a través de la carga propuesta. La aplicación de la carga de entrenamiento genera una problemática fundamental: ¿la carga real prevista es la correcta?, ¿la carga real prevista está bien representada por la carga propuesta?, ¿cómo medir y cuantificar la carga real y la propuesta? Si el entrenador quiere aproximarse a la respuesta de estas interrogantes, debe tomar conciencia de que su tarea fundamental como técnico consiste en definir la carga de manera precisa y exhaustiva, controlar y analizar la relación entre la carga real y la carga propuesta y entre ambas y el rendimiento, así como validar modelos de medición y cuantificación de las cargas. Sólo así podrá manifestar que está generando y desarrollando una metodología de entrenamiento. Una de estas cuestiones fundamentales es si la carga propuesta y cuantificada es realmente la que se pretende proponer. Si la respuesta es negativa, el valor de la intensidad relativa propuesta no será verdadero, lo que dará lugar a que los porcentajes, la velocidad, el tipo de esfuerzo, etc. que se proponen no representen fielmente a la carga programada (carga real). Incluso admitiendo que la carga propuesta se ajuste al objetivo previsto, aún tenemos que preguntarnos si se ajusta o no al sujeto al que va a ser aplicada, porque la carga puede producir los efectos deseados, como, por ejemplo, mejorar claramente la fuerza, pero no ser la apropiada para todos los sujetos ni todas las situaciones. En cua…","author":[{"dropping-particle":"","family":"González-Badillo","given":"Juan José","non-dropping-particle":"","parse-names":false,"suffix":""},{"dropping-particle":"","family":"Izquierdo","given":"Mikel","non-dropping-particle":"","parse-names":false,"suffix":""}],"id":"ITEM-1","issued":{"date-parts":[["2006"]]},"title":"La carga de entrenamiento y el rendimiento en fuerza y potencia muscular","type":"article-journal"},"uris":["http://www.mendeley.com/documents/?uuid=c6b8af53-5944-3e48-aec6-9493474448d3"]}],"mendeley":{"formattedCitation":"(Juan José González-Badillo &amp; Izquierdo, 2006)","manualFormatting":"(González-Badillo &amp; Izquierdo, 2006)","plainTextFormattedCitation":"(Juan José González-Badillo &amp; Izquierdo, 2006)","previouslyFormattedCitation":"(Juan José González-Badillo &amp; Izquierdo, 2006)"},"properties":{"noteIndex":0},"schema":"https://github.com/citation-style-language/schema/raw/master/csl-citation.json"}</w:instrText>
      </w:r>
      <w:r>
        <w:fldChar w:fldCharType="separate"/>
      </w:r>
      <w:r>
        <w:rPr>
          <w:noProof/>
        </w:rPr>
        <w:t>(</w:t>
      </w:r>
      <w:r w:rsidRPr="00C45568">
        <w:rPr>
          <w:noProof/>
        </w:rPr>
        <w:t>González-Badillo &amp; Izquierdo, 2006)</w:t>
      </w:r>
      <w:r>
        <w:fldChar w:fldCharType="end"/>
      </w:r>
      <w:r>
        <w:t>. Dentro de ésta forma de trabajo, encontramos el famoso método 10 x10.</w:t>
      </w:r>
    </w:p>
    <w:p w:rsidR="00777692" w:rsidRDefault="00777692" w:rsidP="00777692">
      <w:pPr>
        <w:ind w:left="360"/>
      </w:pPr>
    </w:p>
    <w:p w:rsidR="00777692" w:rsidRDefault="00777692" w:rsidP="00777692">
      <w:pPr>
        <w:numPr>
          <w:ilvl w:val="0"/>
          <w:numId w:val="8"/>
        </w:numPr>
        <w:contextualSpacing/>
      </w:pPr>
      <w:r w:rsidRPr="00376199">
        <w:rPr>
          <w:b/>
        </w:rPr>
        <w:t>Método de esfuerzos dinámicos (MED):</w:t>
      </w:r>
      <w:r>
        <w:t xml:space="preserve"> levantamiento de cargas submáximas a la máxima velocidad posible.</w:t>
      </w:r>
    </w:p>
    <w:p w:rsidR="00777692" w:rsidRDefault="00777692" w:rsidP="00777692">
      <w:pPr>
        <w:ind w:left="360"/>
      </w:pPr>
    </w:p>
    <w:p w:rsidR="00777692" w:rsidRDefault="00777692" w:rsidP="00777692">
      <w:pPr>
        <w:ind w:left="360"/>
      </w:pPr>
      <w:r>
        <w:t>El trabajo con cargas submáximas puede no ser tan eficaz a priori, pero igualmente nos aportan beneficios respecto a la Fmáx. El aporte extra de máxima velocidad dota a este método de grandes posibilidades referentes a la coordinación y aplicabilidad del movimiento, llegando a ser uno de los métodos que más se busca en la actualidad. A pesar de encontrar métodos actuales con esta tipología de entrenamiento, anteriormente un método muy destacado era el Búlgaro.</w:t>
      </w:r>
    </w:p>
    <w:p w:rsidR="00777692" w:rsidRDefault="00777692" w:rsidP="00777692">
      <w:pPr>
        <w:ind w:left="360"/>
      </w:pPr>
    </w:p>
    <w:p w:rsidR="00777692" w:rsidRDefault="00777692" w:rsidP="00777692">
      <w:pPr>
        <w:ind w:left="360"/>
      </w:pPr>
    </w:p>
    <w:p w:rsidR="00777692" w:rsidRDefault="00777692" w:rsidP="00777692">
      <w:pPr>
        <w:ind w:left="360"/>
      </w:pPr>
    </w:p>
    <w:p w:rsidR="00777692" w:rsidRDefault="00777692" w:rsidP="00777692">
      <w:pPr>
        <w:numPr>
          <w:ilvl w:val="0"/>
          <w:numId w:val="8"/>
        </w:numPr>
        <w:contextualSpacing/>
      </w:pPr>
      <w:r w:rsidRPr="00376199">
        <w:rPr>
          <w:b/>
        </w:rPr>
        <w:t>Método piramidal</w:t>
      </w:r>
      <w:r>
        <w:rPr>
          <w:b/>
        </w:rPr>
        <w:t xml:space="preserve"> (MP)</w:t>
      </w:r>
      <w:r w:rsidRPr="00376199">
        <w:rPr>
          <w:b/>
        </w:rPr>
        <w:t>:</w:t>
      </w:r>
      <w:r>
        <w:t xml:space="preserve"> combinación cargas máximas con submáximas. </w:t>
      </w:r>
    </w:p>
    <w:p w:rsidR="00777692" w:rsidRDefault="00777692" w:rsidP="00777692">
      <w:pPr>
        <w:ind w:left="360"/>
      </w:pPr>
    </w:p>
    <w:p w:rsidR="00777692" w:rsidRDefault="00777692" w:rsidP="00777692">
      <w:pPr>
        <w:ind w:left="360"/>
      </w:pPr>
      <w:r>
        <w:t xml:space="preserve">Este método consiste en crear una pirámide ascendente o descendente, dependiendo de sí la carga se incrementa o se disminuye en relación con el número de repeticiones que se realizan (Figura 9). Cuando se entrena en repeticiones bajas se trabaja con cargas máximas, utilizando el MEM, mientras que cuando se ejecuten repeticiones más altas las cargas son submáximas y por lo tanto se aplica el MER. </w:t>
      </w:r>
    </w:p>
    <w:p w:rsidR="00777692" w:rsidRDefault="00777692" w:rsidP="00777692"/>
    <w:p w:rsidR="00777692" w:rsidRDefault="00777692" w:rsidP="00777692"/>
    <w:p w:rsidR="00777692" w:rsidRPr="00694DB7" w:rsidRDefault="00777692" w:rsidP="00777692">
      <w:pPr>
        <w:keepNext/>
        <w:jc w:val="center"/>
        <w:rPr>
          <w:b/>
        </w:rPr>
      </w:pPr>
      <w:r w:rsidRPr="008648EB">
        <w:rPr>
          <w:b/>
          <w:noProof/>
          <w:sz w:val="18"/>
          <w:szCs w:val="18"/>
          <w:lang w:val="es-ES"/>
        </w:rPr>
        <w:lastRenderedPageBreak/>
        <w:drawing>
          <wp:inline distT="0" distB="0" distL="0" distR="0" wp14:anchorId="4732259E" wp14:editId="69D9FFE1">
            <wp:extent cx="2625725" cy="2203450"/>
            <wp:effectExtent l="63500" t="38100" r="53975" b="69850"/>
            <wp:docPr id="7" name="Diagrama 30"/>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777692" w:rsidRDefault="00777692" w:rsidP="00777692">
      <w:pPr>
        <w:pStyle w:val="Descripcin"/>
        <w:jc w:val="center"/>
      </w:pPr>
      <w:bookmarkStart w:id="5" w:name="_Toc401568574"/>
      <w:r w:rsidRPr="00694DB7">
        <w:rPr>
          <w:b/>
        </w:rPr>
        <w:t xml:space="preserve">Figura </w:t>
      </w:r>
      <w:r w:rsidRPr="00694DB7">
        <w:rPr>
          <w:b/>
        </w:rPr>
        <w:fldChar w:fldCharType="begin"/>
      </w:r>
      <w:r w:rsidRPr="00694DB7">
        <w:rPr>
          <w:b/>
        </w:rPr>
        <w:instrText xml:space="preserve"> </w:instrText>
      </w:r>
      <w:r>
        <w:rPr>
          <w:b/>
        </w:rPr>
        <w:instrText>SEQ</w:instrText>
      </w:r>
      <w:r w:rsidRPr="00694DB7">
        <w:rPr>
          <w:b/>
        </w:rPr>
        <w:instrText xml:space="preserve"> Figura \* ARABIC </w:instrText>
      </w:r>
      <w:r w:rsidRPr="00694DB7">
        <w:rPr>
          <w:b/>
        </w:rPr>
        <w:fldChar w:fldCharType="separate"/>
      </w:r>
      <w:r>
        <w:rPr>
          <w:b/>
          <w:noProof/>
        </w:rPr>
        <w:t>9</w:t>
      </w:r>
      <w:r w:rsidRPr="00694DB7">
        <w:rPr>
          <w:b/>
        </w:rPr>
        <w:fldChar w:fldCharType="end"/>
      </w:r>
      <w:r w:rsidRPr="00694DB7">
        <w:rPr>
          <w:b/>
        </w:rPr>
        <w:t>.</w:t>
      </w:r>
      <w:r>
        <w:t xml:space="preserve"> </w:t>
      </w:r>
      <w:r w:rsidRPr="00335484">
        <w:t>Ejemplificación del Método de Pirámide. Extraído de Cometti (2011).</w:t>
      </w:r>
      <w:bookmarkEnd w:id="5"/>
    </w:p>
    <w:p w:rsidR="00777692" w:rsidRPr="00A848C9" w:rsidRDefault="00777692" w:rsidP="00777692">
      <w:pPr>
        <w:pStyle w:val="Descripcin"/>
        <w:jc w:val="center"/>
        <w:rPr>
          <w:b/>
        </w:rPr>
      </w:pPr>
    </w:p>
    <w:p w:rsidR="00777692" w:rsidRDefault="00777692" w:rsidP="00777692"/>
    <w:p w:rsidR="00777692" w:rsidRDefault="00777692" w:rsidP="00777692">
      <w:r>
        <w:t>Las planificaciones y entrenamientos específicos de ganancia de Fmáx actuales, aún se basan en estos métodos. Es importante conocerlos más profundamente y saber cual de ellos es más adecuado para el objetivo que se busca, como se verá a continuación los dos más involucrados en la ganancia de Fmáx directamente son: MEM y MP, utilizados en la intervención posteriormente</w:t>
      </w:r>
    </w:p>
    <w:p w:rsidR="00777692" w:rsidRDefault="00777692" w:rsidP="00777692"/>
    <w:p w:rsidR="00777692" w:rsidRDefault="00777692" w:rsidP="00777692"/>
    <w:p w:rsidR="00777692" w:rsidRDefault="00777692" w:rsidP="00777692"/>
    <w:p w:rsidR="00777692" w:rsidRPr="00A44843" w:rsidRDefault="00777692" w:rsidP="00777692">
      <w:pPr>
        <w:pStyle w:val="Ttulo3"/>
        <w:numPr>
          <w:ilvl w:val="0"/>
          <w:numId w:val="0"/>
        </w:numPr>
        <w:ind w:left="504" w:hanging="504"/>
      </w:pPr>
      <w:bookmarkStart w:id="6" w:name="_Toc400875541"/>
      <w:bookmarkStart w:id="7" w:name="_Toc401143704"/>
      <w:bookmarkStart w:id="8" w:name="_Toc401557281"/>
      <w:r w:rsidRPr="00A44843">
        <w:t>1.4.1.1.Método de Esfuerzos Máximos (MEM)</w:t>
      </w:r>
      <w:bookmarkEnd w:id="6"/>
      <w:bookmarkEnd w:id="7"/>
      <w:bookmarkEnd w:id="8"/>
    </w:p>
    <w:p w:rsidR="00777692" w:rsidRDefault="00777692" w:rsidP="00777692"/>
    <w:p w:rsidR="00777692" w:rsidRDefault="00777692" w:rsidP="00777692">
      <w:r>
        <w:t xml:space="preserve">Zatsiorky y Kraemer (2006) describen ampliamente el MEM. Este método utiliza cargas máximas en repeticiones cortas con amplios descansos entre las series. Aplicando éstas variables se consigue una mejora en la coordinación inter e intramuscular, una mayor descarga de unidades motoras y por lo tanto, un aumento de la activación de las fibras. Este método se debe aplicar cuando se persigan grandes ganancias en la Fmáx </w:t>
      </w:r>
      <w:r>
        <w:fldChar w:fldCharType="begin" w:fldLock="1"/>
      </w:r>
      <w:r>
        <w:instrText>ADDIN CSL_CITATION {"citationItems":[{"id":"ITEM-1","itemData":{"ISBN":"8480194650","abstract":"1. ed. Translation of: Supertraining.","author":[{"dropping-particle":"","family":"Siff","given":"Mel Cunningham.","non-dropping-particle":"","parse-names":false,"suffix":""},{"dropping-particle":"","family":"Verkhoshansky","given":"Yuri Vitalievitch.","non-dropping-particle":"","parse-names":false,"suffix":""}],"id":"ITEM-1","issued":{"date-parts":[["2000"]]},"number-of-pages":"473","publisher":"Paidotribo","title":"Super Entrenamiento","type":"book"},"uris":["http://www.mendeley.com/documents/?uuid=f9779337-9276-3747-8580-d900e4bafe0d"]}],"mendeley":{"formattedCitation":"(Siff &amp; Verkhoshansky, 2000)","plainTextFormattedCitation":"(Siff &amp; Verkhoshansky, 2000)","previouslyFormattedCitation":"(Siff &amp; Verkhoshansky, 2000)"},"properties":{"noteIndex":0},"schema":"https://github.com/citation-style-language/schema/raw/master/csl-citation.json"}</w:instrText>
      </w:r>
      <w:r>
        <w:fldChar w:fldCharType="separate"/>
      </w:r>
      <w:r w:rsidRPr="002F48A7">
        <w:rPr>
          <w:noProof/>
        </w:rPr>
        <w:t>(Siff &amp; Verkhoshansky, 2000)</w:t>
      </w:r>
      <w:r>
        <w:fldChar w:fldCharType="end"/>
      </w:r>
      <w:r>
        <w:t>. Utilizando este método se consiguen incrementos en las adaptaciones nerviosas como: reclutamiento, sincronización y frecuencia de descarga de las fibras musculares, y además también se producen beneficios coordinativos y biomecánicos que se reflejan en las acciones y en los movimientos cotidianos.</w:t>
      </w:r>
    </w:p>
    <w:p w:rsidR="00777692" w:rsidRDefault="00777692" w:rsidP="00777692"/>
    <w:p w:rsidR="00777692" w:rsidRDefault="00777692" w:rsidP="00777692">
      <w:r>
        <w:lastRenderedPageBreak/>
        <w:t>El MEM, a pesar de proporcionar los beneficios nombrados anteriormente, no es fácil de ejecutar. Por ello hay que seguir ciertas recomendaciones antes de aplicarlo a los entrenamientos. Al consistir en un método que moviliza cargas máximas, está totalmente desaconsejado para personas que acaben de empezar una programación de este tipo o que no tengan experiencias previas en trabajo de Fmáx. Es muy importante la técnica de ejecución de los ejercicios, porque si no hay control, soportar altas cargas puede provocar lesiones. Otro inconveniente a resaltar de este trabajo es el tiempo de recuperación. Este es largo, tanto entre series como entre cada una de las sesiones, lo que puede provocar aburrimiento o desinterés en los sujetos que lo practican, por eso se dice que es un método más apto para “atletas” o “deportistas de élite”.  En la Tabla 2, quedan resumidas las ventajas y los inconvenientes más destacados de este método, definidos por Zatsiorky &amp; Kraemer (2006) y por Cometti (2011).</w:t>
      </w:r>
    </w:p>
    <w:p w:rsidR="00777692" w:rsidRDefault="00777692" w:rsidP="00777692"/>
    <w:p w:rsidR="00777692" w:rsidRDefault="00777692" w:rsidP="00777692">
      <w:r>
        <w:t xml:space="preserve">Se estudia este método y sus variabilidades, con el fin de conseguir la mejor forma para incrementar la Fmáx, Zatsiorsky &amp; Kraemer (2006) muestran la variabilidad de las repeticiones, afirmando que lo que inicialmente se establece ejecutando de 1 a 3 repeticiones, es insuficiente según para el grupo muscular al que se dirija, pudiendo llegar hasta 6 repeticiones como explica </w:t>
      </w:r>
      <w:r w:rsidRPr="005221FF">
        <w:t>Berger (1962)</w:t>
      </w:r>
      <w:r>
        <w:t xml:space="preserve"> en su artículo “</w:t>
      </w:r>
      <w:r>
        <w:rPr>
          <w:i/>
        </w:rPr>
        <w:t>Effect of varied weigth training programs on strength”</w:t>
      </w:r>
      <w:r>
        <w:t xml:space="preserve">, donde se observa que realizando series de 6 RM en el ejercicio de press banca, se obtienen las mayores ganancias de Fmáx </w:t>
      </w:r>
      <w:r>
        <w:fldChar w:fldCharType="begin" w:fldLock="1"/>
      </w:r>
      <w:r>
        <w:instrText>ADDIN CSL_CITATION {"citationItems":[{"id":"ITEM-1","itemData":{"author":[{"dropping-particle":"","family":"T. Todd","given":"Terry","non-dropping-particle":"","parse-names":false,"suffix":""},{"dropping-particle":"","family":"Todd","given":"Jan","non-dropping-particle":"","parse-names":false,"suffix":""}],"container-title":"Journal of Strength and Conditioning Research","id":"ITEM-1","issue":"3","issued":{"date-parts":[["2001"]]},"page":"275-278","title":"Pioneers of Strength Research: The Legacy of","type":"article-journal","volume":"15"},"uris":["http://www.mendeley.com/documents/?uuid=37c1aabd-0967-38b1-8294-f507fe38a402"]}],"mendeley":{"formattedCitation":"(T. Todd &amp; Todd, 2001)","plainTextFormattedCitation":"(T. Todd &amp; Todd, 2001)","previouslyFormattedCitation":"(T. Todd &amp; Todd, 2001)"},"properties":{"noteIndex":0},"schema":"https://github.com/citation-style-language/schema/raw/master/csl-citation.json"}</w:instrText>
      </w:r>
      <w:r>
        <w:fldChar w:fldCharType="separate"/>
      </w:r>
      <w:r w:rsidRPr="00011DC3">
        <w:rPr>
          <w:noProof/>
        </w:rPr>
        <w:t>(T. Todd &amp; Todd, 2001)</w:t>
      </w:r>
      <w:r>
        <w:fldChar w:fldCharType="end"/>
      </w:r>
      <w:r>
        <w:t xml:space="preserve">. </w:t>
      </w:r>
    </w:p>
    <w:p w:rsidR="00777692" w:rsidRDefault="00777692" w:rsidP="00777692"/>
    <w:p w:rsidR="00777692" w:rsidRDefault="00777692" w:rsidP="00777692"/>
    <w:p w:rsidR="00777692" w:rsidRPr="00A848C9" w:rsidRDefault="00777692" w:rsidP="00777692">
      <w:pPr>
        <w:pStyle w:val="Descripcin"/>
        <w:keepNext/>
        <w:rPr>
          <w:b/>
        </w:rPr>
      </w:pPr>
      <w:bookmarkStart w:id="9" w:name="_Toc401568538"/>
      <w:r w:rsidRPr="00A848C9">
        <w:rPr>
          <w:b/>
        </w:rPr>
        <w:t xml:space="preserve">Tabla </w:t>
      </w:r>
      <w:r w:rsidRPr="00A848C9">
        <w:rPr>
          <w:b/>
        </w:rPr>
        <w:fldChar w:fldCharType="begin"/>
      </w:r>
      <w:r w:rsidRPr="00A848C9">
        <w:rPr>
          <w:b/>
        </w:rPr>
        <w:instrText xml:space="preserve"> </w:instrText>
      </w:r>
      <w:r>
        <w:rPr>
          <w:b/>
        </w:rPr>
        <w:instrText>SEQ</w:instrText>
      </w:r>
      <w:r w:rsidRPr="00A848C9">
        <w:rPr>
          <w:b/>
        </w:rPr>
        <w:instrText xml:space="preserve"> Tabla \* ARABIC </w:instrText>
      </w:r>
      <w:r w:rsidRPr="00A848C9">
        <w:rPr>
          <w:b/>
        </w:rPr>
        <w:fldChar w:fldCharType="separate"/>
      </w:r>
      <w:r>
        <w:rPr>
          <w:b/>
          <w:noProof/>
        </w:rPr>
        <w:t>2</w:t>
      </w:r>
      <w:r w:rsidRPr="00A848C9">
        <w:rPr>
          <w:b/>
          <w:noProof/>
        </w:rPr>
        <w:fldChar w:fldCharType="end"/>
      </w:r>
      <w:r w:rsidRPr="00A848C9">
        <w:rPr>
          <w:b/>
        </w:rPr>
        <w:t xml:space="preserve">. </w:t>
      </w:r>
      <w:r w:rsidRPr="00335484">
        <w:t xml:space="preserve">Ventajas e inconvenientes del método de esfuerzos máximos. </w:t>
      </w:r>
      <w:r>
        <w:t>Elaboración propia.</w:t>
      </w:r>
      <w:bookmarkEnd w:id="9"/>
    </w:p>
    <w:tbl>
      <w:tblPr>
        <w:tblW w:w="7585" w:type="dxa"/>
        <w:jc w:val="center"/>
        <w:tblLayout w:type="fixed"/>
        <w:tblCellMar>
          <w:left w:w="70" w:type="dxa"/>
          <w:right w:w="70" w:type="dxa"/>
        </w:tblCellMar>
        <w:tblLook w:val="04A0" w:firstRow="1" w:lastRow="0" w:firstColumn="1" w:lastColumn="0" w:noHBand="0" w:noVBand="1"/>
      </w:tblPr>
      <w:tblGrid>
        <w:gridCol w:w="1433"/>
        <w:gridCol w:w="3118"/>
        <w:gridCol w:w="3034"/>
      </w:tblGrid>
      <w:tr w:rsidR="00777692" w:rsidRPr="004C25AC" w:rsidTr="004F387C">
        <w:trPr>
          <w:trHeight w:val="600"/>
          <w:jc w:val="center"/>
        </w:trPr>
        <w:tc>
          <w:tcPr>
            <w:tcW w:w="1433" w:type="dxa"/>
            <w:tcBorders>
              <w:top w:val="single" w:sz="4" w:space="0" w:color="auto"/>
              <w:left w:val="nil"/>
              <w:bottom w:val="nil"/>
              <w:right w:val="nil"/>
            </w:tcBorders>
            <w:shd w:val="clear" w:color="auto" w:fill="auto"/>
            <w:noWrap/>
            <w:vAlign w:val="center"/>
            <w:hideMark/>
          </w:tcPr>
          <w:p w:rsidR="00777692" w:rsidRPr="005221FF" w:rsidRDefault="00777692" w:rsidP="004F387C">
            <w:pPr>
              <w:spacing w:line="240" w:lineRule="auto"/>
              <w:jc w:val="center"/>
              <w:rPr>
                <w:rFonts w:eastAsia="Times New Roman"/>
                <w:color w:val="000000"/>
                <w:sz w:val="20"/>
                <w:szCs w:val="20"/>
              </w:rPr>
            </w:pPr>
          </w:p>
        </w:tc>
        <w:tc>
          <w:tcPr>
            <w:tcW w:w="3118" w:type="dxa"/>
            <w:tcBorders>
              <w:top w:val="single" w:sz="4" w:space="0" w:color="auto"/>
              <w:left w:val="nil"/>
              <w:bottom w:val="single" w:sz="4" w:space="0" w:color="auto"/>
              <w:right w:val="nil"/>
            </w:tcBorders>
            <w:shd w:val="clear" w:color="auto" w:fill="auto"/>
            <w:noWrap/>
            <w:vAlign w:val="center"/>
            <w:hideMark/>
          </w:tcPr>
          <w:p w:rsidR="00777692" w:rsidRPr="005221FF" w:rsidRDefault="00777692" w:rsidP="004F387C">
            <w:pPr>
              <w:spacing w:line="240" w:lineRule="auto"/>
              <w:jc w:val="center"/>
              <w:rPr>
                <w:rFonts w:eastAsia="Times New Roman"/>
                <w:b/>
                <w:bCs/>
                <w:color w:val="000000"/>
                <w:sz w:val="20"/>
                <w:szCs w:val="20"/>
              </w:rPr>
            </w:pPr>
            <w:r w:rsidRPr="005221FF">
              <w:rPr>
                <w:rFonts w:eastAsia="Times New Roman"/>
                <w:b/>
                <w:bCs/>
                <w:color w:val="000000"/>
                <w:sz w:val="20"/>
                <w:szCs w:val="20"/>
              </w:rPr>
              <w:t>Ventajas</w:t>
            </w:r>
          </w:p>
        </w:tc>
        <w:tc>
          <w:tcPr>
            <w:tcW w:w="3034" w:type="dxa"/>
            <w:tcBorders>
              <w:top w:val="single" w:sz="4" w:space="0" w:color="auto"/>
              <w:left w:val="nil"/>
              <w:bottom w:val="single" w:sz="4" w:space="0" w:color="auto"/>
              <w:right w:val="nil"/>
            </w:tcBorders>
            <w:shd w:val="clear" w:color="auto" w:fill="auto"/>
            <w:noWrap/>
            <w:vAlign w:val="center"/>
            <w:hideMark/>
          </w:tcPr>
          <w:p w:rsidR="00777692" w:rsidRPr="005221FF" w:rsidRDefault="00777692" w:rsidP="004F387C">
            <w:pPr>
              <w:spacing w:line="240" w:lineRule="auto"/>
              <w:jc w:val="center"/>
              <w:rPr>
                <w:rFonts w:eastAsia="Times New Roman"/>
                <w:b/>
                <w:bCs/>
                <w:color w:val="000000"/>
                <w:sz w:val="20"/>
                <w:szCs w:val="20"/>
              </w:rPr>
            </w:pPr>
            <w:r w:rsidRPr="005221FF">
              <w:rPr>
                <w:rFonts w:eastAsia="Times New Roman"/>
                <w:b/>
                <w:bCs/>
                <w:color w:val="000000"/>
                <w:sz w:val="20"/>
                <w:szCs w:val="20"/>
              </w:rPr>
              <w:t>Inconvenientes</w:t>
            </w:r>
          </w:p>
        </w:tc>
      </w:tr>
      <w:tr w:rsidR="00777692" w:rsidRPr="004C25AC" w:rsidTr="004F387C">
        <w:trPr>
          <w:trHeight w:val="360"/>
          <w:jc w:val="center"/>
        </w:trPr>
        <w:tc>
          <w:tcPr>
            <w:tcW w:w="1433" w:type="dxa"/>
            <w:vMerge w:val="restart"/>
            <w:tcBorders>
              <w:top w:val="nil"/>
              <w:left w:val="nil"/>
              <w:bottom w:val="single" w:sz="4" w:space="0" w:color="000000"/>
              <w:right w:val="nil"/>
            </w:tcBorders>
            <w:shd w:val="clear" w:color="auto" w:fill="auto"/>
            <w:noWrap/>
            <w:textDirection w:val="btLr"/>
            <w:vAlign w:val="center"/>
            <w:hideMark/>
          </w:tcPr>
          <w:p w:rsidR="00777692" w:rsidRPr="005221FF" w:rsidRDefault="00777692" w:rsidP="004F387C">
            <w:pPr>
              <w:spacing w:line="240" w:lineRule="auto"/>
              <w:ind w:left="113" w:right="113"/>
              <w:jc w:val="center"/>
              <w:rPr>
                <w:rFonts w:eastAsia="Times New Roman"/>
                <w:b/>
                <w:bCs/>
                <w:color w:val="000000"/>
                <w:sz w:val="20"/>
                <w:szCs w:val="20"/>
              </w:rPr>
            </w:pPr>
            <w:r w:rsidRPr="005221FF">
              <w:rPr>
                <w:rFonts w:eastAsia="Times New Roman"/>
                <w:b/>
                <w:bCs/>
                <w:color w:val="000000"/>
                <w:sz w:val="20"/>
                <w:szCs w:val="20"/>
              </w:rPr>
              <w:t>MÉTODO DE ESFUERZOS MÁXIMOS</w:t>
            </w:r>
          </w:p>
        </w:tc>
        <w:tc>
          <w:tcPr>
            <w:tcW w:w="3118" w:type="dxa"/>
            <w:tcBorders>
              <w:top w:val="nil"/>
              <w:left w:val="nil"/>
              <w:bottom w:val="nil"/>
              <w:right w:val="nil"/>
            </w:tcBorders>
            <w:shd w:val="clear" w:color="auto" w:fill="auto"/>
            <w:noWrap/>
            <w:vAlign w:val="center"/>
            <w:hideMark/>
          </w:tcPr>
          <w:p w:rsidR="00777692" w:rsidRPr="005221FF" w:rsidRDefault="00777692" w:rsidP="004F387C">
            <w:pPr>
              <w:spacing w:line="240" w:lineRule="auto"/>
              <w:rPr>
                <w:rFonts w:eastAsia="Times New Roman"/>
                <w:color w:val="000000"/>
                <w:sz w:val="20"/>
                <w:szCs w:val="20"/>
              </w:rPr>
            </w:pPr>
            <w:r w:rsidRPr="005221FF">
              <w:rPr>
                <w:rFonts w:eastAsia="Times New Roman"/>
                <w:color w:val="000000"/>
                <w:sz w:val="20"/>
                <w:szCs w:val="20"/>
              </w:rPr>
              <w:t>Gran incremento de F</w:t>
            </w:r>
            <w:r>
              <w:rPr>
                <w:rFonts w:eastAsia="Times New Roman"/>
                <w:color w:val="000000"/>
                <w:sz w:val="20"/>
                <w:szCs w:val="20"/>
              </w:rPr>
              <w:t>máx</w:t>
            </w:r>
          </w:p>
        </w:tc>
        <w:tc>
          <w:tcPr>
            <w:tcW w:w="3034" w:type="dxa"/>
            <w:tcBorders>
              <w:top w:val="nil"/>
              <w:left w:val="nil"/>
              <w:bottom w:val="nil"/>
              <w:right w:val="nil"/>
            </w:tcBorders>
            <w:shd w:val="clear" w:color="auto" w:fill="auto"/>
            <w:noWrap/>
            <w:vAlign w:val="center"/>
            <w:hideMark/>
          </w:tcPr>
          <w:p w:rsidR="00777692" w:rsidRPr="005221FF" w:rsidRDefault="00777692" w:rsidP="004F387C">
            <w:pPr>
              <w:spacing w:line="240" w:lineRule="auto"/>
              <w:rPr>
                <w:rFonts w:eastAsia="Times New Roman"/>
                <w:color w:val="000000"/>
                <w:sz w:val="20"/>
                <w:szCs w:val="20"/>
              </w:rPr>
            </w:pPr>
            <w:r w:rsidRPr="005221FF">
              <w:rPr>
                <w:rFonts w:eastAsia="Times New Roman"/>
                <w:color w:val="000000"/>
                <w:sz w:val="20"/>
                <w:szCs w:val="20"/>
              </w:rPr>
              <w:t>No apto para población inexperta</w:t>
            </w:r>
          </w:p>
        </w:tc>
      </w:tr>
      <w:tr w:rsidR="00777692" w:rsidRPr="004C25AC" w:rsidTr="004F387C">
        <w:trPr>
          <w:trHeight w:val="300"/>
          <w:jc w:val="center"/>
        </w:trPr>
        <w:tc>
          <w:tcPr>
            <w:tcW w:w="1433" w:type="dxa"/>
            <w:vMerge/>
            <w:tcBorders>
              <w:top w:val="nil"/>
              <w:left w:val="nil"/>
              <w:bottom w:val="single" w:sz="4" w:space="0" w:color="000000"/>
              <w:right w:val="nil"/>
            </w:tcBorders>
            <w:vAlign w:val="center"/>
            <w:hideMark/>
          </w:tcPr>
          <w:p w:rsidR="00777692" w:rsidRPr="005221FF" w:rsidRDefault="00777692" w:rsidP="004F387C">
            <w:pPr>
              <w:spacing w:line="240" w:lineRule="auto"/>
              <w:jc w:val="center"/>
              <w:rPr>
                <w:rFonts w:eastAsia="Times New Roman"/>
                <w:b/>
                <w:bCs/>
                <w:color w:val="000000"/>
                <w:sz w:val="20"/>
                <w:szCs w:val="20"/>
              </w:rPr>
            </w:pPr>
          </w:p>
        </w:tc>
        <w:tc>
          <w:tcPr>
            <w:tcW w:w="3118" w:type="dxa"/>
            <w:tcBorders>
              <w:top w:val="nil"/>
              <w:left w:val="nil"/>
              <w:bottom w:val="nil"/>
              <w:right w:val="nil"/>
            </w:tcBorders>
            <w:shd w:val="clear" w:color="auto" w:fill="auto"/>
            <w:noWrap/>
            <w:vAlign w:val="center"/>
            <w:hideMark/>
          </w:tcPr>
          <w:p w:rsidR="00777692" w:rsidRPr="005221FF" w:rsidRDefault="00777692" w:rsidP="004F387C">
            <w:pPr>
              <w:spacing w:line="240" w:lineRule="auto"/>
              <w:rPr>
                <w:rFonts w:eastAsia="Times New Roman"/>
                <w:color w:val="000000"/>
                <w:sz w:val="20"/>
                <w:szCs w:val="20"/>
              </w:rPr>
            </w:pPr>
            <w:r>
              <w:rPr>
                <w:rFonts w:ascii="Wingdings" w:eastAsia="Times New Roman" w:hAnsi="Wingdings"/>
                <w:color w:val="000000"/>
                <w:sz w:val="20"/>
                <w:szCs w:val="20"/>
              </w:rPr>
              <w:t></w:t>
            </w:r>
            <w:r>
              <w:rPr>
                <w:rFonts w:eastAsia="Times New Roman"/>
                <w:color w:val="000000"/>
                <w:sz w:val="20"/>
                <w:szCs w:val="20"/>
              </w:rPr>
              <w:t xml:space="preserve"> </w:t>
            </w:r>
            <w:r w:rsidRPr="005221FF">
              <w:rPr>
                <w:rFonts w:eastAsia="Times New Roman"/>
                <w:color w:val="000000"/>
                <w:sz w:val="20"/>
                <w:szCs w:val="20"/>
              </w:rPr>
              <w:t>reclutamiento de unidades motoras</w:t>
            </w:r>
          </w:p>
        </w:tc>
        <w:tc>
          <w:tcPr>
            <w:tcW w:w="3034" w:type="dxa"/>
            <w:tcBorders>
              <w:top w:val="nil"/>
              <w:left w:val="nil"/>
              <w:bottom w:val="nil"/>
              <w:right w:val="nil"/>
            </w:tcBorders>
            <w:shd w:val="clear" w:color="auto" w:fill="auto"/>
            <w:noWrap/>
            <w:vAlign w:val="center"/>
            <w:hideMark/>
          </w:tcPr>
          <w:p w:rsidR="00777692" w:rsidRPr="005221FF" w:rsidRDefault="00777692" w:rsidP="004F387C">
            <w:pPr>
              <w:spacing w:line="240" w:lineRule="auto"/>
              <w:rPr>
                <w:rFonts w:eastAsia="Times New Roman"/>
                <w:color w:val="000000"/>
                <w:sz w:val="20"/>
                <w:szCs w:val="20"/>
              </w:rPr>
            </w:pPr>
            <w:r w:rsidRPr="005221FF">
              <w:rPr>
                <w:rFonts w:eastAsia="Times New Roman"/>
                <w:color w:val="000000"/>
                <w:sz w:val="20"/>
                <w:szCs w:val="20"/>
              </w:rPr>
              <w:t>Periodos largos de recuperación</w:t>
            </w:r>
          </w:p>
        </w:tc>
      </w:tr>
      <w:tr w:rsidR="00777692" w:rsidRPr="004C25AC" w:rsidTr="004F387C">
        <w:trPr>
          <w:trHeight w:val="300"/>
          <w:jc w:val="center"/>
        </w:trPr>
        <w:tc>
          <w:tcPr>
            <w:tcW w:w="1433" w:type="dxa"/>
            <w:vMerge/>
            <w:tcBorders>
              <w:top w:val="nil"/>
              <w:left w:val="nil"/>
              <w:bottom w:val="single" w:sz="4" w:space="0" w:color="000000"/>
              <w:right w:val="nil"/>
            </w:tcBorders>
            <w:vAlign w:val="center"/>
            <w:hideMark/>
          </w:tcPr>
          <w:p w:rsidR="00777692" w:rsidRPr="005221FF" w:rsidRDefault="00777692" w:rsidP="004F387C">
            <w:pPr>
              <w:spacing w:line="240" w:lineRule="auto"/>
              <w:jc w:val="center"/>
              <w:rPr>
                <w:rFonts w:eastAsia="Times New Roman"/>
                <w:b/>
                <w:bCs/>
                <w:color w:val="000000"/>
                <w:sz w:val="20"/>
                <w:szCs w:val="20"/>
              </w:rPr>
            </w:pPr>
          </w:p>
        </w:tc>
        <w:tc>
          <w:tcPr>
            <w:tcW w:w="3118" w:type="dxa"/>
            <w:tcBorders>
              <w:top w:val="nil"/>
              <w:left w:val="nil"/>
              <w:bottom w:val="nil"/>
              <w:right w:val="nil"/>
            </w:tcBorders>
            <w:shd w:val="clear" w:color="auto" w:fill="auto"/>
            <w:noWrap/>
            <w:vAlign w:val="center"/>
            <w:hideMark/>
          </w:tcPr>
          <w:p w:rsidR="00777692" w:rsidRPr="005221FF" w:rsidRDefault="00777692" w:rsidP="004F387C">
            <w:pPr>
              <w:spacing w:line="240" w:lineRule="auto"/>
              <w:rPr>
                <w:rFonts w:eastAsia="Times New Roman"/>
                <w:color w:val="000000"/>
                <w:sz w:val="20"/>
                <w:szCs w:val="20"/>
              </w:rPr>
            </w:pPr>
            <w:r>
              <w:rPr>
                <w:rFonts w:ascii="Wingdings" w:eastAsia="Times New Roman" w:hAnsi="Wingdings"/>
                <w:color w:val="000000"/>
                <w:sz w:val="20"/>
                <w:szCs w:val="20"/>
              </w:rPr>
              <w:t></w:t>
            </w:r>
            <w:r>
              <w:rPr>
                <w:rFonts w:eastAsia="Times New Roman"/>
                <w:color w:val="000000"/>
                <w:sz w:val="20"/>
                <w:szCs w:val="20"/>
              </w:rPr>
              <w:t xml:space="preserve"> </w:t>
            </w:r>
            <w:r w:rsidRPr="005221FF">
              <w:rPr>
                <w:rFonts w:eastAsia="Times New Roman"/>
                <w:color w:val="000000"/>
                <w:sz w:val="20"/>
                <w:szCs w:val="20"/>
              </w:rPr>
              <w:t>activación de las fibras musculares</w:t>
            </w:r>
          </w:p>
        </w:tc>
        <w:tc>
          <w:tcPr>
            <w:tcW w:w="3034" w:type="dxa"/>
            <w:tcBorders>
              <w:top w:val="nil"/>
              <w:left w:val="nil"/>
              <w:bottom w:val="nil"/>
              <w:right w:val="nil"/>
            </w:tcBorders>
            <w:shd w:val="clear" w:color="auto" w:fill="auto"/>
            <w:noWrap/>
            <w:vAlign w:val="center"/>
            <w:hideMark/>
          </w:tcPr>
          <w:p w:rsidR="00777692" w:rsidRPr="005221FF" w:rsidRDefault="00777692" w:rsidP="004F387C">
            <w:pPr>
              <w:spacing w:line="240" w:lineRule="auto"/>
              <w:rPr>
                <w:rFonts w:eastAsia="Times New Roman"/>
                <w:color w:val="000000"/>
                <w:sz w:val="20"/>
                <w:szCs w:val="20"/>
              </w:rPr>
            </w:pPr>
            <w:r w:rsidRPr="005221FF">
              <w:rPr>
                <w:rFonts w:eastAsia="Times New Roman"/>
                <w:color w:val="000000"/>
                <w:sz w:val="20"/>
                <w:szCs w:val="20"/>
              </w:rPr>
              <w:t>Riesgo de lesión</w:t>
            </w:r>
          </w:p>
        </w:tc>
      </w:tr>
      <w:tr w:rsidR="00777692" w:rsidRPr="004C25AC" w:rsidTr="004F387C">
        <w:trPr>
          <w:trHeight w:val="300"/>
          <w:jc w:val="center"/>
        </w:trPr>
        <w:tc>
          <w:tcPr>
            <w:tcW w:w="1433" w:type="dxa"/>
            <w:vMerge/>
            <w:tcBorders>
              <w:top w:val="nil"/>
              <w:left w:val="nil"/>
              <w:bottom w:val="single" w:sz="4" w:space="0" w:color="000000"/>
              <w:right w:val="nil"/>
            </w:tcBorders>
            <w:vAlign w:val="center"/>
            <w:hideMark/>
          </w:tcPr>
          <w:p w:rsidR="00777692" w:rsidRPr="005221FF" w:rsidRDefault="00777692" w:rsidP="004F387C">
            <w:pPr>
              <w:spacing w:line="240" w:lineRule="auto"/>
              <w:jc w:val="center"/>
              <w:rPr>
                <w:rFonts w:eastAsia="Times New Roman"/>
                <w:b/>
                <w:bCs/>
                <w:color w:val="000000"/>
                <w:sz w:val="20"/>
                <w:szCs w:val="20"/>
              </w:rPr>
            </w:pPr>
          </w:p>
        </w:tc>
        <w:tc>
          <w:tcPr>
            <w:tcW w:w="3118" w:type="dxa"/>
            <w:tcBorders>
              <w:top w:val="nil"/>
              <w:left w:val="nil"/>
              <w:bottom w:val="nil"/>
              <w:right w:val="nil"/>
            </w:tcBorders>
            <w:shd w:val="clear" w:color="auto" w:fill="auto"/>
            <w:noWrap/>
            <w:vAlign w:val="center"/>
            <w:hideMark/>
          </w:tcPr>
          <w:p w:rsidR="00777692" w:rsidRPr="005221FF" w:rsidRDefault="00777692" w:rsidP="004F387C">
            <w:pPr>
              <w:spacing w:line="240" w:lineRule="auto"/>
              <w:rPr>
                <w:rFonts w:eastAsia="Times New Roman"/>
                <w:color w:val="000000"/>
                <w:sz w:val="20"/>
                <w:szCs w:val="20"/>
              </w:rPr>
            </w:pPr>
            <w:r>
              <w:rPr>
                <w:rFonts w:ascii="Wingdings" w:eastAsia="Times New Roman" w:hAnsi="Wingdings"/>
                <w:color w:val="000000"/>
                <w:sz w:val="20"/>
                <w:szCs w:val="20"/>
              </w:rPr>
              <w:t></w:t>
            </w:r>
            <w:r>
              <w:rPr>
                <w:rFonts w:eastAsia="Times New Roman"/>
                <w:color w:val="000000"/>
                <w:sz w:val="20"/>
                <w:szCs w:val="20"/>
              </w:rPr>
              <w:t xml:space="preserve"> </w:t>
            </w:r>
            <w:r w:rsidRPr="005221FF">
              <w:rPr>
                <w:rFonts w:eastAsia="Times New Roman"/>
                <w:color w:val="000000"/>
                <w:sz w:val="20"/>
                <w:szCs w:val="20"/>
              </w:rPr>
              <w:t>sincronización celular</w:t>
            </w:r>
          </w:p>
        </w:tc>
        <w:tc>
          <w:tcPr>
            <w:tcW w:w="3034" w:type="dxa"/>
            <w:tcBorders>
              <w:top w:val="nil"/>
              <w:left w:val="nil"/>
              <w:bottom w:val="nil"/>
              <w:right w:val="nil"/>
            </w:tcBorders>
            <w:shd w:val="clear" w:color="auto" w:fill="auto"/>
            <w:noWrap/>
            <w:vAlign w:val="center"/>
            <w:hideMark/>
          </w:tcPr>
          <w:p w:rsidR="00777692" w:rsidRPr="005221FF" w:rsidRDefault="00777692" w:rsidP="004F387C">
            <w:pPr>
              <w:spacing w:line="240" w:lineRule="auto"/>
              <w:rPr>
                <w:rFonts w:eastAsia="Times New Roman"/>
                <w:color w:val="000000"/>
                <w:sz w:val="20"/>
                <w:szCs w:val="20"/>
              </w:rPr>
            </w:pPr>
            <w:r w:rsidRPr="005221FF">
              <w:rPr>
                <w:rFonts w:eastAsia="Times New Roman"/>
                <w:color w:val="000000"/>
                <w:sz w:val="20"/>
                <w:szCs w:val="20"/>
              </w:rPr>
              <w:t>Gran carga psicológica</w:t>
            </w:r>
          </w:p>
        </w:tc>
      </w:tr>
      <w:tr w:rsidR="00777692" w:rsidRPr="004C25AC" w:rsidTr="004F387C">
        <w:trPr>
          <w:trHeight w:val="300"/>
          <w:jc w:val="center"/>
        </w:trPr>
        <w:tc>
          <w:tcPr>
            <w:tcW w:w="1433" w:type="dxa"/>
            <w:vMerge/>
            <w:tcBorders>
              <w:top w:val="nil"/>
              <w:left w:val="nil"/>
              <w:bottom w:val="single" w:sz="4" w:space="0" w:color="000000"/>
              <w:right w:val="nil"/>
            </w:tcBorders>
            <w:vAlign w:val="center"/>
            <w:hideMark/>
          </w:tcPr>
          <w:p w:rsidR="00777692" w:rsidRPr="005221FF" w:rsidRDefault="00777692" w:rsidP="004F387C">
            <w:pPr>
              <w:spacing w:line="240" w:lineRule="auto"/>
              <w:jc w:val="center"/>
              <w:rPr>
                <w:rFonts w:eastAsia="Times New Roman"/>
                <w:b/>
                <w:bCs/>
                <w:color w:val="000000"/>
                <w:sz w:val="20"/>
                <w:szCs w:val="20"/>
              </w:rPr>
            </w:pPr>
          </w:p>
        </w:tc>
        <w:tc>
          <w:tcPr>
            <w:tcW w:w="6152" w:type="dxa"/>
            <w:gridSpan w:val="2"/>
            <w:tcBorders>
              <w:top w:val="nil"/>
              <w:left w:val="nil"/>
              <w:bottom w:val="single" w:sz="4" w:space="0" w:color="auto"/>
              <w:right w:val="nil"/>
            </w:tcBorders>
            <w:shd w:val="clear" w:color="auto" w:fill="auto"/>
            <w:noWrap/>
            <w:vAlign w:val="center"/>
            <w:hideMark/>
          </w:tcPr>
          <w:p w:rsidR="00777692" w:rsidRDefault="00777692" w:rsidP="004F387C">
            <w:pPr>
              <w:spacing w:line="240" w:lineRule="auto"/>
              <w:rPr>
                <w:rFonts w:eastAsia="Times New Roman"/>
                <w:color w:val="000000"/>
                <w:sz w:val="20"/>
                <w:szCs w:val="20"/>
              </w:rPr>
            </w:pPr>
            <w:r w:rsidRPr="005221FF">
              <w:rPr>
                <w:rFonts w:eastAsia="Times New Roman"/>
                <w:color w:val="000000"/>
                <w:sz w:val="20"/>
                <w:szCs w:val="20"/>
              </w:rPr>
              <w:t>Inferencia positiva en la coordinación</w:t>
            </w:r>
          </w:p>
          <w:p w:rsidR="00777692" w:rsidRPr="005221FF" w:rsidRDefault="00777692" w:rsidP="004F387C">
            <w:pPr>
              <w:spacing w:line="240" w:lineRule="auto"/>
              <w:rPr>
                <w:rFonts w:eastAsia="Times New Roman"/>
                <w:color w:val="000000"/>
                <w:sz w:val="20"/>
                <w:szCs w:val="20"/>
              </w:rPr>
            </w:pPr>
            <w:r w:rsidRPr="005221FF">
              <w:rPr>
                <w:rFonts w:eastAsia="Times New Roman"/>
                <w:color w:val="000000"/>
                <w:sz w:val="20"/>
                <w:szCs w:val="20"/>
              </w:rPr>
              <w:t>intermuscular</w:t>
            </w:r>
          </w:p>
        </w:tc>
      </w:tr>
    </w:tbl>
    <w:p w:rsidR="00777692" w:rsidRPr="00B9755B" w:rsidRDefault="00777692" w:rsidP="00777692">
      <w:pPr>
        <w:rPr>
          <w:i/>
          <w:sz w:val="20"/>
          <w:szCs w:val="20"/>
        </w:rPr>
      </w:pPr>
      <w:r>
        <w:tab/>
      </w:r>
      <w:r>
        <w:rPr>
          <w:i/>
          <w:sz w:val="20"/>
          <w:szCs w:val="20"/>
        </w:rPr>
        <w:t>Abreviaturas: Fmáx, fuerza máxima.</w:t>
      </w:r>
    </w:p>
    <w:p w:rsidR="00777692" w:rsidRDefault="00777692" w:rsidP="00777692"/>
    <w:p w:rsidR="00777692" w:rsidRDefault="00777692" w:rsidP="00777692"/>
    <w:p w:rsidR="00777692" w:rsidRDefault="00777692" w:rsidP="00777692">
      <w:r>
        <w:t xml:space="preserve">Actualmente se siguen realizando estudios con este método, para comprobar la eficacia del trabajo con altas cargas y se concluye que es uno de los métodos más efectivos en comparación con el trabajo de cargas bajas a lo largo del tiempo, para mejorar la Fmáx, véase Figura 10 </w:t>
      </w:r>
      <w:r>
        <w:lastRenderedPageBreak/>
        <w:fldChar w:fldCharType="begin" w:fldLock="1"/>
      </w:r>
      <w:r>
        <w:instrText>ADDIN CSL_CITATION {"citationItems":[{"id":"ITEM-1","itemData":{"DOI":"10.1007/s004210050147","ISBN":"0301-5548","ISSN":"03015548","PMID":"9088836","abstract":"The effects of maximal effort strength training with different loads on maximal strength, muscle cross-sectional area, the load-power and load-velocity relationship were investigated in the elbow flexors. Physical education students were matched into three groups; G90 (n = 9) trained with a load of 90%. G35 (n = 11) with 35%, and G15 (n = 10) with 15% of IRM (1 repetition maximum). Training consisted of three to five sets, performed three times a week for 9 weeks. Each set consisted of two, seven and ten repetitions in G90. G35 and G15, respectively. Training was performed with the nondominant arm, and the dominant arm served as control. The IRM increased 15.2 (SD 4.5)% (P &lt; 0.001) in G90, 10.1 (SD 5.9)% (P &lt; 0.001) in G35 and 6.6 (SD 7.9)% (P &lt; 0.05) in G15. The increase in G90 was significantly larger than for G15 (P &lt; 0.05). In the untrained arm, IRM also increased for G90 and G15. In contrast to G90. G15 showed a similar increase in IRM in both arms. Cross-sectional area of the elbow, flexors did not change for G90 and G15. while G35 increased 2.8% (P &lt; 0.05). Maximal power and velocity were tested at 2.5 kg and at 15%, 25%, 35%, 50%, 70% and 90% of pretraining IRM. Power increased for all tested loads in G90 and G35, and G15 showed an increase in power at 15%, 25% and 50% of IRM. No significant differences in increase in power could be found among the three groups at loads equal to or less than 50%, but at 70% and 90% of IRM the increase was larger for G90 and G35 than for G15 (P &lt; 0.05). The G35 showed a similar increase in power at all loads tested whereas G90 showed load specificity in the effect of the training. There was a correlation between IRM and maximal power (r = 0.93, P &lt; 0.0001), and between IRM and power at load 2.5 kg (r = 0.73, P &lt; 0.0001). In conclusion, training with loads of 15% and 35% of IRM resulted in an increase in IRM. Although the increase in maximal power after training at 90% of IRM showed some load specificity. It also increased maximal power at 15% of IRM. Training at loads near maximal power output would seem to increase power efficiently over a wide load range. The high correlation between IRM and maximal power at load 2.5 kg also would indicate that maximal strength is important for performance at light loads.","author":[{"dropping-particle":"","family":"Moss","given":"B. M.","non-dropping-particle":"","parse-names":false,"suffix":""},{"dropping-particle":"","family":"Refsnes","given":"P. E.","non-dropping-particle":"","parse-names":false,"suffix":""},{"dropping-particle":"","family":"Abildgaard","given":"A.","non-dropping-particle":"","parse-names":false,"suffix":""},{"dropping-particle":"","family":"Nicolaysen","given":"K.","non-dropping-particle":"","parse-names":false,"suffix":""},{"dropping-particle":"","family":"Jensen","given":"J.","non-dropping-particle":"","parse-names":false,"suffix":""}],"container-title":"European Journal of Applied Physiology and Occupational Physiology","id":"ITEM-1","issue":"3","issued":{"date-parts":[["1997"]]},"page":"193-199","title":"Effects of maximal effort strength training with different loads on dynamic strength, cross-sectional area, load-power and load-velocity relationships","type":"article-journal","volume":"75"},"uris":["http://www.mendeley.com/documents/?uuid=72226a8d-b8dd-4060-8cb9-53b8c64312b2"]},{"id":"ITEM-2","itemData":{"ISBN":"9788480195782","abstract":"Traducción de: Forza, resistenza, velocita, mobilita, articolare : le nuove metodologie.","author":[{"dropping-particle":"","family":"Mirella","given":"Riccardo.","non-dropping-particle":"","parse-names":false,"suffix":""},{"dropping-particle":"","family":"Cueto","given":"Gemma.","non-dropping-particle":"","parse-names":false,"suffix":""}],"id":"ITEM-2","issued":{"date-parts":[["2006"]]},"publisher":"Paidotribo","title":"Las nuevas metodologías del entrenamiento de la fuerza, la resistencia, la velocidad y la flexibilidad","type":"book"},"uris":["http://www.mendeley.com/documents/?uuid=af456274-9942-3e75-9450-436dd2363e38"]},{"id":"ITEM-3","itemData":{"DOI":"10.3389/fphys.2017.00331","ISSN":"1664-042X","PMID":"28611677","abstract":"We examined the neuromuscular adaptations following 3 and 6 weeks of 80 vs. 30% one repetition maximum (1RM) resistance training to failure in the leg extensors. Twenty-six men (age = 23.1 ± 4.7 years) were randomly assigned to a high- (80% 1RM; n = 13) or low-load (30% 1RM; n = 13) resistance training group and completed leg extension resistance training to failure 3 times per week for 6 weeks. Testing was completed at baseline, 3, and 6 weeks of training. During each testing session, ultrasound muscle thickness and echo intensity, 1RM strength, maximal voluntary isometric contraction (MVIC) strength, and contractile properties of the quadriceps femoris were measured. Percent voluntary activation (VA) and electromyographic (EMG) amplitude were measured during MVIC, and during randomly ordered isometric step muscle actions at 10-100% of baseline MVIC. There were similar increases in muscle thickness from Baseline to Week 3 and 6 in the 80 and 30% 1RM groups. However, both 1RM and MVIC strength increased from Baseline to Week 3 and 6 to a greater degree in the 80% than 30% 1RM group. VA during MVIC was also greater in the 80 vs. 30% 1RM group at Week 6, and only training at 80% 1RM elicited a significant increase in EMG amplitude during MVIC. The peak twitch torque to MVIC ratio was also significantly reduced in the 80%, but not 30% 1RM group, at Week 3 and 6. Finally, VA and EMG amplitude were reduced during submaximal torque production as a result of training at 80% 1RM, but not 30% 1RM. Despite eliciting similar hypertrophy, 80% 1RM improved muscle strength more than 30% 1RM, and was accompanied by increases in VA and EMG amplitude during maximal force production. Furthermore, training at 80% 1RM resulted in a decreased neural cost to produce the same relative submaximal torques after training, whereas training at 30% 1RM did not. Therefore, our data suggest that high-load training results in greater neural adaptations that may explain the disparate increases in muscle strength despite similar hypertrophy following high- and low-load training programs.","author":[{"dropping-particle":"","family":"Jenkins","given":"Nathaniel D M","non-dropping-particle":"","parse-names":false,"suffix":""},{"dropping-particle":"","family":"Miramonti","given":"Amelia A","non-dropping-particle":"","parse-names":false,"suffix":""},{"dropping-particle":"","family":"Hill","given":"Ethan C","non-dropping-particle":"","parse-names":false,"suffix":""},{"dropping-particle":"","family":"Smith","given":"Cory M","non-dropping-particle":"","parse-names":false,"suffix":""},{"dropping-particle":"","family":"Cochrane-Snyman","given":"Kristen C","non-dropping-particle":"","parse-names":false,"suffix":""},{"dropping-particle":"","family":"Housh","given":"Terry J","non-dropping-particle":"","parse-names":false,"suffix":""},{"dropping-particle":"","family":"Cramer","given":"Joel T","non-dropping-particle":"","parse-names":false,"suffix":""}],"container-title":"Frontiers in physiology","id":"ITEM-3","issued":{"date-parts":[["2017"]]},"page":"331","publisher":"Frontiers Media SA","title":"Greater Neural Adaptations following High- vs. Low-Load Resistance Training.","type":"article-journal","volume":"8"},"uris":["http://www.mendeley.com/documents/?uuid=2e0a130a-44d8-33eb-af1a-1b686d8cd28f"]}],"mendeley":{"formattedCitation":"(Jenkins et al., 2017; Mirella &amp; Cueto, 2006; Moss, Refsnes, Abildgaard, Nicolaysen, &amp; Jensen, 1997)","plainTextFormattedCitation":"(Jenkins et al., 2017; Mirella &amp; Cueto, 2006; Moss, Refsnes, Abildgaard, Nicolaysen, &amp; Jensen, 1997)","previouslyFormattedCitation":"(Jenkins et al., 2017; Mirella &amp; Cueto, 2006; Moss, Refsnes, Abildgaard, Nicolaysen, &amp; Jensen, 1997)"},"properties":{"noteIndex":0},"schema":"https://github.com/citation-style-language/schema/raw/master/csl-citation.json"}</w:instrText>
      </w:r>
      <w:r>
        <w:fldChar w:fldCharType="separate"/>
      </w:r>
      <w:r w:rsidRPr="00011DC3">
        <w:rPr>
          <w:noProof/>
        </w:rPr>
        <w:t>(Jenkins et al., 2017; Mirella &amp; Cueto, 2006; Moss, Refsnes, Abildgaard, Nicolaysen, &amp; Jensen, 1997)</w:t>
      </w:r>
      <w:r>
        <w:fldChar w:fldCharType="end"/>
      </w:r>
      <w:r>
        <w:t xml:space="preserve">. Una intervención de 8 semanas de entrenamiento con altas cargas y pocas repeticiones, comparado con otro de bajas cargas y muchas repeticiones, obtuvo diferencias significativas en la ganancia de Fmáx en ambos, pero ésta incrementó más con cargas altas, concretamente un 2,6% más que usando cargas bajas con el mismo volumen total </w:t>
      </w:r>
      <w:r>
        <w:fldChar w:fldCharType="begin" w:fldLock="1"/>
      </w:r>
      <w:r>
        <w:instrText>ADDIN CSL_CITATION {"citationItems":[{"id":"ITEM-1","itemData":{"ISSN":"0301-5548","PMID":"7195805","abstract":"Thirty young male adults matched in two experimental groups (n = 12) and a control group (n = 6) were investigated before and after an 8-week strength training period. Group A trained with few repetitions and maximal loads, whereas group B had more repetitions with smaller loads. Both groups lifted the same total load during each training period, four times a week. Maximal voluntary strength (MVS) of a shot-put arm movement, muscular excitability and contractile properties (time to peak of contraction with threshold stimuli, half relaxation time) were measured in M. deltoideus and M. triceps brachii, C. longum, for two durations of stimulation. Increases of 14.8% (group A) and 12.2% (group B) in MVS were observed. Muscle excitability significantly increased in all types of training and both muscles. Significant shortening of the contraction time, dependent on the type of training, was observed in both studied muscles. It appears that the strength training in group A involved the fast fibers of both muscles, whereas in group B the training influence was less marked, and affected both fast and slow fiber types.","author":[{"dropping-particle":"","family":"Schmidtbleicher","given":"D","non-dropping-particle":"","parse-names":false,"suffix":""},{"dropping-particle":"","family":"Haralambie","given":"G","non-dropping-particle":"","parse-names":false,"suffix":""}],"container-title":"European journal of applied physiology and occupational physiology","id":"ITEM-1","issue":"3","issued":{"date-parts":[["1981"]]},"page":"221-8","title":"Changes in contractile properties of muscle after strength training in man.","type":"article-journal","volume":"46"},"uris":["http://www.mendeley.com/documents/?uuid=c77ce39f-43c0-3fa3-810f-72bea33c5a90"]}],"mendeley":{"formattedCitation":"(Schmidtbleicher &amp; Haralambie, 1981)","plainTextFormattedCitation":"(Schmidtbleicher &amp; Haralambie, 1981)","previouslyFormattedCitation":"(Schmidtbleicher &amp; Haralambie, 1981)"},"properties":{"noteIndex":0},"schema":"https://github.com/citation-style-language/schema/raw/master/csl-citation.json"}</w:instrText>
      </w:r>
      <w:r>
        <w:fldChar w:fldCharType="separate"/>
      </w:r>
      <w:r w:rsidRPr="00FA07A4">
        <w:rPr>
          <w:noProof/>
        </w:rPr>
        <w:t>(Schmidtbleicher &amp; Haralambie, 1981)</w:t>
      </w:r>
      <w:r>
        <w:fldChar w:fldCharType="end"/>
      </w:r>
      <w:r>
        <w:t xml:space="preserve">. Incluso se demuestra, que en sujetos sin experiencia en el entrenamiento de Fmáx, trabajar en intensidades elevadas, genera grandes ganancias de ésta sin aparición de lesiones, eso sí, anteriormente a la intervención todos los sujetos realizaron una familiarización de 6 semanas. Además, no solo se generan ganancia de forma inmediatamente posterior al periodo de entrenamiento, sino que éstas se mantienen al menos durante los 2 meses posteriores a su finalización </w:t>
      </w:r>
      <w:r>
        <w:fldChar w:fldCharType="begin" w:fldLock="1"/>
      </w:r>
      <w:r>
        <w:instrText>ADDIN CSL_CITATION {"citationItems":[{"id":"ITEM-1","itemData":{"ISSN":"1885-3137","abstract":"En este estudio se ha analizado la mejora y retención de la fuerza en 34 sujetos no entrenados, distribuidos de forma aleatoria en un grupo experimental (GE) (n=17) que efectuó un programa de entrenamiento para la mejora de la misma de 9 semanas de duración, realizando 4 sesiones consecutivas de entrenamiento semanal, y un grupo control (GC) (n=17) que no llevó a cabo ningún entrenamiento. Se tomaron mediciones del peso máximo elevado en 1RM, la fuerza máxima, y la fuerza media total, con el sistema de medición de fuerzas dinámicas Isocontrol 3.6, en el ejercicio de squat (SQ), antes (PRE-), en la mitad (MED-) y al final del tratamiento (POST 1), así como tras 1 (POST 2) y 2 meses (POST 3) de la finalización mismo. En el GE, las ganancias de fuerza fueron altamente significativas (p&lt;0.01) tanto en la mitad (19%), como al final del programa de entrenamiento (35%), e incluso tras 2 meses de la finalización del mismo (40%). En el GC no se produjeron cambios significativos. En conclusión, tras 9 semanas de entrenamiento de fuerza, se pueden obtener mejoras de la misma altamente significativas utilizando cargas concentradas en sujetos no entrenados, y se pueden seguir alcanzando mayores ganancias durante al menos otras 8 semanas más después de finalizado el entrenamiento.","author":[{"dropping-particle":"","family":"Aceña-Rubio","given":"Rosa Mª","non-dropping-particle":"","parse-names":false,"suffix":""},{"dropping-particle":"","family":"Díaz-Ureña","given":"Germán","non-dropping-particle":"","parse-names":false,"suffix":""},{"dropping-particle":"","family":"González-Ravé","given":"José María","non-dropping-particle":"","parse-names":false,"suffix":""},{"dropping-particle":"","family":"Juárez-Santos-García","given":"Daniel","non-dropping-particle":"","parse-names":false,"suffix":""},{"dropping-particle":"","family":"Navarro -Valdivielso","given":"Fernando","non-dropping-particle":"","parse-names":false,"suffix":""}],"container-title":"RICYDE. Revista Internacional de Ciencias del Deporte,","id":"ITEM-1","issue":"7","issued":{"date-parts":[["2007"]]},"number-of-pages":"24-33","publisher":"Ramón Cantó Alcaraz","title":"Efecto sobre la mejora y retención de la fuerza de un programa de entrenamiento de fuerza con cargas","type":"book","volume":"3"},"uris":["http://www.mendeley.com/documents/?uuid=694c5d5c-80cd-3962-a76a-df04d1bebd6d"]}],"mendeley":{"formattedCitation":"(Aceña-Rubio, Díaz-Ureña, González-Ravé, Juárez-Santos-García, &amp; Navarro -Valdivielso, 2007)","plainTextFormattedCitation":"(Aceña-Rubio, Díaz-Ureña, González-Ravé, Juárez-Santos-García, &amp; Navarro -Valdivielso, 2007)","previouslyFormattedCitation":"(Aceña-Rubio, Díaz-Ureña, González-Ravé, Juárez-Santos-García, &amp; Navarro -Valdivielso, 2007)"},"properties":{"noteIndex":0},"schema":"https://github.com/citation-style-language/schema/raw/master/csl-citation.json"}</w:instrText>
      </w:r>
      <w:r>
        <w:fldChar w:fldCharType="separate"/>
      </w:r>
      <w:r w:rsidRPr="00B73D5F">
        <w:rPr>
          <w:noProof/>
        </w:rPr>
        <w:t>(Aceña-Rubio, Díaz-Ureña, González-Ravé, Juárez-Santos-García, &amp; Navarro -Valdivielso, 2007)</w:t>
      </w:r>
      <w:r>
        <w:fldChar w:fldCharType="end"/>
      </w:r>
      <w:r>
        <w:t>.</w:t>
      </w:r>
    </w:p>
    <w:p w:rsidR="00777692" w:rsidRDefault="00777692" w:rsidP="00777692">
      <w:pPr>
        <w:keepNext/>
        <w:jc w:val="center"/>
      </w:pPr>
      <w:r>
        <w:rPr>
          <w:noProof/>
          <w:lang w:val="es-ES"/>
        </w:rPr>
        <mc:AlternateContent>
          <mc:Choice Requires="wps">
            <w:drawing>
              <wp:anchor distT="0" distB="0" distL="114300" distR="114300" simplePos="0" relativeHeight="251659264" behindDoc="0" locked="0" layoutInCell="1" allowOverlap="1" wp14:anchorId="6B3A40A3" wp14:editId="34CEAE9E">
                <wp:simplePos x="0" y="0"/>
                <wp:positionH relativeFrom="column">
                  <wp:posOffset>4229100</wp:posOffset>
                </wp:positionH>
                <wp:positionV relativeFrom="paragraph">
                  <wp:posOffset>610870</wp:posOffset>
                </wp:positionV>
                <wp:extent cx="571500" cy="1028700"/>
                <wp:effectExtent l="63500" t="38100" r="50800" b="63500"/>
                <wp:wrapNone/>
                <wp:docPr id="60" name="Elips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 cy="1028700"/>
                        </a:xfrm>
                        <a:prstGeom prst="ellipse">
                          <a:avLst/>
                        </a:prstGeom>
                        <a:noFill/>
                        <a:ln w="19050">
                          <a:solidFill>
                            <a:srgbClr val="FF0000"/>
                          </a:solidFill>
                          <a:round/>
                          <a:headEnd/>
                          <a:tailEnd/>
                        </a:ln>
                        <a:effectLst>
                          <a:outerShdw blurRad="40000" dist="23000" dir="5400000" rotWithShape="0">
                            <a:srgbClr val="80808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1B7BAD55" id="Elipse 32" o:spid="_x0000_s1026" style="position:absolute;margin-left:333pt;margin-top:48.1pt;width:45pt;height: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" filled="f" strokecolor="red" strokeweight="1.5pt">
                <v:shadow on="t" opacity="22936f" origin=",.5" offset="0,.63889mm"/>
                <v:path arrowok="t"/>
              </v:oval>
            </w:pict>
          </mc:Fallback>
        </mc:AlternateContent>
      </w:r>
      <w:r w:rsidRPr="008648EB">
        <w:rPr>
          <w:noProof/>
          <w:lang w:val="es-ES"/>
        </w:rPr>
        <w:drawing>
          <wp:inline distT="0" distB="0" distL="0" distR="0" wp14:anchorId="780DB18C" wp14:editId="40613302">
            <wp:extent cx="4383215" cy="1703900"/>
            <wp:effectExtent l="38100" t="38100" r="87630" b="86995"/>
            <wp:docPr id="8" name="Imagen 31" descr="Macintosh HD:Users:pilarsancheztregon:Desktop:Captura de pantalla 2018-05-14 a las 12.02.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n 31" descr="Macintosh HD:Users:pilarsancheztregon:Desktop:Captura de pantalla 2018-05-14 a las 12.02.11.png"/>
                    <pic:cNvPicPr>
                      <a:picLocks/>
                    </pic:cNvPicPr>
                  </pic:nvPicPr>
                  <pic:blipFill rotWithShape="1">
                    <a:blip r:embed="rId10">
                      <a:extLst>
                        <a:ext uri="{28A0092B-C50C-407E-A947-70E740481C1C}">
                          <a14:useLocalDpi xmlns:a14="http://schemas.microsoft.com/office/drawing/2010/main" val="0"/>
                        </a:ext>
                      </a:extLst>
                    </a:blip>
                    <a:srcRect l="24632" t="5308" r="4902" b="14699"/>
                    <a:stretch/>
                  </pic:blipFill>
                  <pic:spPr bwMode="auto">
                    <a:xfrm>
                      <a:off x="0" y="0"/>
                      <a:ext cx="4382770" cy="1703705"/>
                    </a:xfrm>
                    <a:prstGeom prst="rect">
                      <a:avLst/>
                    </a:prstGeom>
                    <a:ln w="3175"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xmlns=""/>
                      </a:ext>
                    </a:extLst>
                  </pic:spPr>
                </pic:pic>
              </a:graphicData>
            </a:graphic>
          </wp:inline>
        </w:drawing>
      </w:r>
    </w:p>
    <w:p w:rsidR="00777692" w:rsidRPr="00036AD8" w:rsidRDefault="00777692" w:rsidP="00777692">
      <w:pPr>
        <w:pStyle w:val="Descripcin"/>
        <w:rPr>
          <w:b/>
        </w:rPr>
      </w:pPr>
      <w:bookmarkStart w:id="10" w:name="_Toc401568575"/>
      <w:r w:rsidRPr="00B823B2">
        <w:rPr>
          <w:b/>
          <w:highlight w:val="yellow"/>
        </w:rPr>
        <w:t xml:space="preserve">Figura </w:t>
      </w:r>
      <w:r w:rsidRPr="00B823B2">
        <w:rPr>
          <w:b/>
          <w:highlight w:val="yellow"/>
        </w:rPr>
        <w:fldChar w:fldCharType="begin"/>
      </w:r>
      <w:r w:rsidRPr="00B823B2">
        <w:rPr>
          <w:b/>
          <w:highlight w:val="yellow"/>
        </w:rPr>
        <w:instrText xml:space="preserve"> </w:instrText>
      </w:r>
      <w:r>
        <w:rPr>
          <w:b/>
          <w:highlight w:val="yellow"/>
        </w:rPr>
        <w:instrText>SEQ</w:instrText>
      </w:r>
      <w:r w:rsidRPr="00B823B2">
        <w:rPr>
          <w:b/>
          <w:highlight w:val="yellow"/>
        </w:rPr>
        <w:instrText xml:space="preserve"> Figura \* ARABIC </w:instrText>
      </w:r>
      <w:r w:rsidRPr="00B823B2">
        <w:rPr>
          <w:b/>
          <w:highlight w:val="yellow"/>
        </w:rPr>
        <w:fldChar w:fldCharType="separate"/>
      </w:r>
      <w:r w:rsidRPr="00B823B2">
        <w:rPr>
          <w:b/>
          <w:noProof/>
          <w:highlight w:val="yellow"/>
        </w:rPr>
        <w:t>10</w:t>
      </w:r>
      <w:r w:rsidRPr="00B823B2">
        <w:rPr>
          <w:b/>
          <w:highlight w:val="yellow"/>
        </w:rPr>
        <w:fldChar w:fldCharType="end"/>
      </w:r>
      <w:r w:rsidRPr="00B823B2">
        <w:rPr>
          <w:b/>
          <w:highlight w:val="yellow"/>
        </w:rPr>
        <w:t xml:space="preserve">. </w:t>
      </w:r>
      <w:r w:rsidRPr="00B823B2">
        <w:rPr>
          <w:highlight w:val="yellow"/>
        </w:rPr>
        <w:t>Resultados pre, 4 semanas y 9 semanas de un entrenamiento de cargas al 90%, 35% y al 15% del 1 RM en los flexores del codo. Extraído de Moss et al., (1997).</w:t>
      </w:r>
      <w:bookmarkEnd w:id="10"/>
    </w:p>
    <w:p w:rsidR="00777692" w:rsidRDefault="00777692" w:rsidP="00777692"/>
    <w:p w:rsidR="00777692" w:rsidRDefault="00777692" w:rsidP="00777692">
      <w:r>
        <w:t xml:space="preserve">El trabajo con altas cargas, siempre será garantía de éxito en referencia a la ganancia de Fmáx, cuando se trata de individualizar los programas de entrenamiento, es posible encontrar métodos que no consigan el objetivo propuesto, sin embargo el MEM, en mayor o menor medida por las interferencias genéticas que puede aparecer logrará un aumento sobre la Fmáx </w:t>
      </w:r>
      <w:r>
        <w:fldChar w:fldCharType="begin" w:fldLock="1"/>
      </w:r>
      <w:r>
        <w:instrText>ADDIN CSL_CITATION {"citationItems":[{"id":"ITEM-1","itemData":{"ISBN":"9780736081702","abstract":"In this updated, revised, and expanded third edition of Designing Resistance Training Programs, two of the world's leading experts on strength training explore how to use scientific knowledge to develop personalized training programs. With this text, you'll be able to - design scientifically sound resistance training programs, - modify and adapt programs to meet the needs of special populations, and - understand how exercise prescription design works in the real world. Designing Resistance Training Programs, Third Edition, is a clear, readable, state-of-the-art guide to developing individualized training programs for both athletes and fitness enthusiasts. The authors cover resistance training; bioenergetics; and muscular, nervous, and cardiovascular systems adaptations. They also discuss basic training systems and program prescriptions designed to enhance strength, power, and endurance. The new edition contains three chapters dedicated to resistance training issues and concerns for children, women, and seniors, including how to modify and adapt such programs to address the special needs and concerns for each group. Designing Resistance Training Programs, Third Edition, also contains these updated features: - Summaries recap the important points in each chapter for readers who want a quick review. - Key terms are highlighted and listed at the end of each chapter to help readers identify the most important ideas. - Selected readings provide additional books and journal articles for more in-depth knowledge on the subject. - Case studies use examples of exercise prescription design in real-life situations involving wrestling, personal fitness, and volleyball. This updated and expanded new edition will be an important tool for coaches, trainers, and students who want to improve their knowledge and success in designing resistance training programs.","author":[{"dropping-particle":"","family":"Fleck","given":"Steven J.","non-dropping-particle":"","parse-names":false,"suffix":""},{"dropping-particle":"","family":"Kraemer","given":"William J.","non-dropping-particle":"","parse-names":false,"suffix":""}],"edition":"4","id":"ITEM-1","issued":{"date-parts":[["1997"]]},"publisher":"Human Kinetics","publisher-place":"United States of America","title":"Designing Resistance Training Programs","type":"book"},"uris":["http://www.mendeley.com/documents/?uuid=e55893f8-60bc-4531-9db8-2776499e6014"]}],"mendeley":{"formattedCitation":"(Fleck &amp; Kraemer, 1997)","plainTextFormattedCitation":"(Fleck &amp; Kraemer, 1997)","previouslyFormattedCitation":"(Fleck &amp; Kraemer, 1997)"},"properties":{"noteIndex":0},"schema":"https://github.com/citation-style-language/schema/raw/master/csl-citation.json"}</w:instrText>
      </w:r>
      <w:r>
        <w:fldChar w:fldCharType="separate"/>
      </w:r>
      <w:r w:rsidRPr="00F31403">
        <w:rPr>
          <w:noProof/>
        </w:rPr>
        <w:t>(Fleck &amp; Kraemer, 1997)</w:t>
      </w:r>
      <w:r>
        <w:fldChar w:fldCharType="end"/>
      </w:r>
      <w:r>
        <w:t xml:space="preserve">. González-Badillo &amp; Izquierdo (2006), realizan un estudio comparando tres formas de planificar el entrenamiento de Fmáx, la primera realizando series entre el 60 y el 75% 1RM, la segunda entre el 80 y 85% 1RM y la tercera entre el 85 y el 100% 1RM, todos los trabajos obtuvieron mejoras y a pesar de no ser una diferencia significativa, el grupo que mayores ganancias obtuvo fue el tercero, es decir, con altas cargas. Bien es cierto que, según la literatura, tiene mucha carga a nivel neuromuscular, lo que puede provocar fatiga en ambos sistemas. Este aspecto y los inconvenientes nombrados en la Tabla 2, inducen a diferentes autores a identificar nuevos métodos de entrenamiento, que consigan los mismos o mejores </w:t>
      </w:r>
      <w:r>
        <w:lastRenderedPageBreak/>
        <w:t xml:space="preserve">resultados respecto a la ganancia de Fmáx sin generar tanta fatiga o tanta complejidad de ejecución, por ejemplo, el entrenamiento de acomodación utilizando cadenas de peso con incremento de carga </w:t>
      </w:r>
      <w:r>
        <w:fldChar w:fldCharType="begin" w:fldLock="1"/>
      </w:r>
      <w:r>
        <w:instrText>ADDIN CSL_CITATION {"citationItems":[{"id":"ITEM-1","itemData":{"DOI":"10.1519/R-17154.1","ISSN":"1064-8011","PMID":"17194230","abstract":"The purpose of this study was to determine whether the addition of chains to a barbell during the performance of the snatch would invoke differences in execution compared with lifting a conventional barbell without chains. Additionally, subjects were asked whether they perceived that the addition of chains had effects on their performance, and, if so, what those effects were. Four male and 3 female competitive weightlifters who regularly used chains as part of their training programs participated in the study. They were compared lifting 80% of 1 repetition maximum (1RM) using conventional barbells with 80% of 1RM, 5% of which was accounted for by chains. The same procedure was used with 85% of 1RM. Variables examined included maximum vertical displacement of the bar, maximum bar velocity, rate of force production of the bar, and vertical ground reaction forces for the first pull, unweighting, and second pull phases of the lift. Results indicated that there were no statistically significant differences between the chain vs. no-chain conditions at either 80% or 85% of 1RM. In contrast, 100% of the subjects stated that they perceived that the addition of chains made them work harder during the snatch. They suggested that the chains forced them to pull harder throughout the lift and that oscillation of the chains required their shoulders, abdominals, and back to work harder to stabilize the bar in the catch phase. Although statistical results indicate that chains have no influence on the snatch technique, chains may have a psychological impact and possibly invoke a physiological training response by increasing strength of muscles required to stabilize the bar during the catch phase if used over time.","author":[{"dropping-particle":"","family":"Coker","given":"Cheryl A.","non-dropping-particle":"","parse-names":false,"suffix":""},{"dropping-particle":"","family":"Berning","given":"Joseph M.","non-dropping-particle":"","parse-names":false,"suffix":""},{"dropping-particle":"","family":"Briggs","given":"Doug L.","non-dropping-particle":"","parse-names":false,"suffix":""}],"container-title":"The Journal of Strength and Conditioning Research","id":"ITEM-1","issue":"4","issued":{"date-parts":[["2006","11"]]},"page":"887","title":"A Preliminary Investigation of the Biomechanical and Perceptual Influence of Chain Resistance on the Performance of the Snatch","type":"article-journal","volume":"20"},"uris":["http://www.mendeley.com/documents/?uuid=aa007ea0-a945-379b-9c77-8c2756557aed"]}],"mendeley":{"formattedCitation":"(Coker, Berning, &amp; Briggs, 2006)","plainTextFormattedCitation":"(Coker, Berning, &amp; Briggs, 2006)","previouslyFormattedCitation":"(Coker, Berning, &amp; Briggs, 2006)"},"properties":{"noteIndex":0},"schema":"https://github.com/citation-style-language/schema/raw/master/csl-citation.json"}</w:instrText>
      </w:r>
      <w:r>
        <w:fldChar w:fldCharType="separate"/>
      </w:r>
      <w:r w:rsidRPr="00011C13">
        <w:rPr>
          <w:noProof/>
        </w:rPr>
        <w:t>(Coker, Berning, &amp; Briggs, 2006)</w:t>
      </w:r>
      <w:r>
        <w:fldChar w:fldCharType="end"/>
      </w:r>
      <w:r>
        <w:t xml:space="preserve"> o el </w:t>
      </w:r>
      <w:r>
        <w:rPr>
          <w:i/>
        </w:rPr>
        <w:t xml:space="preserve">cluster, </w:t>
      </w:r>
      <w:r>
        <w:t>variando los descansos</w:t>
      </w:r>
      <w:r>
        <w:rPr>
          <w:i/>
        </w:rPr>
        <w:t xml:space="preserve"> </w:t>
      </w:r>
      <w:r>
        <w:rPr>
          <w:i/>
        </w:rPr>
        <w:fldChar w:fldCharType="begin" w:fldLock="1"/>
      </w:r>
      <w:r>
        <w:rPr>
          <w:i/>
        </w:rPr>
        <w:instrText>ADDIN CSL_CITATION {"citationItems":[{"id":"ITEM-1","itemData":{"DOI":"10.1080/02640414.2015.1119299","ISSN":"0264-0414","PMID":"26630355","abstract":"This study compared the functional and neural effects of two strength training programmes differing in set configuration. Thirteen participants performed 10 sessions, over a period of 5 weeks, of unilateral leg extensions with different set configurations but with identical work-to-rest ratios for each limb: a traditional configuration (4 sets of 8 repetitions, 10RM load, 3-min pause between sets) and an inter-repetition rest configuration (32 repetitions, 10RM load, 17.4 s of rest between each repetition). Mean propulsive velocity of the traditional sessions was lower than for inter-repetition rest sessions (0.48 ± 0.06 vs. 0.54 ± 0.06 m · s(-1); P &lt; 0.001), while perceived exertion was higher (8.3 ± 0.9 and 6.56 ± 1.6 for traditional training and IRT; P = 0.002). One repetition maximum (RM), work with 10RM load, maximum mean propulsive power, maximum voluntary contraction and time to failure with 50% of maximum isometric force improved similarly in both legs (time effect, P &lt; 0.001; effect size range, 0.451-1.190). Time and set configuration did not show significant main effects or interactions for cortical adaptations (motor-evoked potentials, short-interval intracortical inhibition, intracortical facilitation). There were no significant correlations between changes in cortical and peripheral neural adaptations and strength improvement. In conclusion, inter-repetition rest configuration was as effective as traditional training in improving muscle performance.","author":[{"dropping-particle":"","family":"Iglesias-Soler","given":"Eliseo","non-dropping-particle":"","parse-names":false,"suffix":""},{"dropping-particle":"","family":"Mayo","given":"Xián","non-dropping-particle":"","parse-names":false,"suffix":""},{"dropping-particle":"","family":"Río-Rodríguez","given":"Dan","non-dropping-particle":"","parse-names":false,"suffix":""},{"dropping-particle":"","family":"Carballeira","given":"Eduardo","non-dropping-particle":"","parse-names":false,"suffix":""},{"dropping-particle":"","family":"Fariñas","given":"Juan","non-dropping-particle":"","parse-names":false,"suffix":""},{"dropping-particle":"","family":"Fernández-Del-Olmo","given":"Miguel","non-dropping-particle":"","parse-names":false,"suffix":""}],"container-title":"Journal of Sports Sciences","id":"ITEM-1","issue":"15","issued":{"date-parts":[["2016","8","2"]]},"page":"1473-1484","title":"Inter-repetition rest training and traditional set configuration produce similar strength gains without cortical adaptations","type":"article-journal","volume":"34"},"uris":["http://www.mendeley.com/documents/?uuid=9e4d9f1c-67c5-3ae1-afef-8f630a3c5572"]}],"mendeley":{"formattedCitation":"(Iglesias-Soler et al., 2016b)","manualFormatting":"(Iglesias-Soler et al., 2016)","plainTextFormattedCitation":"(Iglesias-Soler et al., 2016b)","previouslyFormattedCitation":"(Iglesias-Soler et al., 2016b)"},"properties":{"noteIndex":0},"schema":"https://github.com/citation-style-language/schema/raw/master/csl-citation.json"}</w:instrText>
      </w:r>
      <w:r>
        <w:rPr>
          <w:i/>
        </w:rPr>
        <w:fldChar w:fldCharType="separate"/>
      </w:r>
      <w:r w:rsidRPr="00215CA9">
        <w:rPr>
          <w:noProof/>
        </w:rPr>
        <w:t>(I</w:t>
      </w:r>
      <w:r>
        <w:rPr>
          <w:noProof/>
        </w:rPr>
        <w:t>glesias-Soler et al., 2016</w:t>
      </w:r>
      <w:r w:rsidRPr="00215CA9">
        <w:rPr>
          <w:noProof/>
        </w:rPr>
        <w:t>)</w:t>
      </w:r>
      <w:r>
        <w:rPr>
          <w:i/>
        </w:rPr>
        <w:fldChar w:fldCharType="end"/>
      </w:r>
      <w:r>
        <w:t xml:space="preserve"> denominados desde este momento como métodos modernos de entrenamiento de fuerza, que se trataran más adelante.</w:t>
      </w:r>
    </w:p>
    <w:p w:rsidR="00777692" w:rsidRDefault="00777692" w:rsidP="00777692"/>
    <w:p w:rsidR="00777692" w:rsidRPr="00A44843" w:rsidRDefault="00777692" w:rsidP="00777692">
      <w:pPr>
        <w:pStyle w:val="Ttulo3"/>
        <w:numPr>
          <w:ilvl w:val="0"/>
          <w:numId w:val="0"/>
        </w:numPr>
        <w:ind w:left="504" w:hanging="504"/>
      </w:pPr>
      <w:bookmarkStart w:id="11" w:name="_Toc400875542"/>
      <w:bookmarkStart w:id="12" w:name="_Toc401143705"/>
      <w:bookmarkStart w:id="13" w:name="_Toc401557282"/>
      <w:r w:rsidRPr="00A44843">
        <w:t>1.4.1.2. Método de esfuerzos repetidos (MER)</w:t>
      </w:r>
      <w:bookmarkEnd w:id="11"/>
      <w:bookmarkEnd w:id="12"/>
      <w:bookmarkEnd w:id="13"/>
    </w:p>
    <w:p w:rsidR="00777692" w:rsidRDefault="00777692" w:rsidP="00777692"/>
    <w:p w:rsidR="00777692" w:rsidRDefault="00777692" w:rsidP="00777692">
      <w:r>
        <w:t xml:space="preserve">El MER, es el método de trabajo de Fmáx más utilizado por los entrenadores, y se encuentra en cualquier planificación dirigida hacia la ganancia de hipertrofia muscular, ya que trabaja con cargas submáximas. A diferencia del MEM, en este método podemos identificar tres grandes ventajas: mayor influencia sobre el metabolismo muscular y aparición de hipertrofia, alta implicación de unidades motoras y menor riesgo lesivo </w:t>
      </w:r>
      <w:r>
        <w:fldChar w:fldCharType="begin" w:fldLock="1"/>
      </w:r>
      <w:r>
        <w:instrText>ADDIN CSL_CITATION {"citationItems":[{"id":"ITEM-1","itemData":{"ISBN":"0736056289","abstract":"2nd ed. This edition examines fundamental concepts and principles practitioners need to understand in order to make decisions on what might be appropriate in the programme design for their athletes. An integration of coaching theory and scientific underpinnings, this book is useful for those interested in muscular strength. Basis of Strength Conditioning -- Basic Concepts of Training Theory -- Task-Specific Strength -- Athlete-Specific Strength -- Methods of Strength Conditioning -- Training Intensity -- Timing in Strength Training -- Strength Exercises -- Injury Prevention -- Goal-Specific Strength Training -- Training for Specific Populations -- Strength Training for Women -- Strength Training for Young Athletes -- Strength Training for Senior Athletes.","author":[{"dropping-particle":"","family":"Zatsiorsky","given":"Vladimir M.","non-dropping-particle":"","parse-names":false,"suffix":""},{"dropping-particle":"","family":"Kraemer","given":"William J.","non-dropping-particle":"","parse-names":false,"suffix":""}],"id":"ITEM-1","issued":{"date-parts":[["2006"]]},"number-of-pages":"251","publisher":"Human Kinetics","title":"Science and practice of strength training","type":"book"},"uris":["http://www.mendeley.com/documents/?uuid=4c746fc8-6ee3-37e9-8c66-6aef4b556d8e"]}],"mendeley":{"formattedCitation":"(Zatsiorsky &amp; Kraemer, 2006)","plainTextFormattedCitation":"(Zatsiorsky &amp; Kraemer, 2006)","previouslyFormattedCitation":"(Zatsiorsky &amp; Kraemer, 2006)"},"properties":{"noteIndex":0},"schema":"https://github.com/citation-style-language/schema/raw/master/csl-citation.json"}</w:instrText>
      </w:r>
      <w:r>
        <w:fldChar w:fldCharType="separate"/>
      </w:r>
      <w:r w:rsidRPr="0012686F">
        <w:rPr>
          <w:noProof/>
        </w:rPr>
        <w:t>(Zatsiorsky &amp; Kraemer, 2006)</w:t>
      </w:r>
      <w:r>
        <w:fldChar w:fldCharType="end"/>
      </w:r>
      <w:r>
        <w:t xml:space="preserve">. Una de las grandes características de esta forma tradicional de entrenar, es que no tiene en cuenta la velocidad a la que se ejecutan los movimientos, sino que inicialmente se centra en intentar llegar al fallo muscular al terminar cada serie </w:t>
      </w:r>
      <w:r>
        <w:fldChar w:fldCharType="begin" w:fldLock="1"/>
      </w:r>
      <w:r>
        <w:instrText>ADDIN CSL_CITATION {"citationItems":[{"id":"ITEM-1","itemData":{"ISBN":"9788480193894","abstract":"1. ed. Translation of: Les methodes modernes de musculation.","author":[{"dropping-particle":"","family":"Cometti","given":"Gilles.","non-dropping-particle":"","parse-names":false,"suffix":""}],"id":"ITEM-1","issued":{"date-parts":[["2011"]]},"publisher":"Editorial Paidotribo","title":"Los métodos modernos de musculación","type":"book"},"uris":["http://www.mendeley.com/documents/?uuid=3c06ab6c-8af2-3671-b41c-8081075dff1e"]}],"mendeley":{"formattedCitation":"(Cometti, 2011)","plainTextFormattedCitation":"(Cometti, 2011)","previouslyFormattedCitation":"(Cometti, 2011)"},"properties":{"noteIndex":0},"schema":"https://github.com/citation-style-language/schema/raw/master/csl-citation.json"}</w:instrText>
      </w:r>
      <w:r>
        <w:fldChar w:fldCharType="separate"/>
      </w:r>
      <w:r w:rsidRPr="0012686F">
        <w:rPr>
          <w:noProof/>
        </w:rPr>
        <w:t>(Cometti, 2011)</w:t>
      </w:r>
      <w:r>
        <w:fldChar w:fldCharType="end"/>
      </w:r>
      <w:r>
        <w:t>.</w:t>
      </w:r>
    </w:p>
    <w:p w:rsidR="00777692" w:rsidRDefault="00777692" w:rsidP="00777692"/>
    <w:p w:rsidR="00777692" w:rsidRDefault="00777692" w:rsidP="00777692">
      <w:r>
        <w:t xml:space="preserve">Muchos autores describen que, esta tipología de trabajo, consigue mejoras similares al entrenamiento con altas cargas, sin necesidad de sufrir grandes cargas sobre el SNC, que pueden inducir a la aparición de fatiga en el SNC </w:t>
      </w:r>
      <w:r>
        <w:fldChar w:fldCharType="begin" w:fldLock="1"/>
      </w:r>
      <w:r>
        <w:instrText>ADDIN CSL_CITATION {"citationItems":[{"id":"ITEM-1","itemData":{"DOI":"10.1519/R-15574.1","ISSN":"1064-8011","PMID":"16095427","abstract":"The purpose of this study was to examine the effects of 3 resistance training volumes on maximal strength in the snatch (Sn), clean &amp; jerk (C&amp;J), and squat (Sq) exercises during a 10-week training period. Fifty-one experienced (&gt;3 years), trained junior lifters were randomly assigned to one of 3 groups: a low-volume group (LVG, n = 16), a moderate-volume group (MVG, n = 17), and a high-volume group (HVG, n = 18). All subjects trained 4-5 days a week with a periodized routine using the same exercises and relative intensities but a different total number of sets and repetitions at each relative load: LVG (1,923 repetitions), MVG (2,481 repetitions), and HVG (3,030 repetitions). The training was periodized from moderate intensity (60- 80% of 1 repetition maximum [1RM]) and high number of repetitions per set (2-6) to high intensity (90-100% of 1RM) and low number of repetitions per set (1-3). During the training period, the MVG showed a significant increase for the Sn, C&amp;J, and Sq exercises (6.1, 3.7, and 4.2%, respectively, p &lt; 0.01), whereas in the LVG and HVG, the increase took place only with the C&amp;J exercise (3.7 and 3%, respectively, p &lt; 0.05) and the Sq exercise (4.6%, p &lt; 0.05, and 4.8%, p &lt; 0.01, respectively). The increase in the Sn exercise for the MVG was significantly higher than in the LVG (p = 0.015). Calculation of effect sizes showed higher strength gains in the MVG than in the HVG or LVG. There were no significant differences between the LVG and HVG training volume-induced strength gains. The present results indicate that junior experienced lifters can optimize performance by exercising with only 85% or less of the maximal volume that they can tolerate. These observations may have important practical relevance for the optimal design of strength training programs for resistance-trained athletes, since we have shown that performing at a moderate volume is more effective and efficient than performing at a higher volume.","author":[{"dropping-particle":"","family":"González-Badillo","given":"Juan José","non-dropping-particle":"","parse-names":false,"suffix":""},{"dropping-particle":"","family":"Gorostiaga","given":"Esteban M.","non-dropping-particle":"","parse-names":false,"suffix":""},{"dropping-particle":"","family":"Arellano","given":"Raúl","non-dropping-particle":"","parse-names":false,"suffix":""},{"dropping-particle":"","family":"Izquierdo","given":"Mikel","non-dropping-particle":"","parse-names":false,"suffix":""}],"container-title":"The Journal of Strength and Conditioning Research","id":"ITEM-1","issue":"3","issued":{"date-parts":[["2005","8"]]},"page":"689","title":"Moderate Resistance Training Volume Produces More Favorable Strength Gains Than High or Low Volumes During a Short-Term Training Cycle","type":"article-journal","volume":"19"},"uris":["http://www.mendeley.com/documents/?uuid=8b611a4b-b9d7-3066-a644-b9777fafaf15"]},{"id":"ITEM-2","itemData":{"DOI":"10.1519/1533-4287(1997)011&lt;0148:TEOWTV&gt;2.3.CO;2","ISSN":"1064-8011","author":[{"dropping-particle":"","family":"Ostrowski","given":"Karl J.","non-dropping-particle":"","parse-names":false,"suffix":""},{"dropping-particle":"","family":"Wilson","given":"Greg J.","non-dropping-particle":"","parse-names":false,"suffix":""},{"dropping-particle":"","family":"Weatherby","given":"Robert","non-dropping-particle":"","parse-names":false,"suffix":""},{"dropping-particle":"","family":"Murphy","given":"Peter W.","non-dropping-particle":"","parse-names":false,"suffix":""},{"dropping-particle":"","family":"Lyttle","given":"Andrew D.","non-dropping-particle":"","parse-names":false,"suffix":""}],"container-title":"The Journal of Strength and Conditioning Research","id":"ITEM-2","issue":"3","issued":{"date-parts":[["1997"]]},"page":"148","title":"The Effect of Weight Training Volume on Hormonal Output and Muscular Size and Function","type":"article-journal","volume":"11"},"uris":["http://www.mendeley.com/documents/?uuid=958c22c6-7ac1-3575-bcb6-4235465da403"]}],"mendeley":{"formattedCitation":"(Juan José González-Badillo, Gorostiaga, Arellano, &amp; Izquierdo, 2005; Ostrowski, Wilson, Weatherby, Murphy, &amp; Lyttle, 1997)"},"properties":{"noteIndex":0},"schema":"https://github.com/citation-style-language/schema/raw/master/csl-citation.json"}</w:instrText>
      </w:r>
      <w:r>
        <w:fldChar w:fldCharType="separate"/>
      </w:r>
      <w:r>
        <w:rPr>
          <w:noProof/>
        </w:rPr>
        <w:t>(</w:t>
      </w:r>
      <w:r w:rsidRPr="003A204E">
        <w:rPr>
          <w:noProof/>
        </w:rPr>
        <w:t>González-Badillo, Gorostiaga, Arellano, &amp; Izquierdo, 2005; Ostrowski, Wilson, Weatherby, Murphy, &amp; Lyttle, 1997)</w:t>
      </w:r>
      <w:r>
        <w:fldChar w:fldCharType="end"/>
      </w:r>
      <w:r>
        <w:t xml:space="preserve">. Un estudio, realiza la comparativa sobre diferentes volúmenes de entrenamiento, concluyendo que: realizar sesiones con cargas del 85% de 1RM o inferiores, es suficiente para conseguir aumentos en la Fmáx, optimizando de esta forma la eficacia y la eficiencia de los entrenamientos con atletas </w:t>
      </w:r>
      <w:r>
        <w:fldChar w:fldCharType="begin" w:fldLock="1"/>
      </w:r>
      <w:r>
        <w:instrText>ADDIN CSL_CITATION {"citationItems":[{"id":"ITEM-1","itemData":{"DOI":"10.1519/R-15574.1","ISSN":"1064-8011","PMID":"16095427","abstract":"The purpose of this study was to examine the effects of 3 resistance training volumes on maximal strength in the snatch (Sn), clean &amp; jerk (C&amp;J), and squat (Sq) exercises during a 10-week training period. Fifty-one experienced (&gt;3 years), trained junior lifters were randomly assigned to one of 3 groups: a low-volume group (LVG, n = 16), a moderate-volume group (MVG, n = 17), and a high-volume group (HVG, n = 18). All subjects trained 4-5 days a week with a periodized routine using the same exercises and relative intensities but a different total number of sets and repetitions at each relative load: LVG (1,923 repetitions), MVG (2,481 repetitions), and HVG (3,030 repetitions). The training was periodized from moderate intensity (60- 80% of 1 repetition maximum [1RM]) and high number of repetitions per set (2-6) to high intensity (90-100% of 1RM) and low number of repetitions per set (1-3). During the training period, the MVG showed a significant increase for the Sn, C&amp;J, and Sq exercises (6.1, 3.7, and 4.2%, respectively, p &lt; 0.01), whereas in the LVG and HVG, the increase took place only with the C&amp;J exercise (3.7 and 3%, respectively, p &lt; 0.05) and the Sq exercise (4.6%, p &lt; 0.05, and 4.8%, p &lt; 0.01, respectively). The increase in the Sn exercise for the MVG was significantly higher than in the LVG (p = 0.015). Calculation of effect sizes showed higher strength gains in the MVG than in the HVG or LVG. There were no significant differences between the LVG and HVG training volume-induced strength gains. The present results indicate that junior experienced lifters can optimize performance by exercising with only 85% or less of the maximal volume that they can tolerate. These observations may have important practical relevance for the optimal design of strength training programs for resistance-trained athletes, since we have shown that performing at a moderate volume is more effective and efficient than performing at a higher volume.","author":[{"dropping-particle":"","family":"González-Badillo","given":"Juan José","non-dropping-particle":"","parse-names":false,"suffix":""},{"dropping-particle":"","family":"Gorostiaga","given":"Esteban M.","non-dropping-particle":"","parse-names":false,"suffix":""},{"dropping-particle":"","family":"Arellano","given":"Raúl","non-dropping-particle":"","parse-names":false,"suffix":""},{"dropping-particle":"","family":"Izquierdo","given":"Mikel","non-dropping-particle":"","parse-names":false,"suffix":""}],"container-title":"The Journal of Strength and Conditioning Research","id":"ITEM-1","issue":"3","issued":{"date-parts":[["2005","8"]]},"page":"689","title":"Moderate Resistance Training Volume Produces More Favorable Strength Gains Than High or Low Volumes During a Short-Term Training Cycle","type":"article-journal","volume":"19"},"uris":["http://www.mendeley.com/documents/?uuid=8b611a4b-b9d7-3066-a644-b9777fafaf15"]}],"mendeley":{"formattedCitation":"(Juan José González-Badillo et al., 2005)"},"properties":{"noteIndex":0},"schema":"https://github.com/citation-style-language/schema/raw/master/csl-citation.json"}</w:instrText>
      </w:r>
      <w:r>
        <w:fldChar w:fldCharType="separate"/>
      </w:r>
      <w:r w:rsidRPr="003A204E">
        <w:rPr>
          <w:noProof/>
        </w:rPr>
        <w:t>(González-Badillo et al., 2005)</w:t>
      </w:r>
      <w:r>
        <w:fldChar w:fldCharType="end"/>
      </w:r>
      <w:r>
        <w:t xml:space="preserve">. Otra investigación, realiza entrenamientos de 3, 6 y 12 series por grupo muscular a la semana, llegando siempre hasta el fallo muscular de 12 repeticiones aproximadamente. En todos los volúmenes de trabajo, se encuentran mejoras sobre el tamaño muscular, la fuerza y la potencia sin diferencias significativas entre ellos, lo cual verifica la opción del trabajo al fallo muscular </w:t>
      </w:r>
      <w:r>
        <w:fldChar w:fldCharType="begin" w:fldLock="1"/>
      </w:r>
      <w:r>
        <w:instrText>ADDIN CSL_CITATION {"citationItems":[{"id":"ITEM-1","itemData":{"DOI":"10.1519/1533-4287(1997)011&lt;0148:TEOWTV&gt;2.3.CO;2","ISSN":"1064-8011","author":[{"dropping-particle":"","family":"Ostrowski","given":"Karl J.","non-dropping-particle":"","parse-names":false,"suffix":""},{"dropping-particle":"","family":"Wilson","given":"Greg J.","non-dropping-particle":"","parse-names":false,"suffix":""},{"dropping-particle":"","family":"Weatherby","given":"Robert","non-dropping-particle":"","parse-names":false,"suffix":""},{"dropping-particle":"","family":"Murphy","given":"Peter W.","non-dropping-particle":"","parse-names":false,"suffix":""},{"dropping-particle":"","family":"Lyttle","given":"Andrew D.","non-dropping-particle":"","parse-names":false,"suffix":""}],"container-title":"The Journal of Strength and Conditioning Research","id":"ITEM-1","issue":"3","issued":{"date-parts":[["1997"]]},"page":"148","title":"The Effect of Weight Training Volume on Hormonal Output and Muscular Size and Function","type":"article-journal","volume":"11"},"uris":["http://www.mendeley.com/documents/?uuid=958c22c6-7ac1-3575-bcb6-4235465da403"]}],"mendeley":{"formattedCitation":"(Ostrowski et al., 1997)","plainTextFormattedCitation":"(Ostrowski et al., 1997)","previouslyFormattedCitation":"(Ostrowski et al., 1997)"},"properties":{"noteIndex":0},"schema":"https://github.com/citation-style-language/schema/raw/master/csl-citation.json"}</w:instrText>
      </w:r>
      <w:r>
        <w:fldChar w:fldCharType="separate"/>
      </w:r>
      <w:r w:rsidRPr="00D31750">
        <w:rPr>
          <w:noProof/>
        </w:rPr>
        <w:t>(Ostrowski et al., 1997)</w:t>
      </w:r>
      <w:r>
        <w:fldChar w:fldCharType="end"/>
      </w:r>
      <w:r>
        <w:t>.</w:t>
      </w:r>
    </w:p>
    <w:p w:rsidR="00777692" w:rsidRDefault="00777692" w:rsidP="00777692"/>
    <w:p w:rsidR="00777692" w:rsidRDefault="00777692" w:rsidP="00777692">
      <w:r>
        <w:t xml:space="preserve">Uno de los métodos de entrenamiento más populares dentro del MER, es el conocido como 10x10. Este método alemán, como su nombre indica, consiste en realizar 10 series de 10 repeticiones al fallo muscular o a 10RM, que es lo mismo. Varios autores, ponen en práctica esta forma de entrenar y la comparan con volúmenes de trabajo inferiores, afirmando que se </w:t>
      </w:r>
      <w:r>
        <w:lastRenderedPageBreak/>
        <w:t xml:space="preserve">consiguen mayores ganancias respecto a la fuerza y al tamaño muscular empleando menor número de series, ya que sino, se puede perder eficacia en el entrenamiento y derivar por altas cargas de trabajo en sobreentrenamiento </w:t>
      </w:r>
      <w:r>
        <w:fldChar w:fldCharType="begin" w:fldLock="1"/>
      </w:r>
      <w:r>
        <w:instrText>ADDIN CSL_CITATION {"citationItems":[{"id":"ITEM-1","itemData":{"DOI":"10.1519/JSC.0000000000001747","ISSN":"1064-8011","author":[{"dropping-particle":"","family":"Amirthalingam","given":"Theban","non-dropping-particle":"","parse-names":false,"suffix":""},{"dropping-particle":"","family":"Mavros","given":"Yorgi","non-dropping-particle":"","parse-names":false,"suffix":""},{"dropping-particle":"","family":"Wilson","given":"Guy C.","non-dropping-particle":"","parse-names":false,"suffix":""},{"dropping-particle":"","family":"Clarke","given":"Jillian L.","non-dropping-particle":"","parse-names":false,"suffix":""},{"dropping-particle":"","family":"Mitchell","given":"Lachlan","non-dropping-particle":"","parse-names":false,"suffix":""},{"dropping-particle":"","family":"Hackett","given":"Daniel A.","non-dropping-particle":"","parse-names":false,"suffix":""}],"container-title":"Journal of Strength and Conditioning Research","id":"ITEM-1","issue":"11","issued":{"date-parts":[["2017","11"]]},"page":"3109-3119","title":"Effects of a Modified German Volume Training Program on Muscular Hypertrophy and Strength","type":"article-journal","volume":"31"},"uris":["http://www.mendeley.com/documents/?uuid=179965a3-64a3-3764-83c6-f3d5dc3ac666"]},{"id":"ITEM-2","itemData":{"DOI":"10.3390/sports6010007","ISSN":"2075-4663","PMID":"29910312","abstract":"This study investigated the effect of a 12-week modified German Volume Training intervention, or the 10 sets method, on muscle strength and hypertrophy. Twelve healthy males were randomly assigned to either a 5-SET or 10-SET group and performed 5 or 10 sets, respectively, of 10 repetitions at 60⁻80% one-repetition maximum (1RM). Muscle strength and body composition measures were taken at baseline, six weeks, and after 12 weeks of training. No significant changes in total, trunk, and arm lean mass were found within and between groups at any time point. There was no significant difference between groups for lean leg mass. However, a decrease in lean leg mass was observed within the 10-SET group between six and 12 weeks (p = 0.02). An increase in 1RM bench press was found within the 5-SET group at week 6 (p = 0.001) and 12 (p = 0.001) when compared to baseline, while no increases in 1RM leg press were observed at any time point within any group. No significant differences were found for 1RM bench press and leg press between groups. For 1RM bench press moderate effect sizes (ES) favored 5-SET and for 1RM leg press small ESs favored 10-SET. Findings suggest performing &gt;5 sets per exercise does not promote greater gains in muscle strength and hypertrophy. Future research should aim to substantiate these preliminary findings in a larger cohort.","author":[{"dropping-particle":"","family":"Hackett","given":"Daniel A","non-dropping-particle":"","parse-names":false,"suffix":""},{"dropping-particle":"","family":"Amirthalingam","given":"Theban","non-dropping-particle":"","parse-names":false,"suffix":""},{"dropping-particle":"","family":"Mitchell","given":"Lachlan","non-dropping-particle":"","parse-names":false,"suffix":""},{"dropping-particle":"","family":"Mavros","given":"Yorgi","non-dropping-particle":"","parse-names":false,"suffix":""},{"dropping-particle":"","family":"Wilson","given":"Guy C","non-dropping-particle":"","parse-names":false,"suffix":""},{"dropping-particle":"","family":"Halaki","given":"Mark","non-dropping-particle":"","parse-names":false,"suffix":""}],"container-title":"Sports","id":"ITEM-2","issue":"1","issued":{"date-parts":[["2018","1","29"]]},"page":"7","title":"Effects of a 12-Week Modified German Volume Training Program on Muscle Strength and Hypertrophy—A Pilot Study","type":"article-journal","volume":"6"},"uris":["http://www.mendeley.com/documents/?uuid=bfbe9553-dfb8-3476-814f-85d41fbf2ebb"]}],"mendeley":{"formattedCitation":"(Amirthalingam et al., 2017; Hackett et al., 2018)","plainTextFormattedCitation":"(Amirthalingam et al., 2017; Hackett et al., 2018)","previouslyFormattedCitation":"(Amirthalingam et al., 2017; Hackett et al., 2018)"},"properties":{"noteIndex":0},"schema":"https://github.com/citation-style-language/schema/raw/master/csl-citation.json"}</w:instrText>
      </w:r>
      <w:r>
        <w:fldChar w:fldCharType="separate"/>
      </w:r>
      <w:r w:rsidRPr="0071229D">
        <w:rPr>
          <w:noProof/>
        </w:rPr>
        <w:t>(Amirthalingam et al., 2017; Hackett et al., 2018)</w:t>
      </w:r>
      <w:r>
        <w:fldChar w:fldCharType="end"/>
      </w:r>
      <w:r>
        <w:t xml:space="preserve">. </w:t>
      </w:r>
    </w:p>
    <w:p w:rsidR="00777692" w:rsidRDefault="00777692" w:rsidP="00777692"/>
    <w:p w:rsidR="00777692" w:rsidRDefault="00777692" w:rsidP="00777692">
      <w:r>
        <w:t xml:space="preserve">En contraste con lo comentado anteriormente, cuando se entrena con MER a diferencia de MEM, parece que hay controversia respecto a las ganancias de Fmáx, ya que algunas investigaciones afirman que entrenar con cargas máximas es la forma idónea para obtener adaptaciones respecto a la Fmáx, éstas aparecen más rápidamente que con cargas submáximas y son más duraderas </w:t>
      </w:r>
      <w:r>
        <w:fldChar w:fldCharType="begin" w:fldLock="1"/>
      </w:r>
      <w:r>
        <w:instrText>ADDIN CSL_CITATION {"citationItems":[{"id":"ITEM-1","itemData":{"DOI":"10.1519/JSC.0000000000000480","ISSN":"1064-8011","PMID":"24714538","abstract":"Regimented resistance training has been shown to promote marked increases in skeletal muscle mass. Although muscle hypertrophy can be attained through a wide range of resistance training programs, the principle of specificity, which states that adaptations are specific to the nature of the applied stimulus, dictates that some programs will promote greater hypertrophy than others. Research is lacking, however, as to the best combination of variables required to maximize hypertophic gains. The purpose of this study was to investigate muscular adaptations to a volume-equated bodybuilding-type training program vs. a powerlifting-type routine in well-trained subjects. Seventeen young men were randomly assigned to either a hypertrophy-type resistance training group that performed 3 sets of 10 repetition maximum (RM) with 90 seconds rest or a strength-type resistance training (ST) group that performed 7 sets of 3RM with a 3-minute rest interval. After 8 weeks, no significant differences were noted in muscle thickness of the biceps brachii. Significant strength differences were found in favor of ST for the 1RM bench press, and a trend was found for greater increases in the 1RM squat. In conclusion, this study showed that both bodybuilding- and powerlifting-type training promote similar increases in muscular size, but powerlifting-type training is superior for enhancing maximal strength.","author":[{"dropping-particle":"","family":"Schoenfeld","given":"Brad J.","non-dropping-particle":"","parse-names":false,"suffix":""},{"dropping-particle":"","family":"Ratamess","given":"Nicholas A.","non-dropping-particle":"","parse-names":false,"suffix":""},{"dropping-particle":"","family":"Peterson","given":"Mark D.","non-dropping-particle":"","parse-names":false,"suffix":""},{"dropping-particle":"","family":"Contreras","given":"Bret","non-dropping-particle":"","parse-names":false,"suffix":""},{"dropping-particle":"","family":"Sonmez","given":"G. T.","non-dropping-particle":"","parse-names":false,"suffix":""},{"dropping-particle":"","family":"Alvar","given":"Brent A.","non-dropping-particle":"","parse-names":false,"suffix":""}],"container-title":"Journal of Strength and Conditioning Research","id":"ITEM-1","issue":"10","issued":{"date-parts":[["2014","10"]]},"page":"2909-2918","title":"Effects of Different Volume-Equated Resistance Training Loading Strategies on Muscular Adaptations in Well-Trained Men","type":"article-journal","volume":"28"},"uris":["http://www.mendeley.com/documents/?uuid=282c8f8f-43e1-33e1-904a-f1f5cab4a176"]},{"id":"ITEM-2","itemData":{"ISSN":"0301-5548","PMID":"7195805","abstract":"Thirty young male adults matched in two experimental groups (n = 12) and a control group (n = 6) were investigated before and after an 8-week strength training period. Group A trained with few repetitions and maximal loads, whereas group B had more repetitions with smaller loads. Both groups lifted the same total load during each training period, four times a week. Maximal voluntary strength (MVS) of a shot-put arm movement, muscular excitability and contractile properties (time to peak of contraction with threshold stimuli, half relaxation time) were measured in M. deltoideus and M. triceps brachii, C. longum, for two durations of stimulation. Increases of 14.8% (group A) and 12.2% (group B) in MVS were observed. Muscle excitability significantly increased in all types of training and both muscles. Significant shortening of the contraction time, dependent on the type of training, was observed in both studied muscles. It appears that the strength training in group A involved the fast fibers of both muscles, whereas in group B the training influence was less marked, and affected both fast and slow fiber types.","author":[{"dropping-particle":"","family":"Schmidtbleicher","given":"D","non-dropping-particle":"","parse-names":false,"suffix":""},{"dropping-particle":"","family":"Haralambie","given":"G","non-dropping-particle":"","parse-names":false,"suffix":""}],"container-title":"European journal of applied physiology and occupational physiology","id":"ITEM-2","issue":"3","issued":{"date-parts":[["1981"]]},"page":"221-8","title":"Changes in contractile properties of muscle after strength training in man.","type":"article-journal","volume":"46"},"uris":["http://www.mendeley.com/documents/?uuid=c77ce39f-43c0-3fa3-810f-72bea33c5a90"]},{"id":"ITEM-3","itemData":{"ISSN":"1885-3137","abstract":"En este estudio se ha analizado la mejora y retención de la fuerza en 34 sujetos no entrenados, distribuidos de forma aleatoria en un grupo experimental (GE) (n=17) que efectuó un programa de entrenamiento para la mejora de la misma de 9 semanas de duración, realizando 4 sesiones consecutivas de entrenamiento semanal, y un grupo control (GC) (n=17) que no llevó a cabo ningún entrenamiento. Se tomaron mediciones del peso máximo elevado en 1RM, la fuerza máxima, y la fuerza media total, con el sistema de medición de fuerzas dinámicas Isocontrol 3.6, en el ejercicio de squat (SQ), antes (PRE-), en la mitad (MED-) y al final del tratamiento (POST 1), así como tras 1 (POST 2) y 2 meses (POST 3) de la finalización mismo. En el GE, las ganancias de fuerza fueron altamente significativas (p&lt;0.01) tanto en la mitad (19%), como al final del programa de entrenamiento (35%), e incluso tras 2 meses de la finalización del mismo (40%). En el GC no se produjeron cambios significativos. En conclusión, tras 9 semanas de entrenamiento de fuerza, se pueden obtener mejoras de la misma altamente significativas utilizando cargas concentradas en sujetos no entrenados, y se pueden seguir alcanzando mayores ganancias durante al menos otras 8 semanas más después de finalizado el entrenamiento.","author":[{"dropping-particle":"","family":"Aceña-Rubio","given":"Rosa Mª","non-dropping-particle":"","parse-names":false,"suffix":""},{"dropping-particle":"","family":"Díaz-Ureña","given":"Germán","non-dropping-particle":"","parse-names":false,"suffix":""},{"dropping-particle":"","family":"González-Ravé","given":"José María","non-dropping-particle":"","parse-names":false,"suffix":""},{"dropping-particle":"","family":"Juárez-Santos-García","given":"Daniel","non-dropping-particle":"","parse-names":false,"suffix":""},{"dropping-particle":"","family":"Navarro -Valdivielso","given":"Fernando","non-dropping-particle":"","parse-names":false,"suffix":""}],"container-title":"RICYDE. Revista Internacional de Ciencias del Deporte,","id":"ITEM-3","issue":"7","issued":{"date-parts":[["2007"]]},"number-of-pages":"24-33","publisher":"Ramón Cantó Alcaraz","title":"Efecto sobre la mejora y retención de la fuerza de un programa de entrenamiento de fuerza con cargas","type":"book","volume":"3"},"uris":["http://www.mendeley.com/documents/?uuid=694c5d5c-80cd-3962-a76a-df04d1bebd6d"]},{"id":"ITEM-4","itemData":{"abstract":"Departamento de Formación formacion.iad.ctcd@juntadeandalucia.es Encuentro sobre Alto Rendimiento Deportivo 1. DEFINICIÓN DE CARGA DE ENTRENAMIENTO Se entiende por carga el conjunto de exigencias biológicas y psicológicas provocadas por las actividades de entrenamiento. La carga real es el conjunto de exigencias biológicas y psicológicas provocadas por las actividades de entrenamiento, que producen desgaste, distintas alteraciones fisiológicas y alteración del equilibrio homeostático. La carga propuesta es el conjunto de estímulos a través de los cuales se expresa la carga real. Estos estímulos constituyen el entrenamiento al que se enfrenta el deportista de manera sistemática. Se espera que la carga propuesta provoque las modificaciones funcionales, bioquímicas, morfológicas y físicas que se han programado al diseñar la carga real. La interrelación entre ambos tipos de carga constituye la esencia del entrenamiento deportivo. Por tanto, la carga que se programa es la carga real, y ésta ha de venir correctamente expresada a través de la carga propuesta. La aplicación de la carga de entrenamiento genera una problemática fundamental: ¿la carga real prevista es la correcta?, ¿la carga real prevista está bien representada por la carga propuesta?, ¿cómo medir y cuantificar la carga real y la propuesta? Si el entrenador quiere aproximarse a la respuesta de estas interrogantes, debe tomar conciencia de que su tarea fundamental como técnico consiste en definir la carga de manera precisa y exhaustiva, controlar y analizar la relación entre la carga real y la carga propuesta y entre ambas y el rendimiento, así como validar modelos de medición y cuantificación de las cargas. Sólo así podrá manifestar que está generando y desarrollando una metodología de entrenamiento. Una de estas cuestiones fundamentales es si la carga propuesta y cuantificada es realmente la que se pretende proponer. Si la respuesta es negativa, el valor de la intensidad relativa propuesta no será verdadero, lo que dará lugar a que los porcentajes, la velocidad, el tipo de esfuerzo, etc. que se proponen no representen fielmente a la carga programada (carga real). Incluso admitiendo que la carga propuesta se ajuste al objetivo previsto, aún tenemos que preguntarnos si se ajusta o no al sujeto al que va a ser aplicada, porque la carga puede producir los efectos deseados, como, por ejemplo, mejorar claramente la fuerza, pero no ser la apropiada para todos los sujetos ni todas las situaciones. En cua…","author":[{"dropping-particle":"","family":"González-Badillo","given":"Juan José","non-dropping-particle":"","parse-names":false,"suffix":""},{"dropping-particle":"","family":"Izquierdo","given":"Mikel","non-dropping-particle":"","parse-names":false,"suffix":""}],"id":"ITEM-4","issued":{"date-parts":[["2006"]]},"title":"La carga de entrenamiento y el rendimiento en fuerza y potencia muscular","type":"article-journal"},"uris":["http://www.mendeley.com/documents/?uuid=c6b8af53-5944-3e48-aec6-9493474448d3"]}],"mendeley":{"formattedCitation":"(Aceña-Rubio et al., 2007; Juan José González-Badillo &amp; Izquierdo, 2006; Schmidtbleicher &amp; Haralambie, 1981; Schoenfeld et al., 2014)"},"properties":{"noteIndex":0},"schema":"https://github.com/citation-style-language/schema/raw/master/csl-citation.json"}</w:instrText>
      </w:r>
      <w:r>
        <w:fldChar w:fldCharType="separate"/>
      </w:r>
      <w:r w:rsidRPr="003A204E">
        <w:rPr>
          <w:noProof/>
        </w:rPr>
        <w:t>(Aceña-Rubio et al., 2007; González-Badillo &amp; Izquierdo, 2006; Schmidtbleicher &amp; Haralambie, 1981; Schoenfeld et al., 2014)</w:t>
      </w:r>
      <w:r>
        <w:fldChar w:fldCharType="end"/>
      </w:r>
      <w:r>
        <w:t>.</w:t>
      </w:r>
    </w:p>
    <w:p w:rsidR="00777692" w:rsidRPr="004D343B" w:rsidRDefault="00777692" w:rsidP="00777692"/>
    <w:p w:rsidR="00777692" w:rsidRPr="00A44843" w:rsidRDefault="00777692" w:rsidP="00777692">
      <w:pPr>
        <w:pStyle w:val="Ttulo3"/>
        <w:numPr>
          <w:ilvl w:val="0"/>
          <w:numId w:val="0"/>
        </w:numPr>
        <w:ind w:left="504" w:hanging="504"/>
      </w:pPr>
      <w:bookmarkStart w:id="14" w:name="_Toc400875543"/>
      <w:bookmarkStart w:id="15" w:name="_Toc401143706"/>
      <w:bookmarkStart w:id="16" w:name="_Toc401557283"/>
      <w:r w:rsidRPr="00A44843">
        <w:t>1.4.1 3. Método de esfuerzos dinámicos</w:t>
      </w:r>
      <w:bookmarkEnd w:id="14"/>
      <w:r w:rsidRPr="00A44843">
        <w:t xml:space="preserve"> (MED)</w:t>
      </w:r>
      <w:bookmarkEnd w:id="15"/>
      <w:bookmarkEnd w:id="16"/>
    </w:p>
    <w:p w:rsidR="00777692" w:rsidRDefault="00777692" w:rsidP="00777692"/>
    <w:p w:rsidR="00777692" w:rsidRDefault="00777692" w:rsidP="00777692">
      <w:r>
        <w:t xml:space="preserve">La velocidad de ejecución, es la principal protagonista en este método. El MED, consiste en realizar entrenamientos con cargas submáximas, incluso sin cargas a la máxima potencia posible. El objetivo principal de este método no es la ganancia de Fmáx como tal, sino la mejora de la velocidad y consecuentemente de la fuerza explosiva </w:t>
      </w:r>
      <w:r>
        <w:fldChar w:fldCharType="begin" w:fldLock="1"/>
      </w:r>
      <w:r>
        <w:instrText>ADDIN CSL_CITATION {"citationItems":[{"id":"ITEM-1","itemData":{"ISBN":"0736056289","abstract":"2nd ed. This edition examines fundamental concepts and principles practitioners need to understand in order to make decisions on what might be appropriate in the programme design for their athletes. An integration of coaching theory and scientific underpinnings, this book is useful for those interested in muscular strength. Basis of Strength Conditioning -- Basic Concepts of Training Theory -- Task-Specific Strength -- Athlete-Specific Strength -- Methods of Strength Conditioning -- Training Intensity -- Timing in Strength Training -- Strength Exercises -- Injury Prevention -- Goal-Specific Strength Training -- Training for Specific Populations -- Strength Training for Women -- Strength Training for Young Athletes -- Strength Training for Senior Athletes.","author":[{"dropping-particle":"","family":"Zatsiorsky","given":"Vladimir M.","non-dropping-particle":"","parse-names":false,"suffix":""},{"dropping-particle":"","family":"Kraemer","given":"William J.","non-dropping-particle":"","parse-names":false,"suffix":""}],"id":"ITEM-1","issued":{"date-parts":[["2006"]]},"number-of-pages":"251","publisher":"Human Kinetics","title":"Science and practice of strength training","type":"book"},"uris":["http://www.mendeley.com/documents/?uuid=4c746fc8-6ee3-37e9-8c66-6aef4b556d8e"]},{"id":"ITEM-2","itemData":{"ISBN":"9788480193894","abstract":"1. ed. Translation of: Les methodes modernes de musculation.","author":[{"dropping-particle":"","family":"Cometti","given":"Gilles.","non-dropping-particle":"","parse-names":false,"suffix":""}],"id":"ITEM-2","issued":{"date-parts":[["2011"]]},"publisher":"Editorial Paidotribo","title":"Los métodos modernos de musculación","type":"book"},"uris":["http://www.mendeley.com/documents/?uuid=3c06ab6c-8af2-3671-b41c-8081075dff1e"]}],"mendeley":{"formattedCitation":"(Cometti, 2011; Zatsiorsky &amp; Kraemer, 2006)","plainTextFormattedCitation":"(Cometti, 2011; Zatsiorsky &amp; Kraemer, 2006)","previouslyFormattedCitation":"(Cometti, 2011; Zatsiorsky &amp; Kraemer, 2006)"},"properties":{"noteIndex":0},"schema":"https://github.com/citation-style-language/schema/raw/master/csl-citation.json"}</w:instrText>
      </w:r>
      <w:r>
        <w:fldChar w:fldCharType="separate"/>
      </w:r>
      <w:r w:rsidRPr="00D85A32">
        <w:rPr>
          <w:noProof/>
        </w:rPr>
        <w:t>(Cometti, 2011; Zatsiorsky &amp; Kraemer, 2006)</w:t>
      </w:r>
      <w:r>
        <w:fldChar w:fldCharType="end"/>
      </w:r>
      <w:r>
        <w:t xml:space="preserve">. </w:t>
      </w:r>
    </w:p>
    <w:p w:rsidR="00777692" w:rsidRDefault="00777692" w:rsidP="00777692"/>
    <w:p w:rsidR="00777692" w:rsidRDefault="00777692" w:rsidP="00777692">
      <w:r>
        <w:t xml:space="preserve">Este tipo de entrenamientos, además de mejorar la explosividad de los movimientos, tiene mayores adaptaciones sobre el sistema aeróbico que el resto de métodos. Algunos autores, lo utilizan como complemento idóneo para atletas de resistencia, verificando que series de 30 repeticiones a máxima velocidad al 40% de 1RM, consiguen adaptaciones sobre el sistema cardiorrespiratorio y sobre la fuerza explosiva pero no sobre el aumento de la Fmáx  </w:t>
      </w:r>
      <w:r>
        <w:fldChar w:fldCharType="begin" w:fldLock="1"/>
      </w:r>
      <w:r>
        <w:instrText>ADDIN CSL_CITATION {"citationItems":[{"id":"ITEM-1","itemData":{"ISSN":"0214-0071","abstract":"Electronic resource type: Journal.","author":[{"dropping-particle":"","family":"Cuadrado-Sáenz","given":"Gonzalo","non-dropping-particle":"","parse-names":false,"suffix":""},{"dropping-particle":"de","family":"Benito-Trigueros","given":"Ana","non-dropping-particle":"","parse-names":false,"suffix":""},{"dropping-particle":"","family":"Sedano-Campo","given":"Silvia","non-dropping-particle":"","parse-names":false,"suffix":""},{"dropping-particle":"","family":"Izquierdo-Velasco","given":"José María","non-dropping-particle":"","parse-names":false,"suffix":""},{"dropping-particle":"","family":"Redondo-Castán","given":"Juan Carlos","non-dropping-particle":"","parse-names":false,"suffix":""},{"dropping-particle":"","family":"Granado","given":"J. C.","non-dropping-particle":"","parse-names":false,"suffix":""}],"container-title":"European Journal of Human Movement, ISSN 0214-0071, Nº. 22, 2009, págs. 47-64","id":"ITEM-1","issue":"22","issued":{"date-parts":[["2009"]]},"number-of-pages":"47-64","publisher":"Asociación Española de Ciencias del Deporte","title":"Efectos de un programa de entrenamiento de la fuerza-resistencia sobre los niveles de resistencia","type":"book"},"uris":["http://www.mendeley.com/documents/?uuid=3e4e028d-73ac-349e-abf9-6757637f6b54"]}],"mendeley":{"formattedCitation":"(Cuadrado-Sáenz et al., 2009)"},"properties":{"noteIndex":0},"schema":"https://github.com/citation-style-language/schema/raw/master/csl-citation.json"}</w:instrText>
      </w:r>
      <w:r>
        <w:fldChar w:fldCharType="separate"/>
      </w:r>
      <w:r w:rsidRPr="003A204E">
        <w:rPr>
          <w:noProof/>
        </w:rPr>
        <w:t>(Cuadrado-Sáenz et al., 2009)</w:t>
      </w:r>
      <w:r>
        <w:fldChar w:fldCharType="end"/>
      </w:r>
      <w:r>
        <w:t xml:space="preserve">. Además, al ser un método que no moviliza grandes cargas, es el más empleado en poblaciones especiales, como pueden ser personas mayores.  La facilidad de su ejecución junto con las posibles mejoras cardiovasculares le convierten en un complemento perfecto mejorar a calidad de vida de esta población </w:t>
      </w:r>
      <w:r>
        <w:fldChar w:fldCharType="begin" w:fldLock="1"/>
      </w:r>
      <w:r>
        <w:instrText>ADDIN CSL_CITATION {"citationItems":[{"id":"ITEM-1","itemData":{"abstract":"Institución: (1) Club Taekwondo Mazarrón ismaelnj@live.com Resumen: El entrenamiento de fuerza-resistencia en personas mayores ha sido estudiado en numerosos estudios, demostrando ser efectivo y obteniéndose mejoras significativas en el estado de salud en dicho sector de la población. En este trabajo se estudian los cambios producidos por el entrenamiento de fuerza-resistencia en los sistemas cardiovascular, músculo-esquelético y psicomotor. Palabras Clave: Envejecimiento, fuerza, resistencia, desarrollo muscular, calidad de vida. Abstract: The strength-endurance training in older people has been studied in numerous studies, proving to be effective and significant improvements in health status in this sector of the population. This paper explores the changes in the strength-endurance training on the cardiovascular, musculoskeletal and psychomotor.","author":[{"dropping-particle":"","family":"Navarro","given":"I.","non-dropping-particle":"","parse-names":false,"suffix":""}],"container-title":"Revista de Transmisión del Conocimiento Educativo y de la Salud","id":"ITEM-1","issue":"2","issued":{"date-parts":[["2010"]]},"page":"142-52","title":"Los efectos del entrenamiento de fuerza-resistencia en mayores","type":"article-journal","volume":"2"},"uris":["http://www.mendeley.com/documents/?uuid=438a4fe1-ea37-38a1-abc6-debad92c90a0"]}],"mendeley":{"formattedCitation":"(Navarro, 2010)","plainTextFormattedCitation":"(Navarro, 2010)","previouslyFormattedCitation":"(Navarro, 2010)"},"properties":{"noteIndex":0},"schema":"https://github.com/citation-style-language/schema/raw/master/csl-citation.json"}</w:instrText>
      </w:r>
      <w:r>
        <w:fldChar w:fldCharType="separate"/>
      </w:r>
      <w:r w:rsidRPr="005D3FC8">
        <w:rPr>
          <w:noProof/>
        </w:rPr>
        <w:t>(Navarro, 2010)</w:t>
      </w:r>
      <w:r>
        <w:fldChar w:fldCharType="end"/>
      </w:r>
      <w:r>
        <w:t>.</w:t>
      </w:r>
    </w:p>
    <w:p w:rsidR="00777692" w:rsidRDefault="00777692" w:rsidP="00777692"/>
    <w:p w:rsidR="00777692" w:rsidRPr="00AF65C7" w:rsidRDefault="00777692" w:rsidP="00777692"/>
    <w:p w:rsidR="00777692" w:rsidRPr="00A44843" w:rsidRDefault="00777692" w:rsidP="00777692">
      <w:pPr>
        <w:pStyle w:val="Ttulo3"/>
        <w:numPr>
          <w:ilvl w:val="0"/>
          <w:numId w:val="0"/>
        </w:numPr>
        <w:ind w:left="504" w:hanging="504"/>
      </w:pPr>
      <w:bookmarkStart w:id="17" w:name="_Toc400875544"/>
      <w:bookmarkStart w:id="18" w:name="_Toc401143707"/>
      <w:bookmarkStart w:id="19" w:name="_Toc401557284"/>
      <w:r w:rsidRPr="00A44843">
        <w:t>1.4.1.4. Método Piramidal (MP)</w:t>
      </w:r>
      <w:bookmarkEnd w:id="17"/>
      <w:bookmarkEnd w:id="18"/>
      <w:bookmarkEnd w:id="19"/>
    </w:p>
    <w:p w:rsidR="00777692" w:rsidRDefault="00777692" w:rsidP="00777692">
      <w:pPr>
        <w:ind w:left="142"/>
      </w:pPr>
    </w:p>
    <w:p w:rsidR="00777692" w:rsidRDefault="00777692" w:rsidP="00777692">
      <w:pPr>
        <w:ind w:left="-27"/>
      </w:pPr>
      <w:r>
        <w:lastRenderedPageBreak/>
        <w:t xml:space="preserve">El MP, consiste en ejecutar un ejercicio con cargas submáximas y terminarlo con cargas máximas o viceversa, pudiendo realizar así este trabajo de manera descendente o ascendente, si existe un incremento en las cargas (Figura 11). </w:t>
      </w:r>
    </w:p>
    <w:p w:rsidR="00777692" w:rsidRDefault="00777692" w:rsidP="00777692">
      <w:pPr>
        <w:ind w:left="-27"/>
      </w:pPr>
      <w:r>
        <w:rPr>
          <w:noProof/>
          <w:lang w:val="es-ES"/>
        </w:rPr>
        <mc:AlternateContent>
          <mc:Choice Requires="wps">
            <w:drawing>
              <wp:anchor distT="0" distB="0" distL="114300" distR="114300" simplePos="0" relativeHeight="251661312" behindDoc="0" locked="0" layoutInCell="1" allowOverlap="1" wp14:anchorId="6BEEA3F9" wp14:editId="3D1575E7">
                <wp:simplePos x="0" y="0"/>
                <wp:positionH relativeFrom="column">
                  <wp:posOffset>228600</wp:posOffset>
                </wp:positionH>
                <wp:positionV relativeFrom="paragraph">
                  <wp:posOffset>2827655</wp:posOffset>
                </wp:positionV>
                <wp:extent cx="5143500" cy="591820"/>
                <wp:effectExtent l="0" t="0" r="0" b="0"/>
                <wp:wrapNone/>
                <wp:docPr id="5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143500" cy="591820"/>
                        </a:xfrm>
                        <a:prstGeom prst="rect">
                          <a:avLst/>
                        </a:prstGeom>
                        <a:noFill/>
                        <a:ln>
                          <a:noFill/>
                        </a:ln>
                        <a:extLst>
                          <a:ext uri="{909E8E84-426E-40dd-AFC4-6F175D3DCCD1}">
                            <a14:hiddenFill xmlns:a14="http://schemas.microsoft.com/office/drawing/2010/main" xmlns="">
                              <a:solidFill>
                                <a:srgbClr val="FFFFFF"/>
                              </a:solidFill>
                            </a14:hiddenFill>
                          </a:ext>
                          <a:ext uri="{91240B29-F687-4f45-9708-019B960494DF}">
                            <a14:hiddenLine xmlns:a14="http://schemas.microsoft.com/office/drawing/2010/main" xmlns="" w="9525">
                              <a:solidFill>
                                <a:srgbClr val="000000"/>
                              </a:solidFill>
                              <a:miter lim="800000"/>
                              <a:headEnd/>
                              <a:tailEnd/>
                            </a14:hiddenLine>
                          </a:ext>
                        </a:extLst>
                      </wps:spPr>
                      <wps:txbx>
                        <w:txbxContent>
                          <w:p w:rsidR="00777692" w:rsidRPr="00201CF8" w:rsidRDefault="00777692" w:rsidP="00777692">
                            <w:pPr>
                              <w:pStyle w:val="Descripcin"/>
                              <w:rPr>
                                <w:noProof/>
                                <w:sz w:val="22"/>
                                <w:lang w:val="es-ES"/>
                              </w:rPr>
                            </w:pPr>
                            <w:r w:rsidRPr="00036AD8">
                              <w:rPr>
                                <w:b/>
                              </w:rPr>
                              <w:t xml:space="preserve">Figura </w:t>
                            </w:r>
                            <w:r w:rsidRPr="00036AD8">
                              <w:rPr>
                                <w:b/>
                              </w:rPr>
                              <w:fldChar w:fldCharType="begin"/>
                            </w:r>
                            <w:r w:rsidRPr="00036AD8">
                              <w:rPr>
                                <w:b/>
                              </w:rPr>
                              <w:instrText xml:space="preserve"> </w:instrText>
                            </w:r>
                            <w:r>
                              <w:rPr>
                                <w:b/>
                              </w:rPr>
                              <w:instrText>SEQ</w:instrText>
                            </w:r>
                            <w:r w:rsidRPr="00036AD8">
                              <w:rPr>
                                <w:b/>
                              </w:rPr>
                              <w:instrText xml:space="preserve"> Figura \* ARABIC </w:instrText>
                            </w:r>
                            <w:r w:rsidRPr="00036AD8">
                              <w:rPr>
                                <w:b/>
                              </w:rPr>
                              <w:fldChar w:fldCharType="separate"/>
                            </w:r>
                            <w:r>
                              <w:rPr>
                                <w:b/>
                                <w:noProof/>
                              </w:rPr>
                              <w:t>11</w:t>
                            </w:r>
                            <w:r w:rsidRPr="00036AD8">
                              <w:rPr>
                                <w:b/>
                              </w:rPr>
                              <w:fldChar w:fldCharType="end"/>
                            </w:r>
                            <w:r w:rsidRPr="00036AD8">
                              <w:rPr>
                                <w:b/>
                              </w:rPr>
                              <w:t>.</w:t>
                            </w:r>
                            <w:r>
                              <w:t xml:space="preserve"> </w:t>
                            </w:r>
                            <w:r w:rsidRPr="00335484">
                              <w:t>Ejemplificación del método piramidal ascendente y descendente respectivamente.</w:t>
                            </w:r>
                            <w:r>
                              <w:t xml:space="preserve"> Extraído de Cometti (2011).</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BEEA3F9" id="_x0000_t202" coordsize="21600,21600" o:spt="202" path="m,l,21600r21600,l21600,xe">
                <v:stroke joinstyle="miter"/>
                <v:path gradientshapeok="t" o:connecttype="rect"/>
              </v:shapetype>
              <v:shape id="Text Box 69" o:spid="_x0000_s1026" type="#_x0000_t202" style="position:absolute;left:0;text-align:left;margin-left:18pt;margin-top:222.65pt;width:405pt;height:4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" filled="f" stroked="f">
                <v:textbox style="mso-fit-shape-to-text:t" inset="0,0,0,0">
                  <w:txbxContent>
                    <w:p w:rsidR="00777692" w:rsidRPr="00201CF8" w:rsidRDefault="00777692" w:rsidP="00777692">
                      <w:pPr>
                        <w:pStyle w:val="Descripcin"/>
                        <w:rPr>
                          <w:noProof/>
                          <w:sz w:val="22"/>
                          <w:lang w:val="es-ES"/>
                        </w:rPr>
                      </w:pPr>
                      <w:r w:rsidRPr="00036AD8">
                        <w:rPr>
                          <w:b/>
                        </w:rPr>
                        <w:t xml:space="preserve">Figura </w:t>
                      </w:r>
                      <w:r w:rsidRPr="00036AD8">
                        <w:rPr>
                          <w:b/>
                        </w:rPr>
                        <w:fldChar w:fldCharType="begin"/>
                      </w:r>
                      <w:r w:rsidRPr="00036AD8">
                        <w:rPr>
                          <w:b/>
                        </w:rPr>
                        <w:instrText xml:space="preserve"> </w:instrText>
                      </w:r>
                      <w:r>
                        <w:rPr>
                          <w:b/>
                        </w:rPr>
                        <w:instrText>SEQ</w:instrText>
                      </w:r>
                      <w:r w:rsidRPr="00036AD8">
                        <w:rPr>
                          <w:b/>
                        </w:rPr>
                        <w:instrText xml:space="preserve"> Figura \* ARABIC </w:instrText>
                      </w:r>
                      <w:r w:rsidRPr="00036AD8">
                        <w:rPr>
                          <w:b/>
                        </w:rPr>
                        <w:fldChar w:fldCharType="separate"/>
                      </w:r>
                      <w:r>
                        <w:rPr>
                          <w:b/>
                          <w:noProof/>
                        </w:rPr>
                        <w:t>11</w:t>
                      </w:r>
                      <w:r w:rsidRPr="00036AD8">
                        <w:rPr>
                          <w:b/>
                        </w:rPr>
                        <w:fldChar w:fldCharType="end"/>
                      </w:r>
                      <w:r w:rsidRPr="00036AD8">
                        <w:rPr>
                          <w:b/>
                        </w:rPr>
                        <w:t>.</w:t>
                      </w:r>
                      <w:r>
                        <w:t xml:space="preserve"> </w:t>
                      </w:r>
                      <w:r w:rsidRPr="00335484">
                        <w:t>Ejemplificación del método piramidal ascendente y descendente respectivamente.</w:t>
                      </w:r>
                      <w:r>
                        <w:t xml:space="preserve"> Extraído de Cometti (2011).</w:t>
                      </w:r>
                    </w:p>
                  </w:txbxContent>
                </v:textbox>
              </v:shape>
            </w:pict>
          </mc:Fallback>
        </mc:AlternateContent>
      </w:r>
      <w:r>
        <w:rPr>
          <w:noProof/>
          <w:lang w:val="es-ES"/>
        </w:rPr>
        <mc:AlternateContent>
          <mc:Choice Requires="wps">
            <w:drawing>
              <wp:anchor distT="0" distB="0" distL="114300" distR="114300" simplePos="0" relativeHeight="251660288" behindDoc="1" locked="0" layoutInCell="1" allowOverlap="1" wp14:anchorId="7B58EEDD" wp14:editId="1DD08D39">
                <wp:simplePos x="0" y="0"/>
                <wp:positionH relativeFrom="column">
                  <wp:posOffset>228600</wp:posOffset>
                </wp:positionH>
                <wp:positionV relativeFrom="paragraph">
                  <wp:posOffset>141605</wp:posOffset>
                </wp:positionV>
                <wp:extent cx="5143500" cy="2628900"/>
                <wp:effectExtent l="0" t="0" r="0" b="0"/>
                <wp:wrapNone/>
                <wp:docPr id="58"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0" cy="2628900"/>
                        </a:xfrm>
                        <a:prstGeom prst="rect">
                          <a:avLst/>
                        </a:prstGeom>
                        <a:noFill/>
                        <a:ln w="3175" cmpd="sng">
                          <a:solidFill>
                            <a:sysClr val="windowText" lastClr="000000"/>
                          </a:solidFill>
                        </a:ln>
                        <a:effectLst/>
                        <a:extLst>
                          <a:ext uri="{C572A759-6A51-4108-AA02-DFA0A04FC94B}">
                            <ma14:wrappingTextBoxFlag xmlns:ma14="http://schemas.microsoft.com/office/mac/drawingml/2011/main" xmlns=""/>
                          </a:ext>
                        </a:extLst>
                      </wps:spPr>
                      <wps:txbx>
                        <w:txbxContent>
                          <w:p w:rsidR="00777692" w:rsidRDefault="00777692" w:rsidP="007776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B58EEDD" id="Cuadro de texto 14" o:spid="_x0000_s1027" type="#_x0000_t202" style="position:absolute;left:0;text-align:left;margin-left:18pt;margin-top:11.15pt;width:405pt;height:20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" filled="f" strokecolor="windowText" strokeweight=".25pt">
                <v:path arrowok="t"/>
                <v:textbox>
                  <w:txbxContent>
                    <w:p w:rsidR="00777692" w:rsidRDefault="00777692" w:rsidP="00777692"/>
                  </w:txbxContent>
                </v:textbox>
              </v:shape>
            </w:pict>
          </mc:Fallback>
        </mc:AlternateContent>
      </w:r>
    </w:p>
    <w:p w:rsidR="00777692" w:rsidRDefault="00777692" w:rsidP="00777692">
      <w:pPr>
        <w:ind w:left="-27"/>
        <w:jc w:val="center"/>
      </w:pPr>
      <w:r w:rsidRPr="008648EB">
        <w:rPr>
          <w:noProof/>
          <w:sz w:val="16"/>
          <w:szCs w:val="16"/>
          <w:lang w:val="es-ES"/>
        </w:rPr>
        <w:drawing>
          <wp:inline distT="0" distB="0" distL="0" distR="0" wp14:anchorId="64C67DC6" wp14:editId="2DD40C5E">
            <wp:extent cx="2386330" cy="2292985"/>
            <wp:effectExtent l="38100" t="38100" r="39370" b="81915"/>
            <wp:docPr id="9" name="Diagrama 6"/>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Pr="008648EB">
        <w:rPr>
          <w:noProof/>
          <w:lang w:val="es-ES"/>
        </w:rPr>
        <w:drawing>
          <wp:inline distT="0" distB="0" distL="0" distR="0" wp14:anchorId="3AEB3A28" wp14:editId="6D22D95C">
            <wp:extent cx="2295525" cy="2105660"/>
            <wp:effectExtent l="63500" t="38100" r="41275" b="78740"/>
            <wp:docPr id="10" name="Diagrama 1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777692" w:rsidRDefault="00777692" w:rsidP="00777692"/>
    <w:p w:rsidR="00777692" w:rsidRDefault="00777692" w:rsidP="00777692"/>
    <w:p w:rsidR="00777692" w:rsidRDefault="00777692" w:rsidP="00777692"/>
    <w:p w:rsidR="00777692" w:rsidRDefault="00777692" w:rsidP="00777692"/>
    <w:p w:rsidR="00777692" w:rsidRDefault="00777692" w:rsidP="00777692">
      <w:r>
        <w:t xml:space="preserve">El MP tiene una correlación importante entre el volumen y la intensidad del entrenamiento, ya que en cada serie se trabaja con un número de repeticiones y una carga específica, incrementando la carga progresivamente conforme disminuyan las repeticiones (Figura 11) </w:t>
      </w:r>
      <w:r>
        <w:fldChar w:fldCharType="begin" w:fldLock="1"/>
      </w:r>
      <w:r>
        <w:instrText>ADDIN CSL_CITATION {"citationItems":[{"id":"ITEM-1","itemData":{"ISBN":"9788480193894","abstract":"1. ed. Translation of: Les methodes modernes de musculation.","author":[{"dropping-particle":"","family":"Cometti","given":"Gilles.","non-dropping-particle":"","parse-names":false,"suffix":""}],"id":"ITEM-1","issued":{"date-parts":[["2011"]]},"publisher":"Editorial Paidotribo","title":"Los métodos modernos de musculación","type":"book"},"uris":["http://www.mendeley.com/documents/?uuid=3c06ab6c-8af2-3671-b41c-8081075dff1e"]},{"id":"ITEM-2","itemData":{"abstract":"Comparison of ascending and descending pyramid methods in increasing muscle strengthThe objective of this study was to compare the increase of force starting from the application of the training method known as pyramid, which is separated in ascending and descending. 22 individuals participated in the study (Group A = 22,5 ± 4,2 years; 170,8 ± 0,1cm; 72,64 ± 12 Kg; Group B = 21,70 ± 4,4 years; 172,4 ± 0,1; 71,80 ± 5,7Kg), with at least 06 (six) months of physical practice of resisted activities, which worked the two methods of pyramidal work, in a different way, being the individuals properly registered in academy in the municipal district of Miracema-RJ. The groups were submitted to the familiarization and subsequent application of the test of 1RM, in order to have knowledge of their limits of maximum force and starting from then they were submitted to the training protocol, being the intensity for the work of ascending pyramid of 70%, 75%, 80% and 85% of 1 RM and with the descending pyramid an intensity of 85%, 80%, 75% and 70%. At the end of the training period the groups were revalued, being submitted again to the test of 1RM in order to measure the real earnings in the method of applied training. The use of techniques of the Descriptive Statistics had in view to characterize the universe sample researched. The inferential analysis was made initially by the test Shapiro-Wilk to verify the normality and homogeneity for the test (Bartlett criterion). It was used (ANOVA) to compare the level of force in each exercise for repeated measures (one-way), following by a post-hoc of Tuckey. The data indicates that the methods ascending and descending pyramids do not present s acute effects differentiated in relation to the increase of force.","author":[{"dropping-particle":"","family":"Mazzini-Filho","given":"Mauro Lúcio","non-dropping-particle":"","parse-names":false,"suffix":""},{"dropping-particle":"","family":"Rodrigues","given":"Bernardo M.","non-dropping-particle":"","parse-names":false,"suffix":""},{"dropping-particle":"","family":"Costa-Moreira","given":"Osvaldo","non-dropping-particle":"","parse-names":false,"suffix":""},{"dropping-particle":"","family":"Matos","given":"Dihogo","non-dropping-particle":"","parse-names":false,"suffix":""},{"dropping-particle":"","family":"Rabelo","given":"Carlos Magno","non-dropping-particle":"","parse-names":false,"suffix":""},{"dropping-particle":"","family":"Aidar","given":"Felipe José","non-dropping-particle":"","parse-names":false,"suffix":""},{"dropping-particle":"","family":"Costa","given":"Saulo","non-dropping-particle":"","parse-names":false,"suffix":""}],"container-title":"Revista Brasileira de Prescrição e Fisiologia do Exercício (RBPFEX), ISSN-e 1981-9900, Vol. 9, Nº. 53, 2015, págs. 240-249","id":"ITEM-2","issue":"53","issued":{"date-parts":[["2015"]]},"page":"240-249","publisher":"Instituto Brasileiro de Pesquisa e Ensino em Fisiologia do Exercício (IBPEFEX)","title":"Comparação dos métodos pirâmide crescente e decrescente no aumento da força muscular","type":"article-journal","volume":"9"},"uris":["http://www.mendeley.com/documents/?uuid=7a3173e0-0d28-362e-a30d-ae555a50ee99"]}],"mendeley":{"formattedCitation":"(Cometti, 2011; Mazzini-Filho et al., 2015)"},"properties":{"noteIndex":0},"schema":"https://github.com/citation-style-language/schema/raw/master/csl-citation.json"}</w:instrText>
      </w:r>
      <w:r>
        <w:fldChar w:fldCharType="separate"/>
      </w:r>
      <w:r w:rsidRPr="003A204E">
        <w:rPr>
          <w:noProof/>
        </w:rPr>
        <w:t>(Cometti, 2011; Mazzini-Filho et al., 2015)</w:t>
      </w:r>
      <w:r>
        <w:fldChar w:fldCharType="end"/>
      </w:r>
      <w:r>
        <w:t xml:space="preserve"> </w:t>
      </w:r>
    </w:p>
    <w:p w:rsidR="00777692" w:rsidRPr="00A25BC4" w:rsidRDefault="00777692" w:rsidP="00777692"/>
    <w:p w:rsidR="00777692" w:rsidRDefault="00777692" w:rsidP="00777692">
      <w:r>
        <w:t xml:space="preserve">Este método tradicional se utiliza desde los años 50, los levantadores olímpicos entrenaban mucho con este método, ya que se obtienen ganancias significativas de Fmáx en periodos cortos de la planificación </w:t>
      </w:r>
      <w:r>
        <w:fldChar w:fldCharType="begin" w:fldLock="1"/>
      </w:r>
      <w:r>
        <w:instrText>ADDIN CSL_CITATION {"citationItems":[{"id":"ITEM-1","itemData":{"ISBN":"9780736081702","abstract":"In this updated, revised, and expanded third edition of Designing Resistance Training Programs, two of the world's leading experts on strength training explore how to use scientific knowledge to develop personalized training programs. With this text, you'll be able to - design scientifically sound resistance training programs, - modify and adapt programs to meet the needs of special populations, and - understand how exercise prescription design works in the real world. Designing Resistance Training Programs, Third Edition, is a clear, readable, state-of-the-art guide to developing individualized training programs for both athletes and fitness enthusiasts. The authors cover resistance training; bioenergetics; and muscular, nervous, and cardiovascular systems adaptations. They also discuss basic training systems and program prescriptions designed to enhance strength, power, and endurance. The new edition contains three chapters dedicated to resistance training issues and concerns for children, women, and seniors, including how to modify and adapt such programs to address the special needs and concerns for each group. Designing Resistance Training Programs, Third Edition, also contains these updated features: - Summaries recap the important points in each chapter for readers who want a quick review. - Key terms are highlighted and listed at the end of each chapter to help readers identify the most important ideas. - Selected readings provide additional books and journal articles for more in-depth knowledge on the subject. - Case studies use examples of exercise prescription design in real-life situations involving wrestling, personal fitness, and volleyball. This updated and expanded new edition will be an important tool for coaches, trainers, and students who want to improve their knowledge and success in designing resistance training programs.","author":[{"dropping-particle":"","family":"Fleck","given":"Steven J.","non-dropping-particle":"","parse-names":false,"suffix":""},{"dropping-particle":"","family":"Kraemer","given":"William J.","non-dropping-particle":"","parse-names":false,"suffix":""}],"edition":"4","id":"ITEM-1","issued":{"date-parts":[["1997"]]},"publisher":"Human Kinetics","publisher-place":"United States of America","title":"Designing Resistance Training Programs","type":"book"},"uris":["http://www.mendeley.com/documents/?uuid=e55893f8-60bc-4531-9db8-2776499e6014"]},{"id":"ITEM-2","itemData":{"ISSN":"0003-9993","PMID":"14904187","author":[{"dropping-particle":"","family":"Lorme","given":"T L","non-dropping-particle":"de","parse-names":false,"suffix":""},{"dropping-particle":"","family":"Ferris","given":"B G","non-dropping-particle":"","parse-names":false,"suffix":""},{"dropping-particle":"","family":"Gallagher","given":"J R","non-dropping-particle":"","parse-names":false,"suffix":""}],"container-title":"Archives of physical medicine and rehabilitation","id":"ITEM-2","issue":"2","issued":{"date-parts":[["1952","2"]]},"page":"86-92","title":"Effect of progressive resistance exercise on muscle contraction time.","type":"article-journal","volume":"33"},"uris":["http://www.mendeley.com/documents/?uuid=529cbfa9-23d1-302f-bf1e-dbdc734e5d0e"]}],"mendeley":{"formattedCitation":"(de Lorme, Ferris, &amp; Gallagher, 1952; Fleck &amp; Kraemer, 1997)"},"properties":{"noteIndex":0},"schema":"https://github.com/citation-style-language/schema/raw/master/csl-citation.json"}</w:instrText>
      </w:r>
      <w:r>
        <w:fldChar w:fldCharType="separate"/>
      </w:r>
      <w:r w:rsidRPr="003A204E">
        <w:rPr>
          <w:noProof/>
        </w:rPr>
        <w:t>(de Lorme, Ferris, &amp; Gallagher, 1952; Fleck &amp; Kraemer, 1997)</w:t>
      </w:r>
      <w:r>
        <w:fldChar w:fldCharType="end"/>
      </w:r>
      <w:r>
        <w:t xml:space="preserve">. Zatsiorski en 1966 realiza un análisis crítico sobre él, describiendo que esta metodología produce ganancias respecto a la Fmáx y a la hipertrofia, dependiendo de como se planifique la sesión de entrenamiento. Se puede afirmar que empleando el MP se obtienen ganancias de Fmáx similares a otros métodos tradicionales, lo que permite utilizarlo con ese fin </w:t>
      </w:r>
      <w:r>
        <w:fldChar w:fldCharType="begin" w:fldLock="1"/>
      </w:r>
      <w:r>
        <w:instrText>ADDIN CSL_CITATION {"citationItems":[{"id":"ITEM-1","itemData":{"abstract":"The goal of the present study was to compare traditional (ST) and pyramid (SP) strength training systems during eight weeks on the maximum muscular strength performance. Eighteen experienced in strength training men were divided into two groups of nine volunteers. Four times a week, the ST group trained in three sets of eight repetitions (75% of 1RM) and the SP group in three sets of 10, eight and six repetitions (70%, 75% and 80% of 1RM, respectively). All subjects were submitted to an anthropometric evaluation, followed by 1RM test in the bench press and squat exercises, which were repeated after eight weeks of training. The difference between the attained 1RM for each system was studied using Mann-Whitney test and the Wilcoxon paired test was applied to compare pre- and post-training. No significant differences were recorded between ST and SP bench press (125 ± 19 kg and 120 ± 17.0 kg) and squat (124 ± 18 kg and 120 ± 17 kg). Furthermore, no significant differences were found between the pre- and post-training periods. According to the present results, both training systems produced similar effects on the maximum muscular strength performance.","author":[{"dropping-particle":"","family":"Materno","given":"W.","non-dropping-particle":"","parse-names":false,"suffix":""},{"dropping-particle":"","family":"Duarte","given":"M.","non-dropping-particle":"","parse-names":false,"suffix":""},{"dropping-particle":"","family":"Santos","given":"E.L.","non-dropping-particle":"","parse-names":false,"suffix":""},{"dropping-particle":"","family":"S. Junior","given":"H.","non-dropping-particle":"","parse-names":false,"suffix":""}],"container-title":"Motricidade ","id":"ITEM-1","issue":"2","issued":{"date-parts":[["2010"]]},"page":"5-13","publisher":"Fundação Técnica e Científica do Desporto","title":"Comparação entre dois sistemas de treino de força no desenvolvimento da força muscular máxima","type":"article-journal","volume":"6"},"uris":["http://www.mendeley.com/documents/?uuid=0a181a1e-7f31-3d4c-8828-cc01a56f6324"]}],"mendeley":{"formattedCitation":"(Materno, Duarte, Santos, &amp; S. Junior, 2010)","manualFormatting":"(Materno, Duarte, Santos, &amp;  Junior, 2010;","plainTextFormattedCitation":"(Materno, Duarte, Santos, &amp; S. Junior, 2010)","previouslyFormattedCitation":"(Materno, Duarte, Santos, &amp; S. Junior, 2010)"},"properties":{"noteIndex":0},"schema":"https://github.com/citation-style-language/schema/raw/master/csl-citation.json"}</w:instrText>
      </w:r>
      <w:r>
        <w:fldChar w:fldCharType="separate"/>
      </w:r>
      <w:r>
        <w:rPr>
          <w:noProof/>
        </w:rPr>
        <w:t xml:space="preserve">(Materno, Duarte, Santos, &amp; </w:t>
      </w:r>
      <w:r w:rsidRPr="00BB14B4">
        <w:rPr>
          <w:noProof/>
        </w:rPr>
        <w:t xml:space="preserve"> Junior, 2010</w:t>
      </w:r>
      <w:r>
        <w:rPr>
          <w:noProof/>
        </w:rPr>
        <w:t>;</w:t>
      </w:r>
      <w:r>
        <w:fldChar w:fldCharType="end"/>
      </w:r>
      <w:r>
        <w:t xml:space="preserve"> </w:t>
      </w:r>
      <w:r>
        <w:fldChar w:fldCharType="begin" w:fldLock="1"/>
      </w:r>
      <w:r>
        <w:instrText>ADDIN CSL_CITATION {"citationItems":[{"id":"ITEM-1","itemData":{"DOI":"10.1519/JSC.0000000000001653","ISSN":"1064-8011","author":[{"dropping-particle":"","family":"Ribeiro","given":"Alex S.","non-dropping-particle":"","parse-names":false,"suffix":""},{"dropping-particle":"","family":"Schoenfeld","given":"Brad J.","non-dropping-particle":"","parse-names":false,"suffix":""},{"dropping-particle":"","family":"Fleck","given":"Steven J.","non-dropping-particle":"","parse-names":false,"suffix":""},{"dropping-particle":"","family":"Pina","given":"Fábio L.C.","non-dropping-particle":"","parse-names":false,"suffix":""},{"dropping-particle":"","family":"Nascimento","given":"Matheus A.","non-dropping-particle":"","parse-names":false,"suffix":""},{"dropping-particle":"","family":"Cyrino","given":"Edilson S.","non-dropping-particle":"","parse-names":false,"suffix":""}],"container-title":"Journal of Strength and Conditioning Research","id":"ITEM-1","issue":"7","issued":{"date-parts":[["2017","7"]]},"page":"1888-1896","title":"Effects of Traditional and Pyramidal Resistance Training Systems on Muscular Strength, Muscle Mass, and Hormonal Responses in Older Women","type":"article-journal","volume":"31"},"uris":["http://www.mendeley.com/documents/?uuid=b13faa5f-50a3-32a5-8320-dfa947ea27a3"]}],"mendeley":{"formattedCitation":"(Ribeiro et al., 2017)","manualFormatting":"Ribeiro et al., 2017)","plainTextFormattedCitation":"(Ribeiro et al., 2017)","previouslyFormattedCitation":"(Ribeiro et al., 2017)"},"properties":{"noteIndex":0},"schema":"https://github.com/citation-style-language/schema/raw/master/csl-citation.json"}</w:instrText>
      </w:r>
      <w:r>
        <w:fldChar w:fldCharType="separate"/>
      </w:r>
      <w:r w:rsidRPr="00BB14B4">
        <w:rPr>
          <w:noProof/>
        </w:rPr>
        <w:t>Ribeiro et al., 2017)</w:t>
      </w:r>
      <w:r>
        <w:fldChar w:fldCharType="end"/>
      </w:r>
      <w:r>
        <w:t>.</w:t>
      </w:r>
    </w:p>
    <w:p w:rsidR="00777692" w:rsidRDefault="00777692" w:rsidP="00777692"/>
    <w:p w:rsidR="00777692" w:rsidRDefault="00777692" w:rsidP="00777692">
      <w:r>
        <w:t xml:space="preserve">Según la descripción del MEM, el MP tiene algunas discrepancias fisiológicas: el incremento de la carga a lo largo de la sesión, produce fatiga acumulativa y esto hace que en las últimas repeticiones máximas, los mecanismos nerviosos no reaccionen de la misma manera, además </w:t>
      </w:r>
      <w:r>
        <w:lastRenderedPageBreak/>
        <w:t xml:space="preserve">también hay que tener en cuenta la carga psicológica que provoca, tanto incrementando cargas, método ascendente como la posibilidad de aumentar repeticiones, método descendente. Este factor puede provocar que el sujeto economice sus fuerzas durante el entrenamiento, por miedo a no terminarlo correctamente y de esta forma no cumplir con los requisitos necesarios </w:t>
      </w:r>
      <w:r>
        <w:fldChar w:fldCharType="begin" w:fldLock="1"/>
      </w:r>
      <w:r>
        <w:instrText>ADDIN CSL_CITATION {"citationItems":[{"id":"ITEM-1","itemData":{"ISBN":"9788480193894","abstract":"1. ed. Translation of: Les methodes modernes de musculation.","author":[{"dropping-particle":"","family":"Cometti","given":"Gilles.","non-dropping-particle":"","parse-names":false,"suffix":""}],"id":"ITEM-1","issued":{"date-parts":[["2011"]]},"publisher":"Editorial Paidotribo","title":"Los métodos modernos de musculación","type":"book"},"uris":["http://www.mendeley.com/documents/?uuid=3c06ab6c-8af2-3671-b41c-8081075dff1e"]}],"mendeley":{"formattedCitation":"(Cometti, 2011)","plainTextFormattedCitation":"(Cometti, 2011)","previouslyFormattedCitation":"(Cometti, 2011)"},"properties":{"noteIndex":0},"schema":"https://github.com/citation-style-language/schema/raw/master/csl-citation.json"}</w:instrText>
      </w:r>
      <w:r>
        <w:fldChar w:fldCharType="separate"/>
      </w:r>
      <w:r w:rsidRPr="00976723">
        <w:rPr>
          <w:noProof/>
        </w:rPr>
        <w:t>(Cometti, 2011)</w:t>
      </w:r>
      <w:r>
        <w:fldChar w:fldCharType="end"/>
      </w:r>
      <w:r>
        <w:t xml:space="preserve">. </w:t>
      </w:r>
    </w:p>
    <w:p w:rsidR="00777692" w:rsidRDefault="00777692" w:rsidP="00777692"/>
    <w:p w:rsidR="00777692" w:rsidRDefault="00777692" w:rsidP="00777692">
      <w:r>
        <w:t xml:space="preserve">Para evitar o minimizar los inconvenientes que tienen el MP, se puede optar por realizarlo de forma descendente, donde a pesar de existir factores fisiológicos contradictorios, parece ser que éstos son de menor impacto que si se realiza la pirámide ascendente </w:t>
      </w:r>
      <w:r>
        <w:fldChar w:fldCharType="begin" w:fldLock="1"/>
      </w:r>
      <w:r>
        <w:instrText>ADDIN CSL_CITATION {"citationItems":[{"id":"ITEM-1","itemData":{"author":[{"dropping-particle":"","family":"Leighton","given":"JR","non-dropping-particle":"","parse-names":false,"suffix":""},{"dropping-particle":"","family":"Holmes","given":"D","non-dropping-particle":"","parse-names":false,"suffix":""},{"dropping-particle":"","family":"Benson","given":"J","non-dropping-particle":"","parse-names":false,"suffix":""},{"dropping-particle":"","family":"Wooten","given":"B","non-dropping-particle":"","parse-names":false,"suffix":""},{"dropping-particle":"","family":"Schmerer","given":"R","non-dropping-particle":"","parse-names":false,"suffix":""}],"container-title":"J Association for physical and mental rehabilitation","id":"ITEM-1","issue":"3","issued":{"date-parts":[["1967"]]},"page":"78-81","title":"A Study on the Effectiveness of Ten Different Methods of Progressive Resistance Exercise on the Development of Strength, Flexibility, Girth and Bodyweight","type":"article-journal","volume":"21"},"uris":["http://www.mendeley.com/documents/?uuid=384e2f0a-fc23-39ec-ae32-814d2706cf70"]}],"mendeley":{"formattedCitation":"(Leighton, Holmes, Benson, Wooten, &amp; Schmerer, 1967)","plainTextFormattedCitation":"(Leighton, Holmes, Benson, Wooten, &amp; Schmerer, 1967)","previouslyFormattedCitation":"(Leighton, Holmes, Benson, Wooten, &amp; Schmerer, 1967)"},"properties":{"noteIndex":0},"schema":"https://github.com/citation-style-language/schema/raw/master/csl-citation.json"}</w:instrText>
      </w:r>
      <w:r>
        <w:fldChar w:fldCharType="separate"/>
      </w:r>
      <w:r w:rsidRPr="00AE35DF">
        <w:rPr>
          <w:noProof/>
        </w:rPr>
        <w:t>(Leighton, Holmes, Benson, Wooten, &amp; Schmerer, 1967)</w:t>
      </w:r>
      <w:r>
        <w:fldChar w:fldCharType="end"/>
      </w:r>
      <w:r>
        <w:t xml:space="preserve">. Pero a pesar de dichos inconvenientes, el método ascendente es el más común, Mazzini-Filho et al., (2015) realizan una comparación entre ambas formas de desarrollar el MP y llegan a la conclusión de que no existen diferencias significativas entre ambos entrenamientos respecto a la ganancia de Fmáx.  Es relevante, indicar que el MP, tiene múltiples variables para adaptarlo a las características individuales del atleta o la población que se entrena. Existen varios estudios de mujeres con edad avanzada, que utilizan este método para conseguir mejoras de Fmáx e hipertrofia, afirmando que sus ganancias son altamente significativas y no se experimentan cambios en comparación con métodos más clásicos como el MEM, MER o MED </w:t>
      </w:r>
      <w:r>
        <w:fldChar w:fldCharType="begin" w:fldLock="1"/>
      </w:r>
      <w:r>
        <w:instrText>ADDIN CSL_CITATION {"citationItems":[{"id":"ITEM-1","itemData":{"DOI":"10.1055/a-0634-6454","ISSN":"0172-4622","PMID":"29945272","abstract":"This study aimed to analyze the effects of a pyramid system performed with two repetition zones on muscular strength and skeletal muscle mass (SMM) in older women. Thirty-nine physically independent older women (67.8±5.4 years) were randomly assigned into one of two of groups that performed an 8-week resistance training program in an ascending pyramid fashion. Both groups performed 3 sets: a narrow repetition zone (NPR, n=20) with 12/10/8 repetitions, and a wide repetition zone (WPR, n=19) with 15/10/5 repetitions. The program consisted of 8 whole-body exercises, performed 3 times a week. Dual-energy X-ray absorptiometry was used to measure SMM, and muscular strength was evaluated by one-repetition maximum (1RM). Both groups increased (P&lt;0.05) SMM (NPR=+ 4.7%, effect size=+ 0.34; WPR=+ 8.4%, effect size=+ 0.77), and total strength (NPR=+ 11.3%, effect size=+ 0.80; WPR=+ 13.8%, effect size=0.84), without statistical differences between them. Results suggest that both zones of repetitions in a pyramid system are effective strategies to improve muscular strength and muscle growth in older women.","author":[{"dropping-particle":"","family":"Santos","given":"Leandro","non-dropping-particle":"dos","parse-names":false,"suffix":""},{"dropping-particle":"","family":"Ribeiro","given":"Alex","non-dropping-particle":"","parse-names":false,"suffix":""},{"dropping-particle":"","family":"Cavalcante","given":"Edilaine","non-dropping-particle":"","parse-names":false,"suffix":""},{"dropping-particle":"","family":"Nabuco","given":"Hellen","non-dropping-particle":"","parse-names":false,"suffix":""},{"dropping-particle":"","family":"Antunes","given":"Melissa","non-dropping-particle":"","parse-names":false,"suffix":""},{"dropping-particle":"","family":"Schoenfeld","given":"Brad","non-dropping-particle":"","parse-names":false,"suffix":""},{"dropping-particle":"","family":"Cyrino","given":"Edilson","non-dropping-particle":"","parse-names":false,"suffix":""}],"container-title":"International Journal of Sports Medicine","id":"ITEM-1","issue":"08","issued":{"date-parts":[["2018","7","26"]]},"page":"613-618","title":"Effects of Modified Pyramid System on Muscular Strength and Hypertrophy in Older Women","type":"article-journal","volume":"39"},"uris":["http://www.mendeley.com/documents/?uuid=db646bec-4a6c-39f4-8b06-081f0f5ee283"]},{"id":"ITEM-2","itemData":{"DOI":"10.1519/JSC.0000000000001653","ISSN":"1064-8011","author":[{"dropping-particle":"","family":"Ribeiro","given":"Alex S.","non-dropping-particle":"","parse-names":false,"suffix":""},{"dropping-particle":"","family":"Schoenfeld","given":"Brad J.","non-dropping-particle":"","parse-names":false,"suffix":""},{"dropping-particle":"","family":"Fleck","given":"Steven J.","non-dropping-particle":"","parse-names":false,"suffix":""},{"dropping-particle":"","family":"Pina","given":"Fábio L.C.","non-dropping-particle":"","parse-names":false,"suffix":""},{"dropping-particle":"","family":"Nascimento","given":"Matheus A.","non-dropping-particle":"","parse-names":false,"suffix":""},{"dropping-particle":"","family":"Cyrino","given":"Edilson S.","non-dropping-particle":"","parse-names":false,"suffix":""}],"container-title":"Journal of Strength and Conditioning Research","id":"ITEM-2","issue":"7","issued":{"date-parts":[["2017","7"]]},"page":"1888-1896","title":"Effects of Traditional and Pyramidal Resistance Training Systems on Muscular Strength, Muscle Mass, and Hormonal Responses in Older Women","type":"article-journal","volume":"31"},"uris":["http://www.mendeley.com/documents/?uuid=b13faa5f-50a3-32a5-8320-dfa947ea27a3"]},{"id":"ITEM-3","itemData":{"DOI":"10.1016/j.exger.2016.03.007","ISSN":"05315565","PMID":"26972635","abstract":"The purpose of this study was to compare the effect of RT performed in a pyramid (PR) and traditional (TD) straight set training system on muscle quality and metabolic biomarkers in older women. Twenty-five physically independent older women (67.6±5.1years, 65.9±11.1kg, 154.7±5.8cm) performed a RT program in TD and PR training systems in a balanced crossover design. Measurements of muscle quality, serum levels of C-reactive protein (CRP), glucose (GLU), total cholesterol, high-density lipoprotein (HDL-C), low-density lipoprotein (LDL-C), and triglycerides (TG) were obtained at different moments. The TD program consisted of 3 sets of 8-12 repetitions maximum (RM) with a constant weight for the 3 sets, whereas the PR training consisted of 3 sets of 12/10/8 RM with incremental weight for each set. The training was performed in 2 phases of 8weeks each, with a 12-week washout period between phases. Significant (P&lt;0.05) improvements were observed in both groups for muscle quality (TD=+8.6% vs. PR=+6.8%), GLU (TD=-4.5% vs. PR=-1.9%), TG (TD=-18.0% vs. PR=-11.7%), HDL-C (TD=+10.6 vs. PR=+7.8%), LDL-C (TD=-23.3% vs. PR=-21.0%), and CRP (TD=-19.4% vs. PR=-14.3%) with no differences between training systems. These results suggest that RT improves muscle quality and metabolic biomarkers of older women independently of the training system.","author":[{"dropping-particle":"","family":"Ribeiro","given":"Alex S.","non-dropping-particle":"","parse-names":false,"suffix":""},{"dropping-particle":"","family":"Schoenfeld","given":"Brad J.","non-dropping-particle":"","parse-names":false,"suffix":""},{"dropping-particle":"","family":"Souza","given":"Mariana F.","non-dropping-particle":"","parse-names":false,"suffix":""},{"dropping-particle":"","family":"Tomeleri","given":"Crisieli M.","non-dropping-particle":"","parse-names":false,"suffix":""},{"dropping-particle":"","family":"Venturini","given":"Danielle","non-dropping-particle":"","parse-names":false,"suffix":""},{"dropping-particle":"","family":"Barbosa","given":"Décio S.","non-dropping-particle":"","parse-names":false,"suffix":""},{"dropping-particle":"","family":"Cyrino","given":"Edilson S.","non-dropping-particle":"","parse-names":false,"suffix":""}],"container-title":"Experimental Gerontology","id":"ITEM-3","issued":{"date-parts":[["2016","6","15"]]},"page":"8-15","title":"Traditional and pyramidal resistance training systems improve muscle quality and metabolic biomarkers in older women: A randomized crossover study","type":"article-journal","volume":"79"},"uris":["http://www.mendeley.com/documents/?uuid=290954af-7ac2-34d1-9bed-0987f02c1e38"]}],"mendeley":{"formattedCitation":"(dos Santos et al., 2018; Ribeiro et al., 2016, 2017)"},"properties":{"noteIndex":0},"schema":"https://github.com/citation-style-language/schema/raw/master/csl-citation.json"}</w:instrText>
      </w:r>
      <w:r>
        <w:fldChar w:fldCharType="separate"/>
      </w:r>
      <w:r w:rsidRPr="003A204E">
        <w:rPr>
          <w:noProof/>
        </w:rPr>
        <w:t>(dos Santos et al., 2018; Ribeiro et al., 2016, 2017)</w:t>
      </w:r>
      <w:r>
        <w:fldChar w:fldCharType="end"/>
      </w:r>
      <w:r>
        <w:t>.</w:t>
      </w:r>
    </w:p>
    <w:p w:rsidR="00777692" w:rsidRPr="004C25AC" w:rsidRDefault="00777692" w:rsidP="00777692">
      <w:pPr>
        <w:pStyle w:val="Ttulo3"/>
        <w:numPr>
          <w:ilvl w:val="0"/>
          <w:numId w:val="0"/>
        </w:numPr>
        <w:rPr>
          <w:rFonts w:eastAsia="MS Mincho"/>
          <w:bCs w:val="0"/>
          <w:i w:val="0"/>
          <w:color w:val="auto"/>
        </w:rPr>
      </w:pPr>
    </w:p>
    <w:p w:rsidR="00777692" w:rsidRDefault="00777692" w:rsidP="00777692"/>
    <w:p w:rsidR="00777692" w:rsidRDefault="00777692" w:rsidP="00777692"/>
    <w:p w:rsidR="00777692" w:rsidRPr="00322671" w:rsidRDefault="00777692" w:rsidP="00777692"/>
    <w:p w:rsidR="00777692" w:rsidRDefault="00777692" w:rsidP="00777692">
      <w:pPr>
        <w:pStyle w:val="Ttulo3"/>
        <w:numPr>
          <w:ilvl w:val="0"/>
          <w:numId w:val="0"/>
        </w:numPr>
      </w:pPr>
      <w:bookmarkStart w:id="20" w:name="_Toc400875545"/>
      <w:bookmarkStart w:id="21" w:name="_Toc401143708"/>
      <w:bookmarkStart w:id="22" w:name="_Toc401557285"/>
      <w:r>
        <w:t xml:space="preserve">1.4.2. Métodos Modernos en el </w:t>
      </w:r>
      <w:r w:rsidRPr="005221FF">
        <w:t>Entrenamiento de Fuerza Máxima</w:t>
      </w:r>
      <w:bookmarkEnd w:id="20"/>
      <w:bookmarkEnd w:id="21"/>
      <w:bookmarkEnd w:id="22"/>
    </w:p>
    <w:p w:rsidR="00777692" w:rsidRPr="00102E23" w:rsidRDefault="00777692" w:rsidP="00777692"/>
    <w:p w:rsidR="00777692" w:rsidRDefault="00777692" w:rsidP="00777692">
      <w:r>
        <w:t xml:space="preserve">Desde principios del S. XXI aparecen estudios sobre la aplicación de nuevos métodos en el entrenamiento de Fmáx. Estos métodos, utilizan los componentes del entrenamiento con el único fin de mejorar la eficacia de las sesiones. Como se puede ver en el inicio del punto 1.4., la velocidad es uno de los factores del entrenamiento que más en auge se encuentra desde el año 2000 aproximadamente. Muchos son los autores que investigan y sacan estudios sobre su aplicabilidad y su relevancia en las sesiones dirigidas al entrenamiento de Fmáx, afirmando que monitorizar la velocidad durante los entrenamientos, indica de forma objetiva y no invasiva el estrés metabólico producido, la respuesta hormonal y la fatiga </w:t>
      </w:r>
      <w:r>
        <w:fldChar w:fldCharType="begin" w:fldLock="1"/>
      </w:r>
      <w:r>
        <w:instrText>ADDIN CSL_CITATION {"citationItems":[{"id":"ITEM-1","itemData":{"DOI":"10.1111/cpf.12348","ISSN":"14750961","author":[{"dropping-particle":"","family":"Pareja-Blanco","given":"Fernando","non-dropping-particle":"","parse-names":false,"suffix":""},{"dropping-particle":"","family":"Rodríguez-Rosell","given":"David","non-dropping-particle":"","parse-names":false,"suffix":""},{"dropping-particle":"","family":"Sánchez-Medina","given":"Luis","non-dropping-particle":"","parse-names":false,"suffix":""},{"dropping-particle":"","family":"Ribas-Serna","given":"Juan","non-dropping-particle":"","parse-names":false,"suffix":""},{"dropping-particle":"","family":"López-López","given":"Covadonga","non-dropping-particle":"","parse-names":false,"suffix":""},{"dropping-particle":"","family":"Mora-Custodio","given":"Ricardo","non-dropping-particle":"","parse-names":false,"suffix":""},{"dropping-particle":"","family":"Yáñez-García","given":"Juan Manuel","non-dropping-particle":"","parse-names":false,"suffix":""},{"dropping-particle":"","family":"González-Badillo","given":"Juan José","non-dropping-particle":"","parse-names":false,"suffix":""}],"container-title":"Clinical Physiology and Functional Imaging","id":"ITEM-1","issue":"6","issued":{"date-parts":[["2017","11"]]},"page":"630-639","title":"Acute and delayed response to resistance exercise leading or not leading to muscle failure","type":"article-journal","volume":"37"},"uris":["http://www.mendeley.com/documents/?uuid=d7e29989-24d0-37c6-8129-b7b656a22861"]},{"id":"ITEM-2","itemData":{"DOI":"10.1111/sms.12678","ISSN":"09057188","author":[{"dropping-particle":"","family":"Pareja-Blanco","given":"F.","non-dropping-particle":"","parse-names":false,"suffix":""},{"dropping-particle":"","family":"Rodríguez-Rosell","given":"D.","non-dropping-particle":"","parse-names":false,"suffix":""},{"dropping-particle":"","family":"Sánchez-Medina","given":"L.","non-dropping-particle":"","parse-names":false,"suffix":""},{"dropping-particle":"","family":"Sanchis-Moysi","given":"J.","non-dropping-particle":"","parse-names":false,"suffix":""},{"dropping-particle":"","family":"Dorado","given":"C.","non-dropping-particle":"","parse-names":false,"suffix":""},{"dropping-particle":"","family":"Mora-Custodio","given":"R.","non-dropping-particle":"","parse-names":false,"suffix":""},{"dropping-particle":"","family":"Yáñez-García","given":"J. M.","non-dropping-particle":"","parse-names":false,"suffix":""},{"dropping-particle":"","family":"Morales-Alamo","given":"D.","non-dropping-particle":"","parse-names":false,"suffix":""},{"dropping-particle":"","family":"Pérez-Suárez","given":"I.","non-dropping-particle":"","parse-names":false,"suffix":""},{"dropping-particle":"","family":"Calbet","given":"J. A. L.","non-dropping-particle":"","parse-names":false,"suffix":""},{"dropping-particle":"","family":"González-Badillo","given":"J. J.","non-dropping-particle":"","parse-names":false,"suffix":""}],"container-title":"Scandinavian Journal of Medicine &amp; Science in Sports","id":"ITEM-2","issue":"7","issued":{"date-parts":[["2017","7"]]},"page":"724-735","title":"Effects of velocity loss during resistance training on athletic performance, strength gains and muscle adaptations","type":"article-journal","volume":"27"},"uris":["http://www.mendeley.com/documents/?uuid=216ec275-9597-3ca7-bf96-ac630ee1887f"]},{"id":"ITEM-3","itemData":{"DOI":"10.1123/ijspp.2016-0170","ISSN":"1555-0273","PMID":"27618386","abstract":"PURPOSE To analyze the effects of 2 resistance-training (RT) programs that used the same relative loading but different repetition volume, using the velocity loss during the set as the independent variable: 15% (VL15) vs 30% (VL30). METHODS Sixteen professional soccer players with RT experience (age 23.8 ± 3.5 y, body mass 75.5 ± 8.6 kg) were randomly assigned to 2 groups, VL15 (n = 8) or VL30 (n = 8), that followed a 6-wk (18-session) velocity-based squat-training program. Repetition velocity was monitored in all sessions. Assessments performed before (Pre) and after training (Post) included estimated 1-repetition maximum (1RM) and change in average mean propulsive velocity (AMPV) against absolute loads common to Pre and Post tests, countermovement jump (CMJ), 30-m sprint (T30), and Yo-Yo Intermittent Recovery Test (YIRT). Null-hypothesis significance testing and magnitude-based-inference statistical analyses were performed. RESULTS VL15 obtained greater gains in CMJ height than VL30 (P &lt; .05), with no significant differences between groups for the remaining variables. VL15 showed a likely/possibly positive effect on 1RM (91/9/0%), AMPV (73/25/2%), and CMJ (87/12/1%), whereas VL30 showed possibly/unclear positive effects on 1RM (65/33/2%) and AMPV (46/36/18%) and possibly negative effects on CMJ (4/38/57%). The effects on T30 performance were unclear/unlikely for both groups, whereas both groups showed most likely/likely positive effects on YIRT. CONCLUSIONS A velocity-based RT program characterized by a low degree of fatigue (15% velocity loss in each set) is effective to induce improvements in neuromuscular performance in professional soccer players with previous RT experience.","author":[{"dropping-particle":"","family":"Pareja-Blanco","given":"Fernando","non-dropping-particle":"","parse-names":false,"suffix":""},{"dropping-particle":"","family":"Sánchez-Medina","given":"Luis","non-dropping-particle":"","parse-names":false,"suffix":""},{"dropping-particle":"","family":"Suárez-Arrones","given":"Luis","non-dropping-particle":"","parse-names":false,"suffix":""},{"dropping-particle":"","family":"González-Badillo","given":"Juan José","non-dropping-particle":"","parse-names":false,"suffix":""}],"container-title":"International journal of sports physiology and performance","id":"ITEM-3","issue":"4","issued":{"date-parts":[["2017","4"]]},"page":"512-519","title":"Effects of Velocity Loss During Resistance Training on Performance in Professional Soccer Players.","type":"article-journal","volume":"12"},"uris":["http://www.mendeley.com/documents/?uuid=5a7d3f37-c7e7-377a-8a76-7f45576c90f8"]}],"mendeley":{"formattedCitation":"(F. Pareja-Blanco et al., 2017; Fernando Pareja-Blanco, Rodríguez-Rosell, et al., 2017; Fernando Pareja-Blanco, Sánchez-Medina, Suárez-Arrones, &amp; González-Badillo, 2017)","manualFormatting":"(Pareja-Blanco, Rodríguez-Rosell, et al., 2017; Pareja-Blanco, Sánchez-Medina, Suárez-Arrones, &amp; González-Badillo, 2017)","plainTextFormattedCitation":"(F. Pareja-Blanco et al., 2017; Fernando Pareja-Blanco, Rodríguez-Rosell, et al., 2017; Fernando Pareja-Blanco, Sánchez-Medina, Suárez-Arrones, &amp; González-Badillo, 2017)","previouslyFormattedCitation":"(F. Pareja-Blanco et al., 2017; Fernando Pareja-Blanco, Rodríguez-Rosell, et al., 2017; Fernando Pareja-Blanco, Sánchez-Medina, Suárez-Arrones, &amp; González-Badillo, 2017)"},"properties":{"noteIndex":0},"schema":"https://github.com/citation-style-language/schema/raw/master/csl-citation.json"}</w:instrText>
      </w:r>
      <w:r>
        <w:fldChar w:fldCharType="separate"/>
      </w:r>
      <w:r>
        <w:rPr>
          <w:noProof/>
        </w:rPr>
        <w:t>(</w:t>
      </w:r>
      <w:r w:rsidRPr="00111188">
        <w:rPr>
          <w:noProof/>
        </w:rPr>
        <w:t xml:space="preserve">Pareja-Blanco, </w:t>
      </w:r>
      <w:r>
        <w:rPr>
          <w:noProof/>
        </w:rPr>
        <w:t xml:space="preserve">Rodríguez-Rosell, et al., 2017; </w:t>
      </w:r>
      <w:r w:rsidRPr="00111188">
        <w:rPr>
          <w:noProof/>
        </w:rPr>
        <w:t>Pareja-Blanco, Sánchez-Medina, Suárez-Arrones, &amp; González-Badillo, 2017)</w:t>
      </w:r>
      <w:r>
        <w:fldChar w:fldCharType="end"/>
      </w:r>
      <w:r>
        <w:t xml:space="preserve">. La ejecución de ejercicios a la máxima velocidad posible conlleva mayor ganancia que si se realizan </w:t>
      </w:r>
      <w:r>
        <w:lastRenderedPageBreak/>
        <w:t xml:space="preserve">a velocidades medias o bajas, por ello es importante intentar conservar la velocidad en todas las repeticiones y que ésta sea la máxima posible </w:t>
      </w:r>
      <w:r>
        <w:fldChar w:fldCharType="begin" w:fldLock="1"/>
      </w:r>
      <w:r>
        <w:instrText>ADDIN CSL_CITATION {"citationItems":[{"id":"ITEM-1","itemData":{"DOI":"10.1080/17461391.2014.905987","ISSN":"1746-1391","PMID":"24734902","abstract":"The purpose of this study was to compare the effect on strength gains of two isoinertial resistance training (RT) programmes that only differed in actual concentric velocity: maximal (MaxV) vs. half-maximal (HalfV) velocity. Twenty participants were assigned to a MaxV (n = 9) or HalfV (n = 11) group and trained 3 times per week during 6 weeks using the bench press (BP). Repetition velocity was controlled using a linear velocity transducer. A complementary study (n = 10) aimed to analyse whether the acute metabolic (blood lactate and ammonia) and mechanical response (velocity loss) was different between the MaxV and HalfV protocols used. Both groups improved strength performance from pre- to post-training, but MaxV resulted in significantly greater gains than HalfV in all variables analysed: one-repetition maximum (1RM) strength (18.2 vs. 9.7%), velocity developed against all (20.8 vs. 10.0%), light (11.5 vs. 4.5%) and heavy (36.2 vs. 17.3%) loads common to pre- and post-tests. Light and heavy loads were identified with those moved faster or slower than 0.80 m · s(-1) (</w:instrText>
      </w:r>
      <w:r>
        <w:rPr>
          <w:rFonts w:ascii="Bradley Hand Bold" w:hAnsi="Bradley Hand Bold" w:cs="Bradley Hand Bold"/>
        </w:rPr>
        <w:instrText>∼</w:instrText>
      </w:r>
      <w:r>
        <w:instrText xml:space="preserve"> 60% 1RM in BP). Lactate tended to be significantly higher for MaxV vs. HalfV, with no differences observed for ammonia which was within resting values. Both groups obtained the greatest improvements at the training velocities (≤ 0.80 m · s(-1)). Movement velocity can be considered a fundamental component of RT intensity, since, for a given %1RM, the velocity at which loads are lifted largely determines the resulting training effect. BP strength gains can be maximised when repetitions are performed at maximal intended velocity.","author":[{"dropping-particle":"","family":"González-Badillo","given":"Juan José","non-dropping-particle":"","parse-names":false,"suffix":""},{"dropping-particle":"","family":"Rodríguez-Rosell","given":"David","non-dropping-particle":"","parse-names":false,"suffix":""},{"dropping-particle":"","family":"Sánchez-Medina","given":"Luis","non-dropping-particle":"","parse-names":false,"suffix":""},{"dropping-particle":"","family":"Gorostiaga","given":"Esteban M.","non-dropping-particle":"","parse-names":false,"suffix":""},{"dropping-particle":"","family":"Pareja-Blanco","given":"Fernando","non-dropping-particle":"","parse-names":false,"suffix":""}],"container-title":"European Journal of Sport Science","id":"ITEM-1","issue":"8","issued":{"date-parts":[["2014","11","17"]]},"page":"772-781","title":"Maximal intended velocity training induces greater gains in bench press performance than deliberately slower half-velocity training","type":"article-journal","volume":"14"},"uris":["http://www.mendeley.com/documents/?uuid=f551d5a8-edeb-3609-a08d-d5e8d0f27b21"]},{"id":"ITEM-2","itemData":{"DOI":"10.1055/s-0033-1363985","ISSN":"0172-4622","PMID":"24886926","abstract":"This study aimed to compare the effect on neuromuscular performance of 2 isoinertial resistance training programs that differed only in actual repetition velocity: maximal intended (MaxV) vs. half-maximal (HalfV) concentric velocity. 21 resistance-trained young men were randomly assigned to a MaxV (n=10) or HalfV (n=11) group and trained for 6 weeks using the full squat exercise. A complementary study (n=8) described the acute metabolic and mechanical response to the protocols used. MaxV training resulted in a likely more beneficial effect than HalfV on squat performance: maximum strength (ES: 0.94 vs. 0.54), velocity developed against all (ES: 1.76 vs. 0.88), light (ES: 1.76 vs. 0.75) and heavy (ES: 2.03 vs. 1.64) loads common to pre- and post-tests, and CMJ height (ES: 0.63 vs. 0.15). The effect on 20-m sprint was unclear, however. Both groups attained the greatest improvements in squat performance at their training velocities. Movement velocity seemed to be of greater importance than time under tension for inducing strength adaptations. Slightly higher metabolic stress (blood lactate and ammonia) and CMJ height loss were found for MaxV vs. HalfV, while metabolite levels were low to moderate for both conditions. MaxV may provide a superior stimulus for inducing adaptations directed towards improving athletic performance.","author":[{"dropping-particle":"","family":"Pareja-Blanco","given":"F.","non-dropping-particle":"","parse-names":false,"suffix":""},{"dropping-particle":"","family":"Rodríguez-Rosell","given":"D.","non-dropping-particle":"","parse-names":false,"suffix":""},{"dropping-particle":"","family":"Sánchez-Medina","given":"L.","non-dropping-particle":"","parse-names":false,"suffix":""},{"dropping-particle":"","family":"Gorostiaga","given":"E.","non-dropping-particle":"","parse-names":false,"suffix":""},{"dropping-particle":"","family":"González-Badillo","given":"J.","non-dropping-particle":"","parse-names":false,"suffix":""}],"container-title":"International Journal of Sports Medicine","id":"ITEM-2","issue":"11","issued":{"date-parts":[["2014","6","2"]]},"page":"916-924","title":"Effect of Movement Velocity during Resistance Training on Neuromuscular Performance","type":"article-journal","volume":"35"},"uris":["http://www.mendeley.com/documents/?uuid=7c8154d0-1d6e-3077-8647-e2c848b60194"]}],"mendeley":{"formattedCitation":"(Juan José González-Badillo et al., 2014; F. Pareja-Blanco et al., 2014)","manualFormatting":"(González-Badillo et al., 2014; Pareja-Blanco, Rodríguez-Rosell, Sánchez-Medina, Gorostiaga, &amp; González-Badillo, 2014) ","plainTextFormattedCitation":"(Juan José González-Badillo et al., 2014; F. Pareja-Blanco et al., 2014)","previouslyFormattedCitation":"(Juan José González-Badillo et al., 2014; F. Pareja-Blanco et al., 2014)"},"properties":{"noteIndex":0},"schema":"https://github.com/citation-style-language/schema/raw/master/csl-citation.json"}</w:instrText>
      </w:r>
      <w:r>
        <w:fldChar w:fldCharType="separate"/>
      </w:r>
      <w:r w:rsidRPr="00C45568">
        <w:rPr>
          <w:noProof/>
        </w:rPr>
        <w:t>(Go</w:t>
      </w:r>
      <w:r>
        <w:rPr>
          <w:noProof/>
        </w:rPr>
        <w:t xml:space="preserve">nzález-Badillo et al., 2014; </w:t>
      </w:r>
      <w:r w:rsidRPr="000B2172">
        <w:rPr>
          <w:noProof/>
        </w:rPr>
        <w:t>Pareja-Blanco, Rodríguez-Rosell, Sánchez-Medina, Gorostiaga, &amp; González-Badillo, 2014</w:t>
      </w:r>
      <w:r>
        <w:rPr>
          <w:noProof/>
        </w:rPr>
        <w:t xml:space="preserve">) </w:t>
      </w:r>
      <w:r>
        <w:fldChar w:fldCharType="end"/>
      </w:r>
      <w:r>
        <w:t xml:space="preserve">. Además de esto, una pérdida de velocidad durante las repeticiones de una misma serie o de las series de la sesión de entrenamiento, está relacionada de forma directa con un aumento de la fatiga neuromuscular, lo que puede provocar una menor ganancia de fuerza o disminuir el rendimiento del trabajo realizado </w:t>
      </w:r>
      <w:r>
        <w:fldChar w:fldCharType="begin" w:fldLock="1"/>
      </w:r>
      <w:r>
        <w:instrText>ADDIN CSL_CITATION {"citationItems":[{"id":"ITEM-1","itemData":{"DOI":"10.1249/MSS.0b013e318213f880","ISSN":"0195-9131","PMID":"21311352","abstract":"PURPOSE This study aimed to analyze the acute mechanical and metabolic response to resistance exercise protocols (REP) differing in the number of repetitions (R) performed in each set (S) with respect to the maximum predicted number (P). METHODS Over 21 exercise sessions separated by 48-72 h, 18 strength-trained males (10 in bench press (BP) and 8 in squat (SQ)) performed 1) a progressive test for one-repetition maximum (1RM) and load-velocity profile determination, 2) tests of maximal number of repetitions to failure (12RM, 10RM, 8RM, 6RM, and 4RM), and 3) 15 REP (S × R[P]: 3 × 6[12], 3 × 8[12], 3 × 10[12], 3 × 12[12], 3 × 6[10], 3 × 8[10], 3 × 10[10], 3 × 4[8], 3 × 6[8], 3 × 8[8], 3 × 3[6], 3 × 4[6], 3 × 6[6], 3 × 2[4], 3 × 4[4]), with 5-min interset rests. Kinematic data were registered by a linear velocity transducer. Blood lactate and ammonia were measured before and after exercise. RESULTS Mean repetition velocity loss after three sets, loss of velocity pre-post exercise against the 1-m·s load, and countermovement jump height loss (SQ group) were significant for all REP and were highly correlated to each other (r = 0.91-0.97). Velocity loss was significantly greater for BP compared with SQ and strongly correlated to peak postexercise lactate (r = 0.93-0.97) for both SQ and BP. Unlike lactate, ammonia showed a curvilinear response to loss of velocity, only increasing above resting levels when R was at least two repetitions higher than 50% of P. CONCLUSIONS Velocity loss and metabolic stress clearly differs when manipulating the number of repetitions actually performed in each training set. The high correlations found between mechanical (velocity and countermovement jump height losses) and metabolic (lactate, ammonia) measures of fatigue support the validity of using velocity loss to objectively quantify neuromuscular fatigue during resistance training.","author":[{"dropping-particle":"","family":"Sánchez-Medina","given":"Luis","non-dropping-particle":"","parse-names":false,"suffix":""},{"dropping-particle":"","family":"González-Badillo","given":"Juan José","non-dropping-particle":"","parse-names":false,"suffix":""}],"container-title":"Medicine &amp; Science in Sports &amp; Exercise","id":"ITEM-1","issue":"9","issued":{"date-parts":[["2011","9"]]},"page":"1725-1734","title":"Velocity Loss as an Indicator of Neuromuscular Fatigue during Resistance Training","type":"article-journal","volume":"43"},"uris":["http://www.mendeley.com/documents/?uuid=95e4d48c-cfe1-3193-8f3b-cbfd322c23ca"]}],"mendeley":{"formattedCitation":"(Sánchez-Medina &amp; González-Badillo, 2011)","manualFormatting":"(Sánchez-Medina &amp; González-Badillo, 2011)","plainTextFormattedCitation":"(Sánchez-Medina &amp; González-Badillo, 2011)","previouslyFormattedCitation":"(Sánchez-Medina &amp; González-Badillo, 2011)"},"properties":{"noteIndex":0},"schema":"https://github.com/citation-style-language/schema/raw/master/csl-citation.json"}</w:instrText>
      </w:r>
      <w:r>
        <w:fldChar w:fldCharType="separate"/>
      </w:r>
      <w:r w:rsidRPr="00D87344">
        <w:rPr>
          <w:noProof/>
        </w:rPr>
        <w:t>(</w:t>
      </w:r>
      <w:r>
        <w:rPr>
          <w:noProof/>
        </w:rPr>
        <w:t>Sánchez-Medina &amp; González-B</w:t>
      </w:r>
      <w:r w:rsidRPr="00D87344">
        <w:rPr>
          <w:noProof/>
        </w:rPr>
        <w:t>adillo, 2011)</w:t>
      </w:r>
      <w:r>
        <w:fldChar w:fldCharType="end"/>
      </w:r>
      <w:r>
        <w:t xml:space="preserve">. Estas indicaciones se pueden valorar en los cambios provocados en diferentes marcadores de fatiga neuromuscular, como son entre otros </w:t>
      </w:r>
      <w:r>
        <w:fldChar w:fldCharType="begin" w:fldLock="1"/>
      </w:r>
      <w:r>
        <w:instrText>ADDIN CSL_CITATION {"citationItems":[{"id":"ITEM-1","itemData":{"DOI":"10.2478/v10078-011-0053-6","ISSN":"1640-5544","PMID":"23487504","abstract":"Configuration of the exercise stimulus in resitance training has been traditionally associated with a combination of the so-called 'acute resistance exercise variables' (exercise type and order, loading, number of repetitions and sets, rests duration and movement velocity). During typical resistance exercise in isoinertial conditions, and assuming every repetition is performed with maximal voluntary effort, velocity unintentionally declines as fatigue develops. However, few studies analyzing the response to different resitance training schemes have described changes in repetition velocity or power. It thus seems necessary to conduct more research using models of fatigue that analyze the reduction in mechanical variables such as force, velocity and power output over repeated dynamic contractions in actual training or competition settings. Thus, the aim of this paper was to discuss the importance of movement velocity concerning control training intensity.","author":[{"dropping-particle":"","family":"González-Badillo","given":"Juan José","non-dropping-particle":"","parse-names":false,"suffix":""},{"dropping-particle":"","family":"Marques","given":"Mário C","non-dropping-particle":"","parse-names":false,"suffix":""},{"dropping-particle":"","family":"Sánchez-Medina","given":"Luis","non-dropping-particle":"","parse-names":false,"suffix":""}],"container-title":"Journal of human kinetics","id":"ITEM-1","issued":{"date-parts":[["2011","9"]]},"page":"15-9","publisher":"De Gruyter Open","title":"The importance of movement velocity as a measure to control resistance training intensity.","type":"article-journal","volume":"29A"},"uris":["http://www.mendeley.com/documents/?uuid=a4948b6b-952b-320c-ac2d-24bb74466113"]}],"mendeley":{"formattedCitation":"(Juan José González-Badillo et al., 2011)","manualFormatting":"(González-Badillo, Marques &amp; Sánchez-Medina, 2011)","plainTextFormattedCitation":"(Juan José González-Badillo et al., 2011)","previouslyFormattedCitation":"(Juan José González-Badillo et al., 2011)"},"properties":{"noteIndex":0},"schema":"https://github.com/citation-style-language/schema/raw/master/csl-citation.json"}</w:instrText>
      </w:r>
      <w:r>
        <w:fldChar w:fldCharType="separate"/>
      </w:r>
      <w:r>
        <w:rPr>
          <w:noProof/>
        </w:rPr>
        <w:t>(González-Badillo, Marques</w:t>
      </w:r>
      <w:r w:rsidRPr="004511DE">
        <w:rPr>
          <w:noProof/>
        </w:rPr>
        <w:t xml:space="preserve"> &amp; Sánchez-Medina, 2011)</w:t>
      </w:r>
      <w:r>
        <w:fldChar w:fldCharType="end"/>
      </w:r>
      <w:r>
        <w:t>:</w:t>
      </w:r>
    </w:p>
    <w:p w:rsidR="00777692" w:rsidRDefault="00777692" w:rsidP="00777692"/>
    <w:p w:rsidR="00777692" w:rsidRDefault="00777692" w:rsidP="00777692">
      <w:pPr>
        <w:numPr>
          <w:ilvl w:val="0"/>
          <w:numId w:val="5"/>
        </w:numPr>
        <w:contextualSpacing/>
      </w:pPr>
      <w:r>
        <w:t>Concentración de lactato: conforme el nivel de esfuerzo realizado es mayor, las concentraciones de lactato aumentan. Esto tendría una relación indirecta con la velocidad.</w:t>
      </w:r>
    </w:p>
    <w:p w:rsidR="00777692" w:rsidRDefault="00777692" w:rsidP="00777692"/>
    <w:p w:rsidR="00777692" w:rsidRDefault="00777692" w:rsidP="00777692">
      <w:pPr>
        <w:numPr>
          <w:ilvl w:val="0"/>
          <w:numId w:val="5"/>
        </w:numPr>
        <w:contextualSpacing/>
      </w:pPr>
      <w:r>
        <w:t>Concentración de amoniaco: sí se produce una disminución entre un 30%-35% de la velocidad media de ejecución, el amoniaco empieza a subir. Este dato indica la aparición de fatiga aguda.</w:t>
      </w:r>
    </w:p>
    <w:p w:rsidR="00777692" w:rsidRDefault="00777692" w:rsidP="00777692"/>
    <w:p w:rsidR="00777692" w:rsidRDefault="00777692" w:rsidP="00777692">
      <w:pPr>
        <w:numPr>
          <w:ilvl w:val="0"/>
          <w:numId w:val="5"/>
        </w:numPr>
        <w:contextualSpacing/>
      </w:pPr>
      <w:r>
        <w:t>Concentración sérica de testosterona: su aumento está directamente relación con el nivel de esfuerzo realizado. Suele tender a mayores concentraciones cuando se realizan ejercicios de alta implicación muscular.</w:t>
      </w:r>
    </w:p>
    <w:p w:rsidR="00777692" w:rsidRDefault="00777692" w:rsidP="00777692"/>
    <w:p w:rsidR="00777692" w:rsidRDefault="00777692" w:rsidP="00777692">
      <w:pPr>
        <w:numPr>
          <w:ilvl w:val="0"/>
          <w:numId w:val="5"/>
        </w:numPr>
        <w:contextualSpacing/>
      </w:pPr>
      <w:r>
        <w:t xml:space="preserve">Hormona de crecimiento (GH): situación similar a la de la testosterona. Existe una relación lineal entre el nivel de esfuerzo y la concentración sérica de GH, ésta aumenta cuando la velocidad empieza a disminuir. </w:t>
      </w:r>
    </w:p>
    <w:p w:rsidR="00777692" w:rsidRDefault="00777692" w:rsidP="00777692"/>
    <w:p w:rsidR="00777692" w:rsidRDefault="00777692" w:rsidP="00777692">
      <w:pPr>
        <w:numPr>
          <w:ilvl w:val="0"/>
          <w:numId w:val="5"/>
        </w:numPr>
        <w:contextualSpacing/>
      </w:pPr>
      <w:r>
        <w:t>Niveles séricos de cortisol: existe una tendencia al aumento de cortisol conforme la velocidad disminuye debido a un nivel de esfuerzo elevado.</w:t>
      </w:r>
    </w:p>
    <w:p w:rsidR="00777692" w:rsidRDefault="00777692" w:rsidP="00777692"/>
    <w:p w:rsidR="00777692" w:rsidRDefault="00777692" w:rsidP="00777692">
      <w:pPr>
        <w:numPr>
          <w:ilvl w:val="0"/>
          <w:numId w:val="5"/>
        </w:numPr>
        <w:contextualSpacing/>
      </w:pPr>
      <w:r>
        <w:t>Niveles de insulina: comportamiento similar al cortisol, se produce un aumento de la misma conforme se realizan repeticiones cercanas al límite.</w:t>
      </w:r>
    </w:p>
    <w:p w:rsidR="00777692" w:rsidRDefault="00777692" w:rsidP="00777692"/>
    <w:p w:rsidR="00777692" w:rsidRDefault="00777692" w:rsidP="00777692">
      <w:r>
        <w:t xml:space="preserve">Varios son los estudios que indican que una pérdida de velocidad mayor al 30% durante una serie de entrenamiento no ofrece grandes beneficios sobre las capacidades neuromusculares. </w:t>
      </w:r>
      <w:r>
        <w:lastRenderedPageBreak/>
        <w:t xml:space="preserve">Una intervención realizada recientemente afirma que, pérdidas de velocidad alrededor del 15% son eficaces para inducir mejoras sobre el rendimiento, mientras que esto no sucede si las pérdidas son del 30% o superiores </w:t>
      </w:r>
      <w:r>
        <w:fldChar w:fldCharType="begin" w:fldLock="1"/>
      </w:r>
      <w:r>
        <w:instrText>ADDIN CSL_CITATION {"citationItems":[{"id":"ITEM-1","itemData":{"DOI":"10.1123/ijspp.2016-0170","ISSN":"1555-0273","PMID":"27618386","abstract":"PURPOSE To analyze the effects of 2 resistance-training (RT) programs that used the same relative loading but different repetition volume, using the velocity loss during the set as the independent variable: 15% (VL15) vs 30% (VL30). METHODS Sixteen professional soccer players with RT experience (age 23.8 ± 3.5 y, body mass 75.5 ± 8.6 kg) were randomly assigned to 2 groups, VL15 (n = 8) or VL30 (n = 8), that followed a 6-wk (18-session) velocity-based squat-training program. Repetition velocity was monitored in all sessions. Assessments performed before (Pre) and after training (Post) included estimated 1-repetition maximum (1RM) and change in average mean propulsive velocity (AMPV) against absolute loads common to Pre and Post tests, countermovement jump (CMJ), 30-m sprint (T30), and Yo-Yo Intermittent Recovery Test (YIRT). Null-hypothesis significance testing and magnitude-based-inference statistical analyses were performed. RESULTS VL15 obtained greater gains in CMJ height than VL30 (P &lt; .05), with no significant differences between groups for the remaining variables. VL15 showed a likely/possibly positive effect on 1RM (91/9/0%), AMPV (73/25/2%), and CMJ (87/12/1%), whereas VL30 showed possibly/unclear positive effects on 1RM (65/33/2%) and AMPV (46/36/18%) and possibly negative effects on CMJ (4/38/57%). The effects on T30 performance were unclear/unlikely for both groups, whereas both groups showed most likely/likely positive effects on YIRT. CONCLUSIONS A velocity-based RT program characterized by a low degree of fatigue (15% velocity loss in each set) is effective to induce improvements in neuromuscular performance in professional soccer players with previous RT experience.","author":[{"dropping-particle":"","family":"Pareja-Blanco","given":"Fernando","non-dropping-particle":"","parse-names":false,"suffix":""},{"dropping-particle":"","family":"Sánchez-Medina","given":"Luis","non-dropping-particle":"","parse-names":false,"suffix":""},{"dropping-particle":"","family":"Suárez-Arrones","given":"Luis","non-dropping-particle":"","parse-names":false,"suffix":""},{"dropping-particle":"","family":"González-Badillo","given":"Juan José","non-dropping-particle":"","parse-names":false,"suffix":""}],"container-title":"International journal of sports physiology and performance","id":"ITEM-1","issue":"4","issued":{"date-parts":[["2017","4"]]},"page":"512-519","title":"Effects of Velocity Loss During Resistance Training on Performance in Professional Soccer Players.","type":"article-journal","volume":"12"},"uris":["http://www.mendeley.com/documents/?uuid=5a7d3f37-c7e7-377a-8a76-7f45576c90f8"]}],"mendeley":{"formattedCitation":"(Fernando Pareja-Blanco, Sánchez-Medina, et al., 2017)"},"properties":{"noteIndex":0},"schema":"https://github.com/citation-style-language/schema/raw/master/csl-citation.json"}</w:instrText>
      </w:r>
      <w:r>
        <w:fldChar w:fldCharType="separate"/>
      </w:r>
      <w:r w:rsidRPr="003A204E">
        <w:rPr>
          <w:noProof/>
        </w:rPr>
        <w:t>(Fernando Pareja-Blanco, Sánchez-Medina, et al., 2017)</w:t>
      </w:r>
      <w:r>
        <w:fldChar w:fldCharType="end"/>
      </w:r>
      <w:r>
        <w:t xml:space="preserve">. Pero también cabe resaltar que pérdidas del 20%, proporcionan cambios similares a las producidas por pérdidas del 10% sobre ejercicios del tren inferior </w:t>
      </w:r>
      <w:r>
        <w:fldChar w:fldCharType="begin" w:fldLock="1"/>
      </w:r>
      <w:r>
        <w:instrText>ADDIN CSL_CITATION {"citationItems":[{"id":"ITEM-1","itemData":{"DOI":"10.1080/02640414.2017.1376900","ISSN":"0264-0414","author":[{"dropping-particle":"","family":"Pérez-Castilla","given":"Alejandro","non-dropping-particle":"","parse-names":false,"suffix":""},{"dropping-particle":"","family":"García-Ramos","given":"Amador","non-dropping-particle":"","parse-names":false,"suffix":""},{"dropping-particle":"","family":"Padial","given":"Paulino","non-dropping-particle":"","parse-names":false,"suffix":""},{"dropping-particle":"","family":"Morales-Artacho","given":"Antonio J.","non-dropping-particle":"","parse-names":false,"suffix":""},{"dropping-particle":"","family":"Feriche","given":"Belén","non-dropping-particle":"","parse-names":false,"suffix":""}],"container-title":"Journal of Sports Sciences","id":"ITEM-1","issue":"12","issued":{"date-parts":[["2018","6","18"]]},"page":"1331-1339","title":"Effect of different velocity loss thresholds during a power-oriented resistance training program on the mechanical capacities of lower-body muscles","type":"article-journal","volume":"36"},"uris":["http://www.mendeley.com/documents/?uuid=a4c3284c-8bce-3129-96be-06ac93c95c16"]}],"mendeley":{"formattedCitation":"(Pérez-Castilla, García-Ramos, Padial, Morales-Artacho, &amp; Feriche, 2018)","plainTextFormattedCitation":"(Pérez-Castilla, García-Ramos, Padial, Morales-Artacho, &amp; Feriche, 2018)","previouslyFormattedCitation":"(Pérez-Castilla, García-Ramos, Padial, Morales-Artacho, &amp; Feriche, 2018)"},"properties":{"noteIndex":0},"schema":"https://github.com/citation-style-language/schema/raw/master/csl-citation.json"}</w:instrText>
      </w:r>
      <w:r>
        <w:fldChar w:fldCharType="separate"/>
      </w:r>
      <w:r w:rsidRPr="00A16B75">
        <w:rPr>
          <w:noProof/>
        </w:rPr>
        <w:t>(Pérez-Castilla, García-Ramos, Padial, Morales-Artacho, &amp; Feriche, 2018)</w:t>
      </w:r>
      <w:r>
        <w:fldChar w:fldCharType="end"/>
      </w:r>
      <w:r>
        <w:t xml:space="preserve">. En resumen, la velocidad de ejecución es un parámetro imprescindible en los métodos de entrenamiento actuales, e identificar sus variaciones durante las sesiones proporciona información relevante para los atletas y entrenadores.  </w:t>
      </w:r>
    </w:p>
    <w:p w:rsidR="00777692" w:rsidRDefault="00777692" w:rsidP="00777692"/>
    <w:p w:rsidR="00777692" w:rsidRDefault="00777692" w:rsidP="00777692">
      <w:r>
        <w:t xml:space="preserve">Para poder medir objetivamente la velocidad y la potencia, se necesita un dinamómetro. Los dinamómetros, son dispositivos capaces de medir la potencia realizada a través de la velocidad y la carga.  Antiguamente disponer de esta tecnología no era sencillo, ya que únicamente existían dinamómetros inerciales similares al T-force. Estos dispositivos funcionaban mediante cable,  y aunque tienen una elevada fiabilidad, resultan incómodos y complejos de utilizar, lo cual dificultaba su uso, a pesar de que varios son los investigadores que registraron la velocidad a través de ellos </w:t>
      </w:r>
      <w:r>
        <w:fldChar w:fldCharType="begin" w:fldLock="1"/>
      </w:r>
      <w:r>
        <w:instrText>ADDIN CSL_CITATION {"citationItems":[{"id":"ITEM-1","itemData":{"DOI":"10.1519/JSC.0b013e318269f809","ISSN":"1064-8011","PMID":"22847523","abstract":"The purpose of this study was to determine the intermachine reliability attained from devices used to measure the common variables in sports performance. Repeatability conditions were established by creating a similar set of conditions under which the measurements were taken from both devices. The objectives of this research were to demonstrate the reliability between two devices in a bench press movement--the linear position measuring device (LPM) isoinertial dynamometer (T-Force) and the 3D (Myotest) accelerometer (AC)--and to compare the existing correlations between maximum velocity, maximum estimated strength, and peak power estimate variables in the bench press exercise. Forty bench press exercise trials were analyzed simultaneously, performed by 3 different subjects (age: 26.74 ± 1.2 years, height: 175.74 ± 4.04 cm, weight: 78.7 ± 3.35 kg) at maximum velocity (25 kg additional load). Three simple linear regression models were developed, supplied by the LPM on the basis of the AC data. The assumption of independence of errors was compared by means of the Durban-Watson test, and partial autocorrelation coefficients were established at an overall p &lt; 0.05 significance level. It has not been possible to confirm the presence of a general correlation between the measurements of both devices. Regarding the assumption of independence of errors, the presence of generalized autocorrelation was confirmed. Linear regression analysis revealed an intermachine correlation in one of the nonconclusive cases, (peak power) variable and subject 1, r (10) = 0.640, p = 0.024. No partial autocorrelation was found. The devices should not be used interchangeably as instruments.","author":[{"dropping-particle":"","family":"Gomez-Piriz","given":"Pedro T.","non-dropping-particle":"","parse-names":false,"suffix":""},{"dropping-particle":"","family":"Sanchez","given":"Eva T.","non-dropping-particle":"","parse-names":false,"suffix":""},{"dropping-particle":"","family":"Manrique","given":"David C.","non-dropping-particle":"","parse-names":false,"suffix":""},{"dropping-particle":"","family":"Gonzalez","given":"Esther P.","non-dropping-particle":"","parse-names":false,"suffix":""}],"container-title":"Journal of Strength and Conditioning Research","id":"ITEM-1","issue":"6","issued":{"date-parts":[["2013","6"]]},"page":"1664-1670","title":"Reliability and Comparability of the Accelerometer and the Linear Position Measuring Device in Resistance Training","type":"article-journal","volume":"27"},"uris":["http://www.mendeley.com/documents/?uuid=050fec10-674e-346e-8e08-12c79481e4fd"]},{"id":"ITEM-2","itemData":{"DOI":"10.1055/s-0029-1242815","ISSN":"1439-3964","PMID":"20222005","abstract":"This study analyzed the contribution of the propulsive and braking phases among different percentages of the one-repetition maximum (1RM) in the concentric bench press exercise. One hundred strength-trained men performed a test with increasing loads up to the 1RM for the individual determination of the load-power relationship. The relative load that maximized the mechanical power output (P(max)) was determined using three different parameters: mean concentric power (MP), mean power of the propulsive phase (MPP) and peak power (PP). The load at which the braking phase no longer existed was 76.1+/-7.4% 1RM. P(max) was dependent on the parameter used: MP (54.2%), MPP (36.5%) or PP (37.4%). No significant differences were found for loads between 40-65% 1RM (MP) or 20-55% 1RM (MPP and PP), nor between P(max) (% 1RM) when using MPP or PP. P(max) was independent of relative strength, although certain tendency towards slightly lower loads was detected for the strongest subjects. These results highlight the importance of considering the contribution of the propulsive and braking phases in isoinertial strength and power assessments. Referring the mean mechanical values to the propulsive phase avoids underestimating an individual's true neuromuscular potential when lifting light and medium loads.","author":[{"dropping-particle":"","family":"Sanchez-Medina","given":"L","non-dropping-particle":"","parse-names":false,"suffix":""},{"dropping-particle":"","family":"Perez","given":"C E","non-dropping-particle":"","parse-names":false,"suffix":""},{"dropping-particle":"","family":"Gonzalez-Badillo","given":"J J","non-dropping-particle":"","parse-names":false,"suffix":""}],"container-title":"International journal of sports medicine","id":"ITEM-2","issue":"2","issued":{"date-parts":[["2010","2","17"]]},"page":"123-9","title":"Importance of the propulsive phase in strength assessment.","type":"article-journal","volume":"31"},"uris":["http://www.mendeley.com/documents/?uuid=e8392aa3-6245-327d-b6f2-d8ca8e4c4128"]},{"id":"ITEM-3","itemData":{"abstract":"El estudio pretende caracterizar la confiabilidad entre dos instrumentos, medidor de posicionamiento lineal (MPL,\r\ndinamómetro inercial T-Force) y el acelerómetro (AC) 3-D (Myotest Sport, modelo S4P) habituales en la medición\r\nde variables de rendimiento. Fueron analizados 40 ensayos en la realización del ejercicio press banca (25 kg) en\r\nfase concéntrica a la máxima velocidad por tres sujetos (26.74 ± 1.2 años, 175.74 ± 4.04 cm, 78.7 ± 3.35 kg). Las\r\nvariables analizadas fueron velocidad máxima, fuerza máxima estimada y pico de potencia estimado. Ambos aparatos\r\nobtuvieron los datos simultáneamente. Se desarrollaron tres modelos de regresión lineal simple proporcionados\r\npor el medidor de posicionamiento lineal (MPL) a partir de los datos del acelerómetro (AC). Se contrastó el\r\nsupuesto de independencia de los errores mediante la prueba de Durbin-Watson. Se calcularon autocorrelaciones\r\nparciales para un nivel de significación p&lt;.05. No ha sido posible confirmar la existencia general de correlaciones\r\nentre las medidas de ambos aparatos. Los datos estuvieron caracterizados por una autocorrelación generalizada y\r\nse recomienda la utilización de estrategias que contemplen el control del error producido por el factor de dependencia\r\nde los datos cuando se miden deportistas. Sólo se encontró correlación entre aparatos en unos de los casos\r\nno concluyentes, variable (Pico de Potencia) y sujeto 1, r(10) = .64, p = .024. No se encontraron autocorrelaciones\r\nparciales. AC obtiene mayores valores promedio y de dispersión que MPL. Los resultados evidencian probabilidad de\r\naumento del valor de la incertidumbre de la medida en AC conforme a las orientaciones especificadas en Metrología.\r\nAmbos aparatos no deberían usarse indistintamente en la evaluación y control del entrenamiento.","author":[{"dropping-particle":"","family":"Gómez-Píriz","given":"Pedro Tomás","non-dropping-particle":"","parse-names":false,"suffix":""},{"dropping-particle":"","family":"Trigo-Sánchez","given":"María Eva","non-dropping-particle":"","parse-names":false,"suffix":""},{"dropping-particle":"","family":"Cabello-Manrique","given":"David","non-dropping-particle":"","parse-names":false,"suffix":""},{"dropping-particle":"","family":"Puga-González","given":"Esther","non-dropping-particle":"","parse-names":false,"suffix":""}],"container-title":"RICYDE. Revista Internacional de Ciencias del Deporte, ISSN-e 1885-3137, Vol. 8, Nº. 27, 2012, págs. 20-30","id":"ITEM-3","issue":"27","issued":{"date-parts":[["2012"]]},"page":"20-30","publisher":"Ramón Cantó Alcaraz","title":"Confiabilidad entre instrumentos (T-Force y Myotest) en la valoración de la fuerza","type":"article-journal","volume":"8"},"uris":["http://www.mendeley.com/documents/?uuid=589a91c5-a956-3ac4-b1b6-2b1bfcda2228"]},{"id":"ITEM-4","itemData":{"DOI":"10.1055/s-0030-1248333","ISSN":"0172-4622","author":[{"dropping-particle":"","family":"González-Badillo","given":"J. J.","non-dropping-particle":"","parse-names":false,"suffix":""},{"dropping-particle":"","family":"Sánchez-Medina","given":"L.","non-dropping-particle":"","parse-names":false,"suffix":""}],"container-title":"International Journal of Sports Medicine","id":"ITEM-4","issue":"05","issued":{"date-parts":[["2010","5","23"]]},"page":"347-352","title":"Movement Velocity as a Measure of Loading Intensity in Resistance Training","type":"article-journal","volume":"31"},"uris":["http://www.mendeley.com/documents/?uuid=0200b98b-bd7c-3534-bafe-abbcec8dffee"]},{"id":"ITEM-5","itemData":{"abstract":"La fuerza excéntrica es un componente importante del rendimiento en actividades cotidianas y deportivas; por lo tanto, la valoración de esta capacidad es importante. Característicamente, se utilizan dinamómetros isocinéticos para valorar la capacidad de fuerza excéntrica. Sin embargo, debido a las limitaciones asociadas con el modo de contracción (i.e., velocidad constante), con esta forma de evaluación se pude obtener poca información respecto del rendimiento funcional de los músculos. Consecuentemente, la valoración isoinercial de la fuerza excéntrica puede proveer información de mayor utilidad para el entrenamiento de la fuerza y el acondicionamiento de los practicantes. Este artículo revisa las pocas investigaciones que existen en esta área, discutiendo las metodologías y limitaciones de los tests utilizados para cuantificar la fuerza muscular excéntrica.","author":[{"dropping-particle":"","family":"Cronin","given":"John B.","non-dropping-particle":"","parse-names":false,"suffix":""},{"dropping-particle":"","family":"Meylan","given":"Cesar","non-dropping-particle":"","parse-names":false,"suffix":""},{"dropping-particle":"","family":"Nosaka","given":"Ken","non-dropping-particle":"","parse-names":false,"suffix":""}],"container-title":"Red: revista de entrenamiento deportivo, ISSN 1133-0619, Tomo 29, Nº. 3, 2015, págs. 29-40","id":"ITEM-5","issue":"3","issued":{"date-parts":[["2015"]]},"page":"29-40","publisher":"Ideasport","title":"Valoración isoinercial de la fuerza muscular excéntrica","type":"article-journal","volume":"29"},"uris":["http://www.mendeley.com/documents/?uuid=4264c0c6-ed3f-3baa-9c79-9a0fd43e6a72"]},{"id":"ITEM-6","itemData":{"abstract":"[ES] Una vez efectuada la revisión bibliográfica, y tras conocer el estado actual de las investigaciones, y los prácticamente inexistentes trabajos relacionados con el análisis de los efectos inmediatos de las técnicas de este estudio (masaje, masaje con hielo, MRM, biofeedback) y menos aún en los parámetros medidos en el mismo (percepción subjetiva de fatiga, EMG durante contracción isométrica contra resistencia continua, fuerza explosiva mediante squat jump y fuerza máxima isométrica (mediante dinamómetro), y observándose además discrepancias y falta de unanimidad en los mismos, así como ausencia de comparaciones entre estas técnicas, se ha planteado realizar este trabajo.  OBJETIVOS  Objetivo general  El objetivo principal es realizar un estudio comparativo de diversas técnicas empleadas en recuperación muscular en deportistas, y específicamente de los posibles efectos inmediatos en la actividad muscular.   Objetivos específicos  1. Estudiar si cada una de las técnicas, masaje, masaje con hielo, vibroterapia (MRM), y biofeedback producen variaciones en la actividad eléctrica muscular, percepción subjetiva de fatiga muscular, fuerza explosiva (SJ) y fuerza máxima isométrica (dinamometría), y en caso de que así fuera, si dichas variaciones son en sentido positivo o negativo. También serán estudiadas las diferencias con respecto al reposo (utilizado como control). 2. Determinar cuál de las técnicas produce mayores variaciones, en caso de existir, y establecer cómo éstas influyen en esfuerzos musculares posteriores; para valorar su posible indicación en la práctica.  SUJETOS, MATERIAL Y MÉTODOS  Sujetos  En el estudio han participado 41 deportistas, 26 hombres y 15 mujeres, pertenecientes al equipo CDUS Rugby y los cuales entrenaban regularmente entre 3-5 sesiones semanales, con un total de 6-10 horas/semana. Los participantes tenían una edad entre 18 y 30 años.  Material  1. Datos antropométricos (Ficha antropométrica, materiales necesarios para la toma de datos). 2. Tabla de registro para la percepción subjetiva de la fatiga muscular 3. Electromiógrafo  Myomed 932 de Enraf Nonius 4. Plataforma de salto Ergo Jump Bosco/System (Bosco y cols., 1983) 5. Dinamómetro mecánico Baseline® 6. Cicloergómetro Monark Ergometer Model 818 E 7. Máquina de recuperación muscular (MRM) 8. Biofeedback Brainquiry PET EEG 2.0 Neurofeedback 9. Ficha de registro de datos de cada sesión  Métodos  El procedimiento utilizado en cada sesión: 1. Antropometría. Se realizó antes de …","author":[{"dropping-particle":"","family":"Sampedro Vidal","given":"Jorge","non-dropping-particle":"","parse-names":false,"suffix":""}],"id":"ITEM-6","issued":{"date-parts":[["2013"]]},"publisher":"Universidad de Salamanca","title":"Efectos inmediatos de varias técnicas de fisioterapia y recuperación sobre el músculo fatigado","type":"thesis"},"uris":["http://www.mendeley.com/documents/?uuid=86b3927c-e664-302e-b1ba-2792a4cedd47"]},{"id":"ITEM-7","itemData":{"abstract":"This study aimed to (a) analyze the relationships between rel- ative load (i.e., %1 repetition maximum; 1RM) and movement velocity, repetitions in reserve (RIR) and rate of perceived exer- tion (RPE) in competitive powerlifters and (b) examine whether a multiple linear regression model with the movement velocity, RIR, and RPE as predictor variables could improve the good- ness of fit of the load-velocity relationship. Ten competitive powerlifters performed an incremental loading test (from 50 to 100% 1RM) on the full-squat, hip-thrust, and bench press exercises. Barbell velocity was measured using a linear posi- tion transducer, while RIR and RPE were registered immediately after each set. Velocity (r2: 0.747–0.887), RIR (r2: 0.857–0.928), and RPE (r2: 0.908–0.933) were moder- ately to highly related to relative load. A higher amount of var- iance of the relative load was explained when the RIR and RPE were added to velocity in a multiple regression model in com- parison with the load-velocity relationship (r2: 0.924–0.947). Moreover, it was observed that, in all cases, individual load- velocity, load-RIR, and load-RPE relationships had higher r2 scores than the generalized load-velocity relationship. Incorporating the RIR and RPE as predictors of the relative load along with movement velocity into a multiple linear regression was shown to provide better estimations of the %1RM than using a linear load-velocity relationship.","author":[{"dropping-particle":"","family":"Balsalobre-Fernández","given":"Carlos","non-dropping-particle":"","parse-names":false,"suffix":""},{"dropping-particle":"","family":"Muñoz-López","given":"Mario","non-dropping-particle":"","parse-names":false,"suffix":""},{"dropping-particle":"","family":"Marchante","given":"David","non-dropping-particle":"","parse-names":false,"suffix":""},{"dropping-particle":"","family":"García-Ramos","given":"Amador","non-dropping-particle":"","parse-names":false,"suffix":""}],"container-title":"Journal of Strength &amp; Conditioning Research","id":"ITEM-7","issue":"September","issued":{"date-parts":[["2018"]]},"title":"Repetitions in reserve and rate of perceived exertion increase the prediction capabilities of the load-velocity relationship","type":"article-journal"},"uris":["http://www.mendeley.com/documents/?uuid=55785921-36b6-41ad-809c-f94b0503d588"]},{"id":"ITEM-8","itemData":{"DOI":"10.1519/R-16264.1","ISSN":"1064-8011","PMID":"16937981","abstract":"This study examined the changes in peak power, ground reaction force and velocity with different loads during the performance of the parallel squat movement. Twelve experienced male lifters (26.83 +/- 4.67 years of age) performed the standard parallel squat, using loads equal to 20, 30, 40, 50, 60, 70, 80, and 90% of 1 repetition maximum (1RM). Each subject performed all parallel squats with as much explosiveness as possible using his own technique. Peak power (PP), peak ground reaction force (PGRF), peak barbell velocity (PV), force at the time of PP (FPP), and velocity at the time of PP (VPP) were determined from force, velocity, and power curves calculated using barbell velocity and ground reaction force data. No significant differences were detected among loads for PP; however, the greatest PP values were associated with loads of 40 and 50% of 1RM. Higher loads produced greater PGRF and FPP values than lower loads (p &lt; 0.05) in all cases except between loads equal to 60-50, 50-40, and 40-30% of 1RM for PGRF, and between loads equal to 70-60 and 60-50% of 1RM for FPP. Higher loads produced lower PV and VPP values than lower loads (p &lt; 0.05) in all cases except between the 20-30, 70-80, and 80-90% of 1RM conditions. These results may be helpful in determining loads when prescribing need-specific training protocols targeting different areas of the load-velocity continuum.","author":[{"dropping-particle":"","family":"Zink","given":"Attila J.","non-dropping-particle":"","parse-names":false,"suffix":""},{"dropping-particle":"","family":"Perry","given":"Arlette C.","non-dropping-particle":"","parse-names":false,"suffix":""},{"dropping-particle":"","family":"Robertson","given":"Bobby L.","non-dropping-particle":"","parse-names":false,"suffix":""},{"dropping-particle":"","family":"Roach","given":"Kathryn E.","non-dropping-particle":"","parse-names":false,"suffix":""},{"dropping-particle":"","family":"Signorile","given":"Joseph F.","non-dropping-particle":"","parse-names":false,"suffix":""}],"container-title":"The Journal of Strength and Conditioning Research","id":"ITEM-8","issue":"3","issued":{"date-parts":[["2006","8"]]},"page":"658","title":"Peak Power, Ground Reaction Forces, and Velocity During the Squat Exercise Performed at Different Loads","type":"article-journal","volume":"20"},"uris":["http://www.mendeley.com/documents/?uuid=645568d3-d599-3a46-874b-5f5eb0805b0b"]}],"mendeley":{"formattedCitation":"(Carlos Balsalobre-Fernández, Muñoz-López, Marchante, &amp; García-Ramos, 2018; Cronin, Meylan, &amp; Nosaka, 2015; Gomez-Piriz, Sanchez, Manrique, &amp; Gonzalez, 2013; Gómez-Píriz, Trigo-Sánchez, Cabello-Manrique, &amp; Puga-González, 2012; J. J. González-Badillo &amp; Sánchez-Medina, 2010; Sampedro Vidal, 2013; Sanchez-Medina, Perez, &amp; Gonzalez-Badillo, 2010; Zink, Perry, Robertson, Roach, &amp; Signorile, 2006)"},"properties":{"noteIndex":0},"schema":"https://github.com/citation-style-language/schema/raw/master/csl-citation.json"}</w:instrText>
      </w:r>
      <w:r>
        <w:fldChar w:fldCharType="separate"/>
      </w:r>
      <w:r>
        <w:rPr>
          <w:noProof/>
        </w:rPr>
        <w:t>(</w:t>
      </w:r>
      <w:r w:rsidRPr="003A204E">
        <w:rPr>
          <w:noProof/>
        </w:rPr>
        <w:t>Balsalobre-Fernández, Muñoz-López, Marchante, &amp; García-Ramos, 2018; Cronin, Meylan, &amp; Nosaka, 2015; Gomez-Piriz, Sanchez, Manrique, &amp; Gonzalez, 2013; Gómez-Píriz, Trigo-Sánchez, Cabello-Manriqu</w:t>
      </w:r>
      <w:r>
        <w:rPr>
          <w:noProof/>
        </w:rPr>
        <w:t xml:space="preserve">e, &amp; Puga-González, 2012; </w:t>
      </w:r>
      <w:r w:rsidRPr="003A204E">
        <w:rPr>
          <w:noProof/>
        </w:rPr>
        <w:t>González-Badillo &amp; Sánchez-Medina, 2010; Sampedro Vidal, 2013; Sanchez-Medina, Perez, &amp; Gonzalez-Badillo, 2010; Zink, Perry, Robertson, Roach, &amp; Signorile, 2006)</w:t>
      </w:r>
      <w:r>
        <w:fldChar w:fldCharType="end"/>
      </w:r>
      <w:r>
        <w:t>.</w:t>
      </w:r>
    </w:p>
    <w:p w:rsidR="00777692" w:rsidRDefault="00777692" w:rsidP="00777692"/>
    <w:p w:rsidR="00777692" w:rsidRDefault="00777692" w:rsidP="00777692">
      <w:r>
        <w:t>En la actualidad existen múltiples dispositivos inalámbricos que ofrecen esta información de forma fácil, sencilla y fiable. Con la gran variedad de información que aportan los dispositivos electrónicos, varios científicos desarrollan APP´S para medir éstas variables cinéticas, bien a través de análisis de video como lo es “</w:t>
      </w:r>
      <w:r>
        <w:rPr>
          <w:i/>
        </w:rPr>
        <w:t xml:space="preserve">Power Lift” </w:t>
      </w:r>
      <w:r>
        <w:t xml:space="preserve">validada en el ejercicio de press banca </w:t>
      </w:r>
      <w:r>
        <w:fldChar w:fldCharType="begin" w:fldLock="1"/>
      </w:r>
      <w:r>
        <w:instrText>ADDIN CSL_CITATION {"citationItems":[{"id":"ITEM-1","itemData":{"DOI":"10.1080/02640414.2017.1280610","ISBN":"02640414 (ISSN)","ISSN":"1466447X","PMID":"28097928","abstract":"See, stats, and : https : / / www . researchgate . net / publication / 312496102 Validity the - RM on -press Article DOI : 10 . 1080 / 02640414 . 2017 . 1280610 CITATIONS 0 READS 248 4 , including : Some : Validity - rm bench - press The , neuromuscular performance Carlos - Fernández European 29 SEE All - Fernández . The . All - text and , letting . ABSTRACT The purpose of this study was to analyse the validity and reliability of a novel iPhone app (named : PowerLift) for the measurement of mean velocity on the bench - press exercise . Additionally , the accuracy of the estimation of the 1 - Repetition maximum (1RM) using the load – velocity relationship was tested . To do this , 10 powerlifters (Mean (SD) : age = 26 . 5 ± 6 . 5 years ; bench press 1RM · kg −1 =1.34±0.25)completedanincrementaltestonthebench-pressexercisewith5differentloads(75–100%1RM),whilethemeanvelocityofthebarbellwasregisteredusingalineartransducer(LT)andPowerlift.ResultsshowedaveryhighcorrelationbetweentheLTandtheapp(r=0.94,SEE=0.028m·s−1","author":[{"dropping-particle":"","family":"Balsalobre-Fernández","given":"Carlos","non-dropping-particle":"","parse-names":false,"suffix":""},{"dropping-particle":"","family":"Marchante","given":"David","non-dropping-particle":"","parse-names":false,"suffix":""},{"dropping-particle":"","family":"Muñoz-López","given":"Mario","non-dropping-particle":"","parse-names":false,"suffix":""},{"dropping-particle":"","family":"Jiménez","given":"Sergio L.","non-dropping-particle":"","parse-names":false,"suffix":""}],"container-title":"Journal of Sports Sciences","id":"ITEM-1","issue":"1","issued":{"date-parts":[["2018"]]},"page":"64-70","title":"Validity and reliability of a novel iPhone app for the measurement of barbell velocity and 1RM on the bench-press exercise","type":"article-journal","volume":"36"},"uris":["http://www.mendeley.com/documents/?uuid=1dfa46e4-ff53-4ac5-9476-6871c6b37303"]}],"mendeley":{"formattedCitation":"(Carlos Balsalobre-Fernández, Marchante, Muñoz-López, &amp; Jiménez, 2018)"},"properties":{"noteIndex":0},"schema":"https://github.com/citation-style-language/schema/raw/master/csl-citation.json"}</w:instrText>
      </w:r>
      <w:r>
        <w:fldChar w:fldCharType="separate"/>
      </w:r>
      <w:r>
        <w:rPr>
          <w:noProof/>
        </w:rPr>
        <w:t>(Carl (</w:t>
      </w:r>
      <w:r w:rsidRPr="003A204E">
        <w:rPr>
          <w:noProof/>
        </w:rPr>
        <w:t>Balsalobre-Fernández, Marchante, Muñoz-López, &amp; Jiménez, 2018)</w:t>
      </w:r>
      <w:r>
        <w:fldChar w:fldCharType="end"/>
      </w:r>
      <w:r>
        <w:t xml:space="preserve"> o bien a través de dispositivos inalámbricos y portátiles como: </w:t>
      </w:r>
      <w:r>
        <w:rPr>
          <w:i/>
        </w:rPr>
        <w:t xml:space="preserve">“Beast Sensor” </w:t>
      </w:r>
      <w:r>
        <w:t xml:space="preserve">o </w:t>
      </w:r>
      <w:r>
        <w:rPr>
          <w:i/>
        </w:rPr>
        <w:t xml:space="preserve">“Push Band”, </w:t>
      </w:r>
      <w:r>
        <w:t xml:space="preserve">ambos validados en los últimos años con gran confiabilidad respecto a dinamómetros por cable </w:t>
      </w:r>
      <w:r>
        <w:fldChar w:fldCharType="begin" w:fldLock="1"/>
      </w:r>
      <w:r>
        <w:instrText>ADDIN CSL_CITATION {"citationItems":[{"id":"ITEM-1","itemData":{"DOI":"10.1519/JSC.0000000000001284","ISSN":"1064-8011","PMID":"26670993","abstract":"Balsalobre-Fernández, C, Kuzdub, M, Poveda-Ortiz, P, and Campo-Vecino, Jd. Validity and reliability of the PUSH wearable device to measure movement velocity during the back squat exercise. J Strength Cond Res 30(7): 1968-1974, 2016-The purpose of this study was to analyze the validity and reliability of a wearable device to measure movement velocity during the back squat exercise. To do this, 10 recreationally active healthy men (age = 23.4 ± 5.2 years; back squat 1 repetition maximum [1RM] = 83 ± 8.2 kg) performed 3 repetitions of the back squat exercise with 5 different loads ranging from 25 to 85% 1RM on a Smith Machine. Movement velocity for each of the total 150 repetitions was simultaneously recorded using the T-Force linear transducer (LT) and the PUSH wearable band. Results showed a high correlation between the LT and the wearable device mean (r = 0.85; standard error of estimate [SEE] = 0.08 m·s) and peak velocity (r = 0.91, SEE = 0.1 m·s). Moreover, there was a very high agreement between these 2 devices for the measurement of mean (intraclass correlation coefficient [ICC] = 0.907) and peak velocity (ICC = 0.944), although a systematic bias between devices was observed (PUSH peak velocity being -0.07 ± 0.1 m·s lower, p ≤ 0.05). When measuring the 3 repetitions with each load, both devices displayed almost equal reliability (Test-retest reliability: LT [r = 0.98], PUSH [r = 0.956]; ICC: LT [ICC = 0.989], PUSH [ICC = 0.981]; coefficient of variation [CV]: LT [CV = 4.2%], PUSH [CV = 5.0%]). Finally, individual load-velocity relationships measured with both the LT (R = 0.96) and the PUSH wearable device (R = 0.94) showed similar, very high coefficients of determination. In conclusion, these results support the use of an affordable wearable device to track velocity during back squat training. Wearable devices, such as the one in this study, could have valuable practical applications for strength and conditioning coaches.","author":[{"dropping-particle":"","family":"Balsalobre-Fernández","given":"Carlos","non-dropping-particle":"","parse-names":false,"suffix":""},{"dropping-particle":"","family":"Kuzdub","given":"Matt","non-dropping-particle":"","parse-names":false,"suffix":""},{"dropping-particle":"","family":"Poveda-Ortiz","given":"Pedro","non-dropping-particle":"","parse-names":false,"suffix":""},{"dropping-particle":"del","family":"Campo-Vecino","given":"Juan","non-dropping-particle":"","parse-names":false,"suffix":""}],"container-title":"Journal of Strength and Conditioning Research","id":"ITEM-1","issue":"7","issued":{"date-parts":[["2016","7"]]},"page":"1968-1974","title":"Validity and Reliability of the PUSH Wearable Device to Measure Movement Velocity During the Back Squat Exercise","type":"article-journal","volume":"30"},"uris":["http://www.mendeley.com/documents/?uuid=e193b3db-2d0a-380d-a786-a2039966831b"]},{"id":"ITEM-2","itemData":{"DOI":"10.3389/fphys.2017.00649","ISSN":"1664-042X","PMID":"28894425","abstract":"The purpose of this study was to analyze the validity, reliability, and accuracy of new wearable and smartphone-based technology for the measurement of barbell velocity in resistance training exercises. To do this, 10 highly trained powerlifters (age = 26.1 ± 3.9 years) performed 11 repetitions with loads ranging 50-100% of the 1-Repetition maximum in the bench-press, full-squat, and hip-thrust exercises while barbell velocity was simultaneously measured using a linear transducer (LT), two Beast wearable devices (one placed on the subjects' wrist -BW-, and the other one directly attached to the barbell -BB-) and the iOS PowerLift app. Results showed a high correlation between the LT and BW (r = 0.94-0.98, SEE = 0.04-0.07 m•s-1), BB (r = 0.97-0.98, SEE = 0.04-0.05 m•s-1), and the PowerLift app (r = 0.97-0.98, SEE = 0.03-0.05 m•s-1) for the measurement of barbell velocity in the three exercises. Paired samples T-test revealed systematic biases between the LT and BW, BB and the app in the hip-thrust, between the LT and BW in the full-squat and between the LT and BB in the bench-press exercise (p &lt; 0.001). Moreover, the analysis of the linear regression on the Bland-Altman plots showed that the differences between the LT and BW (R2 = 0.004-0.03), BB (R2 = 0.007-0.01), and the app (R2 = 0.001-0.03) were similar across the whole range of velocities analyzed. Finally, the reliability of the BW (ICC = 0.910-0.988), BB (ICC = 0.922-0.990), and the app (ICC = 0.928-0.989) for the measurement of the two repetitions performed with each load were almost the same than that observed with the LT (ICC = 0.937-0.990). Both the Beast wearable device and the PowerLift app were highly valid, reliable, and accurate for the measurement of barbell velocity in the bench-press, full-squat, and hip-thrust exercises. These results could have potential practical applications for strength and conditioning coaches who wish to measure barbell velocity during resistance training.","author":[{"dropping-particle":"","family":"Balsalobre-Fernández","given":"Carlos","non-dropping-particle":"","parse-names":false,"suffix":""},{"dropping-particle":"","family":"Marchante","given":"David","non-dropping-particle":"","parse-names":false,"suffix":""},{"dropping-particle":"","family":"Baz-Valle","given":"Eneko","non-dropping-particle":"","parse-names":false,"suffix":""},{"dropping-particle":"","family":"Alonso-Molero","given":"Iván","non-dropping-particle":"","parse-names":false,"suffix":""},{"dropping-particle":"","family":"Jiménez","given":"Sergio L.","non-dropping-particle":"","parse-names":false,"suffix":""},{"dropping-particle":"","family":"Muñóz-López","given":"Mario","non-dropping-particle":"","parse-names":false,"suffix":""}],"container-title":"Frontiers in Physiology","id":"ITEM-2","issued":{"date-parts":[["2017","8","28"]]},"page":"649","title":"Analysis of Wearable and Smartphone-Based Technologies for the Measurement of Barbell Velocity in Different Resistance Training Exercises","type":"article-journal","volume":"8"},"uris":["http://www.mendeley.com/documents/?uuid=15a9a6c5-65fa-31e9-9ba0-8864bf29032b"]}],"mendeley":{"formattedCitation":"(Carlos Balsalobre-Fernández et al., 2017, 2016)"},"properties":{"noteIndex":0},"schema":"https://github.com/citation-style-language/schema/raw/master/csl-citation.json"}</w:instrText>
      </w:r>
      <w:r>
        <w:fldChar w:fldCharType="separate"/>
      </w:r>
      <w:r>
        <w:rPr>
          <w:noProof/>
        </w:rPr>
        <w:t>(</w:t>
      </w:r>
      <w:r w:rsidRPr="003A204E">
        <w:rPr>
          <w:noProof/>
        </w:rPr>
        <w:t>Balsalobre-Fernández et al., 2017, 2016)</w:t>
      </w:r>
      <w:r>
        <w:fldChar w:fldCharType="end"/>
      </w:r>
      <w:r>
        <w:t xml:space="preserve">. </w:t>
      </w:r>
      <w:r w:rsidRPr="00427631">
        <w:rPr>
          <w:highlight w:val="yellow"/>
        </w:rPr>
        <w:t>MIRAR VALIDACIONES COMO SE HAN HECHO Y ESPECIFICAR</w:t>
      </w:r>
    </w:p>
    <w:p w:rsidR="00777692" w:rsidRPr="000F6E29" w:rsidRDefault="00777692" w:rsidP="00777692"/>
    <w:p w:rsidR="00777692" w:rsidRPr="00DF73B2" w:rsidRDefault="00777692" w:rsidP="00777692"/>
    <w:p w:rsidR="00777692" w:rsidRDefault="00777692" w:rsidP="00777692">
      <w:pPr>
        <w:keepNext/>
      </w:pPr>
      <w:r w:rsidRPr="008648EB">
        <w:rPr>
          <w:noProof/>
          <w:lang w:val="es-ES"/>
        </w:rPr>
        <w:lastRenderedPageBreak/>
        <w:drawing>
          <wp:inline distT="0" distB="0" distL="0" distR="0" wp14:anchorId="6CF98D8A" wp14:editId="3CB7CF5C">
            <wp:extent cx="5588000" cy="2578100"/>
            <wp:effectExtent l="0" t="0" r="0" b="0"/>
            <wp:docPr id="11" name="Imagen 8" descr="Descripción: Descripción: Descripción: Macintosh HD:Users:pilarsancheztregon:Desktop:TESIS-2:T-force.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8" descr="Descripción: Descripción: Descripción: Macintosh HD:Users:pilarsancheztregon:Desktop:TESIS-2:T-force.gif"/>
                    <pic:cNvPicPr>
                      <a:picLocks/>
                    </pic:cNvPicPr>
                  </pic:nvPicPr>
                  <pic:blipFill>
                    <a:blip r:embed="rId21">
                      <a:grayscl/>
                      <a:extLst>
                        <a:ext uri="{28A0092B-C50C-407E-A947-70E740481C1C}">
                          <a14:useLocalDpi xmlns:a14="http://schemas.microsoft.com/office/drawing/2010/main" val="0"/>
                        </a:ext>
                      </a:extLst>
                    </a:blip>
                    <a:srcRect/>
                    <a:stretch>
                      <a:fillRect/>
                    </a:stretch>
                  </pic:blipFill>
                  <pic:spPr bwMode="auto">
                    <a:xfrm>
                      <a:off x="0" y="0"/>
                      <a:ext cx="5588000" cy="2578100"/>
                    </a:xfrm>
                    <a:prstGeom prst="rect">
                      <a:avLst/>
                    </a:prstGeom>
                    <a:noFill/>
                    <a:ln>
                      <a:noFill/>
                    </a:ln>
                  </pic:spPr>
                </pic:pic>
              </a:graphicData>
            </a:graphic>
          </wp:inline>
        </w:drawing>
      </w:r>
    </w:p>
    <w:p w:rsidR="00777692" w:rsidRDefault="00777692" w:rsidP="00777692">
      <w:pPr>
        <w:pStyle w:val="Descripcin"/>
      </w:pPr>
      <w:bookmarkStart w:id="23" w:name="_Toc401568576"/>
      <w:r w:rsidRPr="003E45E3">
        <w:rPr>
          <w:b/>
        </w:rPr>
        <w:t xml:space="preserve">Figura </w:t>
      </w:r>
      <w:r w:rsidRPr="003E45E3">
        <w:rPr>
          <w:b/>
        </w:rPr>
        <w:fldChar w:fldCharType="begin"/>
      </w:r>
      <w:r w:rsidRPr="003E45E3">
        <w:rPr>
          <w:b/>
        </w:rPr>
        <w:instrText xml:space="preserve"> </w:instrText>
      </w:r>
      <w:r>
        <w:rPr>
          <w:b/>
        </w:rPr>
        <w:instrText>SEQ</w:instrText>
      </w:r>
      <w:r w:rsidRPr="003E45E3">
        <w:rPr>
          <w:b/>
        </w:rPr>
        <w:instrText xml:space="preserve"> Figura \* ARABIC </w:instrText>
      </w:r>
      <w:r w:rsidRPr="003E45E3">
        <w:rPr>
          <w:b/>
        </w:rPr>
        <w:fldChar w:fldCharType="separate"/>
      </w:r>
      <w:r>
        <w:rPr>
          <w:b/>
          <w:noProof/>
        </w:rPr>
        <w:t>12</w:t>
      </w:r>
      <w:r w:rsidRPr="003E45E3">
        <w:rPr>
          <w:b/>
        </w:rPr>
        <w:fldChar w:fldCharType="end"/>
      </w:r>
      <w:r w:rsidRPr="003E45E3">
        <w:rPr>
          <w:b/>
        </w:rPr>
        <w:t>.</w:t>
      </w:r>
      <w:r w:rsidRPr="003E45E3">
        <w:t xml:space="preserve"> </w:t>
      </w:r>
      <w:r>
        <w:t>Ejemplificación del uso del dinamómetro inercial T-Force, para evaluar la potencia y la velocidad. Extraído de Gómez-Píriz et al., (2012).</w:t>
      </w:r>
      <w:bookmarkEnd w:id="23"/>
    </w:p>
    <w:p w:rsidR="00777692" w:rsidRDefault="00777692" w:rsidP="00777692"/>
    <w:p w:rsidR="00777692" w:rsidRDefault="00777692" w:rsidP="00777692">
      <w:r>
        <w:t>Con toda esta información, los métodos modernos de entrenamiento de Fmáx, justifican su aparición para evitar cualquier pérdida de velocidad que pueda interferir sobre la eficacia de las sesiones, incluso de las planificaciones. Con el fin de optimizar el rendimiento aparecen los siguientes métodos:</w:t>
      </w:r>
    </w:p>
    <w:p w:rsidR="00777692" w:rsidRDefault="00777692" w:rsidP="00777692"/>
    <w:p w:rsidR="00777692" w:rsidRDefault="00777692" w:rsidP="00777692"/>
    <w:p w:rsidR="00777692" w:rsidRDefault="00777692" w:rsidP="00777692">
      <w:pPr>
        <w:numPr>
          <w:ilvl w:val="0"/>
          <w:numId w:val="6"/>
        </w:numPr>
        <w:ind w:left="567"/>
        <w:contextualSpacing/>
      </w:pPr>
      <w:r>
        <w:rPr>
          <w:b/>
        </w:rPr>
        <w:t>M</w:t>
      </w:r>
      <w:r w:rsidRPr="001D04CB">
        <w:rPr>
          <w:b/>
        </w:rPr>
        <w:t>étodo de periodización en bloques</w:t>
      </w:r>
      <w:r>
        <w:rPr>
          <w:b/>
        </w:rPr>
        <w:t xml:space="preserve"> (MPB): </w:t>
      </w:r>
      <w:r>
        <w:t xml:space="preserve"> se centra en la ejecución de bloques especializados, donde se trabaje un mínimo de habilidades técnicas y motoras </w:t>
      </w:r>
      <w:r>
        <w:fldChar w:fldCharType="begin" w:fldLock="1"/>
      </w:r>
      <w:r>
        <w:instrText>ADDIN CSL_CITATION {"citationItems":[{"id":"ITEM-1","itemData":{"ISSN":"0022-4707","PMID":"18212712","abstract":"The basis of contemporary training theory were founded a few decades ago when knowledge was far from complete and workload levels, athletic results and demands were much lower than now. Traditional training periodization, i.e. the division of the seasonal program into smaller periods and training cycles, was proposed at that time and became a universal and monopolistic approach to training planning and analysis. Further sport progress emphasized the limitations and drawbacks of traditional periodization with regard to the preparation of contemporary top-level athletes and their demands. Major contradictions between traditional theory and practice needs appeared as 1) an inability to provide multi peak performances during the season; 2) the drawbacks of long lasting mixed training programs; 3) negative interactions of non-compatible workloads that induced conflicting training responses; and 4) insufficient training stimuli to help highly qualified athletes to progress, as a result of mixed training. The trials and successful experiences of prominent coaches and researchers led to alternative training concepts and, ultimately, to a reformed training approach that was called block periodization (BP). Its general idea suggests the use and sequencing of specialized mesocycle-blocks, where highly concentrated training workloads are focused on a minimal number of motor and technical abilities. Unlike traditional periodization, which usually tries to develop many abilities simultaneously, the block concept suggests consecutive training stimulation of carefully selected fitness components. The rational sequencing of specialized mesocycle-blocks presupposes the exploitation and superimposition of residual training effects, an idea that has recently been conceptualized and studied. It is hypothesized that different types of mesocycle-blocks are suitable to various modes of biological adaptation, i.e. homeostatic regulation or a mechanism of general adaptation.","author":[{"dropping-particle":"","family":"Issurin","given":"V","non-dropping-particle":"","parse-names":false,"suffix":""}],"container-title":"The Journal of sports medicine and physical fitness","id":"ITEM-1","issue":"1","issued":{"date-parts":[["2008","3"]]},"page":"65-75","title":"Block periodization versus traditional training theory: a review.","type":"article-journal","volume":"48"},"uris":["http://www.mendeley.com/documents/?uuid=7896f08d-72a0-340a-86e2-099006b4bc8a"]}],"mendeley":{"formattedCitation":"(Issurin, 2008)","plainTextFormattedCitation":"(Issurin, 2008)","previouslyFormattedCitation":"(Issurin, 2008)"},"properties":{"noteIndex":0},"schema":"https://github.com/citation-style-language/schema/raw/master/csl-citation.json"}</w:instrText>
      </w:r>
      <w:r>
        <w:fldChar w:fldCharType="separate"/>
      </w:r>
      <w:r w:rsidRPr="00BC44F8">
        <w:rPr>
          <w:noProof/>
        </w:rPr>
        <w:t>(Issurin, 2008)</w:t>
      </w:r>
      <w:r>
        <w:fldChar w:fldCharType="end"/>
      </w:r>
      <w:r>
        <w:t xml:space="preserve">. </w:t>
      </w:r>
    </w:p>
    <w:p w:rsidR="00777692" w:rsidRDefault="00777692" w:rsidP="00777692">
      <w:pPr>
        <w:ind w:left="1080"/>
      </w:pPr>
    </w:p>
    <w:p w:rsidR="00777692" w:rsidRDefault="00777692" w:rsidP="00777692">
      <w:pPr>
        <w:ind w:left="567"/>
      </w:pPr>
      <w:r>
        <w:t xml:space="preserve">Este nuevo concepto de planificación, plantea que al realizar diferentes bloques o mesociclos dirigidos hacia habilidades concretas, con el fin de obtener adaptaciones biológicas generalizadas de gran aplicabilidad cotidiana </w:t>
      </w:r>
      <w:r>
        <w:fldChar w:fldCharType="begin" w:fldLock="1"/>
      </w:r>
      <w:r>
        <w:instrText>ADDIN CSL_CITATION {"citationItems":[{"id":"ITEM-1","itemData":{"DOI":"10.1007/s40279-015-0425-5","ISSN":"0112-1642","PMID":"26573916","abstract":"The present review introduces innovative concepts of training periodization and summarizes a large body of findings characterizing their potential benefits and possible limitations. Evidence-based analysis of the traditional periodization model led to elaboration of alternative versions of athletic preparation. These alternative versions postulated the superiority of training programs with a high concentration of selected workloads compared with traditionally designed plans directed at the concurrent development of many athletic abilities at low/medium workload concentration. The training cycles of highly concentrated specialized workloads were coined \"training blocks\" by experts and practitioners; correspondingly, the alternative versions were termed \"block periodized (BP) preparation systems\" by their presenters. Ultimately, two BP training models were proposed: a concentrated unidirectional training model (CU) and a multi-targeted BP approach to athletes' preparation. The first innovative version postulated administration of highly concentrated training means for enhancement of one leading fitness component, whereas the second version proposed the development of many targeted abilities within sequenced block mesocycles containing a minimal number of compatible training modalities. Both versions differ in their methodological background, duration and content of training blocks, possibilities of providing multi-peak performances, and applicability to various sports. In recent decades, many studies have evaluated the effects of both BP training versions in different sports. Examination of the training effects producing by the CU model in combat and team sports has found significant gains in various fitness estimates but not in sport-specific performances. Similarly, utilization of a CU program by elite swimmers did not lead to substantial enhancement of their peak performances. In contrast, studies of multi-targeted BP training programs have revealed their distinct superiority compared with traditional preparation in endurance, team, and dual sports, and strength/power training and recreational athletes (28 studies). It is suggested that the CU training strategy suits athletic disciplines demanding one fitness component like explosive strength in jumping performances. Unlike this limitation, the multi-targeted BP system prompted a beneficial increase of specific preparedness in sports and disciplines in which peak performances require the application of…","author":[{"dropping-particle":"","family":"Issurin","given":"V.","non-dropping-particle":"","parse-names":false,"suffix":""}],"container-title":"Sports Medicine","id":"ITEM-1","issue":"3","issued":{"date-parts":[["2016","3","16"]]},"page":"329-338","title":"Benefits and Limitations of Block Periodized Training Approaches to Athletes’ Preparation: A Review","type":"article-journal","volume":"46"},"uris":["http://www.mendeley.com/documents/?uuid=4663c1b9-a5b6-3efa-b878-f5c8ec7ad36d"]},{"id":"ITEM-2","itemData":{"ISSN":"0022-4707","PMID":"18212712","abstract":"The basis of contemporary training theory were founded a few decades ago when knowledge was far from complete and workload levels, athletic results and demands were much lower than now. Traditional training periodization, i.e. the division of the seasonal program into smaller periods and training cycles, was proposed at that time and became a universal and monopolistic approach to training planning and analysis. Further sport progress emphasized the limitations and drawbacks of traditional periodization with regard to the preparation of contemporary top-level athletes and their demands. Major contradictions between traditional theory and practice needs appeared as 1) an inability to provide multi peak performances during the season; 2) the drawbacks of long lasting mixed training programs; 3) negative interactions of non-compatible workloads that induced conflicting training responses; and 4) insufficient training stimuli to help highly qualified athletes to progress, as a result of mixed training. The trials and successful experiences of prominent coaches and researchers led to alternative training concepts and, ultimately, to a reformed training approach that was called block periodization (BP). Its general idea suggests the use and sequencing of specialized mesocycle-blocks, where highly concentrated training workloads are focused on a minimal number of motor and technical abilities. Unlike traditional periodization, which usually tries to develop many abilities simultaneously, the block concept suggests consecutive training stimulation of carefully selected fitness components. The rational sequencing of specialized mesocycle-blocks presupposes the exploitation and superimposition of residual training effects, an idea that has recently been conceptualized and studied. It is hypothesized that different types of mesocycle-blocks are suitable to various modes of biological adaptation, i.e. homeostatic regulation or a mechanism of general adaptation.","author":[{"dropping-particle":"","family":"Issurin","given":"V","non-dropping-particle":"","parse-names":false,"suffix":""}],"container-title":"The Journal of sports medicine and physical fitness","id":"ITEM-2","issue":"1","issued":{"date-parts":[["2008","3"]]},"page":"65-75","title":"Block periodization versus traditional training theory: a review.","type":"article-journal","volume":"48"},"uris":["http://www.mendeley.com/documents/?uuid=7896f08d-72a0-340a-86e2-099006b4bc8a"]}],"mendeley":{"formattedCitation":"(Issurin, 2008, 2016)","plainTextFormattedCitation":"(Issurin, 2008, 2016)","previouslyFormattedCitation":"(Issurin, 2008, 2016)"},"properties":{"noteIndex":0},"schema":"https://github.com/citation-style-language/schema/raw/master/csl-citation.json"}</w:instrText>
      </w:r>
      <w:r>
        <w:fldChar w:fldCharType="separate"/>
      </w:r>
      <w:r w:rsidRPr="00BC44F8">
        <w:rPr>
          <w:noProof/>
        </w:rPr>
        <w:t>(Issurin, 2008, 2016)</w:t>
      </w:r>
      <w:r>
        <w:fldChar w:fldCharType="end"/>
      </w:r>
    </w:p>
    <w:p w:rsidR="00777692" w:rsidRDefault="00777692" w:rsidP="00777692">
      <w:pPr>
        <w:ind w:left="1440"/>
      </w:pPr>
    </w:p>
    <w:p w:rsidR="00777692" w:rsidRDefault="00777692" w:rsidP="00777692">
      <w:pPr>
        <w:numPr>
          <w:ilvl w:val="0"/>
          <w:numId w:val="6"/>
        </w:numPr>
        <w:contextualSpacing/>
      </w:pPr>
      <w:r w:rsidRPr="001D04CB">
        <w:rPr>
          <w:b/>
        </w:rPr>
        <w:t xml:space="preserve">Método </w:t>
      </w:r>
      <w:r w:rsidRPr="00DD4059">
        <w:rPr>
          <w:b/>
        </w:rPr>
        <w:t>ondulatorio (MO):</w:t>
      </w:r>
      <w:r>
        <w:t xml:space="preserve"> consiste en realizar sesiones de distintas intensidades dentro de un mismo micro-ciclo de entrenamiento.</w:t>
      </w:r>
    </w:p>
    <w:p w:rsidR="00777692" w:rsidRDefault="00777692" w:rsidP="00777692">
      <w:pPr>
        <w:ind w:left="1440"/>
      </w:pPr>
    </w:p>
    <w:p w:rsidR="00777692" w:rsidRDefault="00777692" w:rsidP="00777692">
      <w:pPr>
        <w:ind w:left="644"/>
      </w:pPr>
      <w:r>
        <w:t xml:space="preserve">Este método se centra especialmente en la ganancia de Fmáx, aunque en muchas de las investigaciones realizadas no encuentran diferencias significativas con los métodos tradicionales comúnmente aplicados  </w:t>
      </w:r>
      <w:r>
        <w:fldChar w:fldCharType="begin" w:fldLock="1"/>
      </w:r>
      <w:r>
        <w:instrText>ADDIN CSL_CITATION {"citationItems":[{"id":"ITEM-1","itemData":{"DOI":"10.1055/s-0034-1398529","ISSN":"0172-4622","PMID":"25760153","abstract":"This study compared traditional (TP) and daily undulating (DUP) periodization on muscle strength, EMG-estimated neural drive and muscle architecture of the quadriceps femoris (QF). 10 non-athletic females (24.4±3.2 years) performed 14 weeks of isometric training for the QF exercising 1 leg using TP and the contralateral leg using DUP. Intensities varied from 60% to 80% of MVC and the intensity zones and training volume were equated for each leg. Knee extension MVC, maximal voluntary QF-EMG activity and vastus lateralis (VL) muscle architecture were measured in both legs before, after 6 weeks and after 14 weeks of training using dynamometry, surface EMG and ultrasonography. Isometric MVC and maximal QF-EMG remained unaltered after 6 weeks of training, but were significantly (P&lt;0.05) enhanced after 14 weeks in both legs (MVC: TP 24%, DUP 23%; QF-EMG: TP 45%, DUP 46%). VL-architecture remained unchanged following 6 weeks of training, but VL-muscle thickness (TP 17%, DUP 16%) and fascicle length (TP 16%, DUP 17%) displayed significant (P&lt;0.05) enlargements after 14 weeks in both legs. Importantly, these temporal neuromuscular alterations displayed no significant differences between the training legs. Therefore, periodization may not act as a key trigger for neuromuscular adaptations.","author":[{"dropping-particle":"","family":"Ullrich","given":"B.","non-dropping-particle":"","parse-names":false,"suffix":""},{"dropping-particle":"","family":"Holzinger","given":"S.","non-dropping-particle":"","parse-names":false,"suffix":""},{"dropping-particle":"","family":"Soleimani","given":"M.","non-dropping-particle":"","parse-names":false,"suffix":""},{"dropping-particle":"","family":"Pelzer","given":"T.","non-dropping-particle":"","parse-names":false,"suffix":""},{"dropping-particle":"","family":"Stening","given":"J.","non-dropping-particle":"","parse-names":false,"suffix":""},{"dropping-particle":"","family":"Pfeiffer","given":"M.","non-dropping-particle":"","parse-names":false,"suffix":""}],"container-title":"International Journal of Sports Medicine","id":"ITEM-1","issue":"07","issued":{"date-parts":[["2015","3","11"]]},"page":"554-562","title":"Neuromuscular Responses to 14 Weeks of Traditional and Daily Undulating Resistance Training","type":"article-journal","volume":"36"},"uris":["http://www.mendeley.com/documents/?uuid=b62bfad5-9a08-3dda-b01a-9c83004c8d5e"]},{"id":"ITEM-2","itemData":{"DOI":"10.1519/JSC.0000000000001305","ISSN":"1064-8011","author":[{"dropping-particle":"","family":"Ullrich","given":"B.","non-dropping-particle":"","parse-names":false,"suffix":""},{"dropping-particle":"","family":"Pelzer","given":"Thiemo","non-dropping-particle":"","parse-names":false,"suffix":""},{"dropping-particle":"","family":"Oliveira","given":"Sergio","non-dropping-particle":"","parse-names":false,"suffix":""},{"dropping-particle":"","family":"Pfeiffer","given":"Mark","non-dropping-particle":"","parse-names":false,"suffix":""}],"container-title":"Journal of Strength and Conditioning Research","id":"ITEM-2","issue":"8","issued":{"date-parts":[["2016","8"]]},"page":"2083-2099","title":"Neuromuscular Responses to Short-Term Resistance Training With Traditional and Daily Undulating Periodization in Adolescent Elite Judoka","type":"article-journal","volume":"30"},"uris":["http://www.mendeley.com/documents/?uuid=c571c021-17b5-395d-8e0f-c53685f47fdc"]},{"id":"ITEM-3","itemData":{"DOI":"10.1016/j.jsams.2015.01.007","ISSN":"1878-1861","PMID":"25709054","abstract":"OBJECTIVES To determine changes in maximal strength between two different resistance training progression models, linear (LP) and daily undulating (DUP), over a 12-week resistance training programme in sub-elite adolescent rugby union players. DESIGN The study used a quasi-experimental study design. Following baseline assessments, participants from Squad 1 were randomised to either LP or DUP; participants from Squad 2 formed a non-randomised comparison group (CON). METHODS Participants were 26 sub-elite adolescent rugby union players who were assessed at baseline and after 12 weeks. Outcomes included 5 repetition maximum (RM) box squat and bench press, height, body weight, skeletal muscle mass, percentage body fat and maturation status. RESULTS Participants in both the LP and DUP groups significantly increased their squat and bench press strength from baseline to 12 weeks. There were no significant differences between groups for squat and bench press increases after 12 weeks (p&gt;0.05). No significant increases in squat or bench press strength were observed after 12 weeks in the CON group. Increases in lower body strength were large in the LP group (ES: 1.64) and very large in the DUP group (ES: 2.33). Upper body strength changes were small in both groups (LP, ES: 0.57; DUP, ES: 0.31). CONCLUSIONS Twelve weeks of LP or DUP resistance training are both effective at increasing maximal lower and upper body strength in adolescent rugby athletes. Additionally, twice weekly frequency of resistance training in adolescent rugby athletes with greater than 6-months resistance training experience is sufficient to elicit substantial increases in maximal strength.","author":[{"dropping-particle":"","family":"Harries","given":"Simon K","non-dropping-particle":"","parse-names":false,"suffix":""},{"dropping-particle":"","family":"Lubans","given":"David R","non-dropping-particle":"","parse-names":false,"suffix":""},{"dropping-particle":"","family":"Callister","given":"Robin","non-dropping-particle":"","parse-names":false,"suffix":""}],"container-title":"Journal of science and medicine in sport","id":"ITEM-3","issue":"2","issued":{"date-parts":[["2016","2"]]},"page":"163-9","title":"Comparison of resistance training progression models on maximal strength in sub-elite adolescent rugby union players.","type":"article-journal","volume":"19"},"uris":["http://www.mendeley.com/documents/?uuid=679b31e3-b10e-31a2-9a52-c20b47528240"]}],"mendeley":{"formattedCitation":"(Harries, Lubans, &amp; Callister, 2016; Ullrich et al., 2015; Ullrich, Pelzer, Oliveira, &amp; Pfeiffer, 2016)"},"properties":{"noteIndex":0},"schema":"https://github.com/citation-style-language/schema/raw/master/csl-citation.json"}</w:instrText>
      </w:r>
      <w:r>
        <w:fldChar w:fldCharType="separate"/>
      </w:r>
      <w:r w:rsidRPr="003A204E">
        <w:rPr>
          <w:noProof/>
        </w:rPr>
        <w:t>(Harries, Lubans, &amp; Callister, 2016; Ullrich et al., 2015; Ullrich, Pelzer, Oliveira, &amp; Pfeiffer, 2016)</w:t>
      </w:r>
      <w:r>
        <w:fldChar w:fldCharType="end"/>
      </w:r>
    </w:p>
    <w:p w:rsidR="00777692" w:rsidRDefault="00777692" w:rsidP="00777692"/>
    <w:p w:rsidR="00777692" w:rsidRDefault="00777692" w:rsidP="00777692">
      <w:pPr>
        <w:numPr>
          <w:ilvl w:val="0"/>
          <w:numId w:val="6"/>
        </w:numPr>
        <w:contextualSpacing/>
      </w:pPr>
      <w:r>
        <w:rPr>
          <w:b/>
        </w:rPr>
        <w:t xml:space="preserve">Método de </w:t>
      </w:r>
      <w:r w:rsidRPr="001D04CB">
        <w:rPr>
          <w:b/>
        </w:rPr>
        <w:t>acomodación</w:t>
      </w:r>
      <w:r>
        <w:rPr>
          <w:b/>
        </w:rPr>
        <w:t xml:space="preserve"> (MA): </w:t>
      </w:r>
      <w:r>
        <w:t>uso de cadenas pesadas o bandas elásticas en los extremos de la barra que ofrece resistencia, para provocar un incremento progresivo de la carga.</w:t>
      </w:r>
    </w:p>
    <w:p w:rsidR="00777692" w:rsidRDefault="00777692" w:rsidP="00777692"/>
    <w:p w:rsidR="00777692" w:rsidRDefault="00777692" w:rsidP="00777692">
      <w:pPr>
        <w:ind w:left="644"/>
      </w:pPr>
      <w:r>
        <w:t xml:space="preserve">El MA, nace como método para crear mayor inestabilidad y mayor carga psicológica en las sesiones, para generar mayores adaptaciones sobre le SNC </w:t>
      </w:r>
      <w:r>
        <w:fldChar w:fldCharType="begin" w:fldLock="1"/>
      </w:r>
      <w:r>
        <w:instrText>ADDIN CSL_CITATION {"citationItems":[{"id":"ITEM-1","itemData":{"DOI":"10.1519/R-17154.1","ISSN":"1064-8011","PMID":"17194230","abstract":"The purpose of this study was to determine whether the addition of chains to a barbell during the performance of the snatch would invoke differences in execution compared with lifting a conventional barbell without chains. Additionally, subjects were asked whether they perceived that the addition of chains had effects on their performance, and, if so, what those effects were. Four male and 3 female competitive weightlifters who regularly used chains as part of their training programs participated in the study. They were compared lifting 80% of 1 repetition maximum (1RM) using conventional barbells with 80% of 1RM, 5% of which was accounted for by chains. The same procedure was used with 85% of 1RM. Variables examined included maximum vertical displacement of the bar, maximum bar velocity, rate of force production of the bar, and vertical ground reaction forces for the first pull, unweighting, and second pull phases of the lift. Results indicated that there were no statistically significant differences between the chain vs. no-chain conditions at either 80% or 85% of 1RM. In contrast, 100% of the subjects stated that they perceived that the addition of chains made them work harder during the snatch. They suggested that the chains forced them to pull harder throughout the lift and that oscillation of the chains required their shoulders, abdominals, and back to work harder to stabilize the bar in the catch phase. Although statistical results indicate that chains have no influence on the snatch technique, chains may have a psychological impact and possibly invoke a physiological training response by increasing strength of muscles required to stabilize the bar during the catch phase if used over time.","author":[{"dropping-particle":"","family":"Coker","given":"Cheryl A.","non-dropping-particle":"","parse-names":false,"suffix":""},{"dropping-particle":"","family":"Berning","given":"Joseph M.","non-dropping-particle":"","parse-names":false,"suffix":""},{"dropping-particle":"","family":"Briggs","given":"Doug L.","non-dropping-particle":"","parse-names":false,"suffix":""}],"container-title":"The Journal of Strength and Conditioning Research","id":"ITEM-1","issue":"4","issued":{"date-parts":[["2006","11"]]},"page":"887","title":"A Preliminary Investigation of the Biomechanical and Perceptual Influence of Chain Resistance on the Performance of the Snatch","type":"article-journal","volume":"20"},"uris":["http://www.mendeley.com/documents/?uuid=aa007ea0-a945-379b-9c77-8c2756557aed"]}],"mendeley":{"formattedCitation":"(Coker et al., 2006)","plainTextFormattedCitation":"(Coker et al., 2006)","previouslyFormattedCitation":"(Coker et al., 2006)"},"properties":{"noteIndex":0},"schema":"https://github.com/citation-style-language/schema/raw/master/csl-citation.json"}</w:instrText>
      </w:r>
      <w:r>
        <w:fldChar w:fldCharType="separate"/>
      </w:r>
      <w:r w:rsidRPr="00895E6B">
        <w:rPr>
          <w:noProof/>
        </w:rPr>
        <w:t>(Coker et al., 2006)</w:t>
      </w:r>
      <w:r>
        <w:fldChar w:fldCharType="end"/>
      </w:r>
      <w:r>
        <w:t xml:space="preserve">. Centrado en la ganancia de Fmáx específicamente, no ha conseguido respetar las velocidades adecuadas, éste produce descensos de velocidad y de potencia significativamente </w:t>
      </w:r>
      <w:r>
        <w:fldChar w:fldCharType="begin" w:fldLock="1"/>
      </w:r>
      <w:r>
        <w:instrText>ADDIN CSL_CITATION {"citationItems":[{"id":"ITEM-1","itemData":{"DOI":"10.1519/JSC.0b013e318212e389","ISSN":"1064-8011","PMID":"21993040","abstract":"The purpose of this study was to investigate whether the deadlift could be effectively incorporated with explosive resistance training (ERT) and to investigate whether the inclusion of chains enhanced the suitability of the deadlift for ERT. Twenty-three resistance trained athletes performed the deadlift with 30, 50, and 70% 1-repetition maximum (1RM) loads at submaximal velocity, maximal velocity (MAX), and MAX with the inclusion of 2 chain loads equal to 20 or 40% of the subjects' 1RM. All trials were performed on force platforms with markers attached to the barbell to calculate velocity and acceleration using a motion capture system. Significant increases in force, velocity, power, rate of force development, and length of the acceleration phase (p &lt; 0.05) were obtained when repetition velocity increased from submaximal to maximal. During MAX repetitions with a constant resistance, the mean length of the acceleration phase ranged from 73.2 (±7.2%) to 84.9 (±12.2%) of the overall movement. Compared to using a constant resistance, the inclusion of chains enabled greater force to be maintained to the end of the concentric action and significantly increased peak force and impulse (p &lt; 0.05), while concurrently decreasing velocity, power, and rate of force development (p &lt; 0.05). The effects of chains were influenced by the magnitude of the chain and barbell resistance, with greater increases and decreases in mechanical variables obtained when heavier chain and barbell loads were used. The results of the investigation suggest that the deadlift can be incorporated effectively in ERT programs. Coaches and athletes should be aware that the inclusion of heavy chains may have both positive and negative effects on kinematics and kinetics of an exercise.","author":[{"dropping-particle":"","family":"Swinton","given":"Paul A","non-dropping-particle":"","parse-names":false,"suffix":""},{"dropping-particle":"","family":"Stewart","given":"Arthur D","non-dropping-particle":"","parse-names":false,"suffix":""},{"dropping-particle":"","family":"Keogh","given":"Justin WL","non-dropping-particle":"","parse-names":false,"suffix":""},{"dropping-particle":"","family":"Agouris","given":"Ioannis","non-dropping-particle":"","parse-names":false,"suffix":""},{"dropping-particle":"","family":"Lloyd","given":"Ray","non-dropping-particle":"","parse-names":false,"suffix":""}],"container-title":"Journal of Strength and Conditioning Research","id":"ITEM-1","issue":"11","issued":{"date-parts":[["2011","11"]]},"page":"3163-3174","title":"Kinematic and Kinetic Analysis of Maximal Velocity Deadlifts Performed With and Without the Inclusion of Chain Resistance","type":"article-journal","volume":"25"},"uris":["http://www.mendeley.com/documents/?uuid=b04dddb4-981a-3d6b-8b9f-3c345b9af40a"]}],"mendeley":{"formattedCitation":"(Swinton, Stewart, Keogh, Agouris, &amp; Lloyd, 2011)","plainTextFormattedCitation":"(Swinton, Stewart, Keogh, Agouris, &amp; Lloyd, 2011)","previouslyFormattedCitation":"(Swinton, Stewart, Keogh, Agouris, &amp; Lloyd, 2011)"},"properties":{"noteIndex":0},"schema":"https://github.com/citation-style-language/schema/raw/master/csl-citation.json"}</w:instrText>
      </w:r>
      <w:r>
        <w:fldChar w:fldCharType="separate"/>
      </w:r>
      <w:r w:rsidRPr="0005057C">
        <w:rPr>
          <w:noProof/>
        </w:rPr>
        <w:t>(Swinton, Stewart, Keogh, Agouris, &amp; Lloyd, 2011)</w:t>
      </w:r>
      <w:r>
        <w:fldChar w:fldCharType="end"/>
      </w:r>
      <w:r>
        <w:t>.</w:t>
      </w:r>
    </w:p>
    <w:p w:rsidR="00777692" w:rsidRDefault="00777692" w:rsidP="00777692">
      <w:pPr>
        <w:ind w:left="1482"/>
      </w:pPr>
    </w:p>
    <w:p w:rsidR="00777692" w:rsidRDefault="00777692" w:rsidP="00777692">
      <w:pPr>
        <w:numPr>
          <w:ilvl w:val="0"/>
          <w:numId w:val="6"/>
        </w:numPr>
        <w:contextualSpacing/>
      </w:pPr>
      <w:r>
        <w:rPr>
          <w:b/>
        </w:rPr>
        <w:t>Método</w:t>
      </w:r>
      <w:r w:rsidRPr="001D04CB">
        <w:rPr>
          <w:b/>
        </w:rPr>
        <w:t xml:space="preserve"> </w:t>
      </w:r>
      <w:r w:rsidRPr="001D04CB">
        <w:rPr>
          <w:b/>
          <w:i/>
        </w:rPr>
        <w:t>Cluster</w:t>
      </w:r>
      <w:r>
        <w:rPr>
          <w:b/>
          <w:i/>
        </w:rPr>
        <w:t xml:space="preserve"> </w:t>
      </w:r>
      <w:r>
        <w:rPr>
          <w:b/>
        </w:rPr>
        <w:t>(MC)</w:t>
      </w:r>
      <w:r>
        <w:rPr>
          <w:b/>
          <w:i/>
        </w:rPr>
        <w:t xml:space="preserve">: </w:t>
      </w:r>
      <w:r>
        <w:t>la importancia del control de la velocidad, es el justificante principal de la aparición de este nuevo método.</w:t>
      </w:r>
    </w:p>
    <w:p w:rsidR="00777692" w:rsidRDefault="00777692" w:rsidP="00777692"/>
    <w:p w:rsidR="00777692" w:rsidRDefault="00777692" w:rsidP="00777692">
      <w:pPr>
        <w:ind w:left="644"/>
      </w:pPr>
      <w:r>
        <w:t xml:space="preserve">El MC, se denomina de esa forma debido al control de las recuperaciones. Con el fin de mantener la velocidad y la potencia óptimas durante cada una de las repeticiones, se incorporan pequeños descanso entre ellas que hacen que éstas no desciendan gravemente y aumente la Fmáx </w:t>
      </w:r>
      <w:r>
        <w:fldChar w:fldCharType="begin" w:fldLock="1"/>
      </w:r>
      <w:r>
        <w:instrText>ADDIN CSL_CITATION {"citationItems":[{"id":"ITEM-1","itemData":{"author":[{"dropping-particle":"","family":"Balsalobre Carlos","given":"Jiménez-Reyes Pedro","non-dropping-particle":"","parse-names":false,"suffix":""}],"edition":"1ª","id":"ITEM-1","issued":{"date-parts":[["2014"]]},"publisher-place":"España","title":"Entrenamiento de Fuerza, Nuevas Perspectivas Metodológicas","type":"book"},"uris":["http://www.mendeley.com/documents/?uuid=6ed80e0f-16ec-3e46-b84c-681149cb2490"]},{"id":"ITEM-2","itemData":{"DOI":"10.1080/02640414.2015.1119299","ISSN":"0264-0414","PMID":"26630355","abstract":"This study compared the functional and neural effects of two strength training programmes differing in set configuration. Thirteen participants performed 10 sessions, over a period of 5 weeks, of unilateral leg extensions with different set configurations but with identical work-to-rest ratios for each limb: a traditional configuration (4 sets of 8 repetitions, 10RM load, 3-min pause between sets) and an inter-repetition rest configuration (32 repetitions, 10RM load, 17.4 s of rest between each repetition). Mean propulsive velocity of the traditional sessions was lower than for inter-repetition rest sessions (0.48 ± 0.06 vs. 0.54 ± 0.06 m · s(-1); P &lt; 0.001), while perceived exertion was higher (8.3 ± 0.9 and 6.56 ± 1.6 for traditional training and IRT; P = 0.002). One repetition maximum (RM), work with 10RM load, maximum mean propulsive power, maximum voluntary contraction and time to failure with 50% of maximum isometric force improved similarly in both legs (time effect, P &lt; 0.001; effect size range, 0.451-1.190). Time and set configuration did not show significant main effects or interactions for cortical adaptations (motor-evoked potentials, short-interval intracortical inhibition, intracortical facilitation). There were no significant correlations between changes in cortical and peripheral neural adaptations and strength improvement. In conclusion, inter-repetition rest configuration was as effective as traditional training in improving muscle performance.","author":[{"dropping-particle":"","family":"Iglesias-Soler","given":"Eliseo","non-dropping-particle":"","parse-names":false,"suffix":""},{"dropping-particle":"","family":"Mayo","given":"Xián","non-dropping-particle":"","parse-names":false,"suffix":""},{"dropping-particle":"","family":"Río-Rodríguez","given":"Dan","non-dropping-particle":"","parse-names":false,"suffix":""},{"dropping-particle":"","family":"Carballeira","given":"Eduardo","non-dropping-particle":"","parse-names":false,"suffix":""},{"dropping-particle":"","family":"Fariñas","given":"Juan","non-dropping-particle":"","parse-names":false,"suffix":""},{"dropping-particle":"","family":"Fernández-Del-Olmo","given":"Miguel","non-dropping-particle":"","parse-names":false,"suffix":""}],"container-title":"Journal of Sports Sciences","id":"ITEM-2","issue":"15","issued":{"date-parts":[["2016","8","2"]]},"page":"1473-1484","title":"Inter-repetition rest training and traditional set configuration produce similar strength gains without cortical adaptations","type":"article-journal","volume":"34"},"uris":["http://www.mendeley.com/documents/?uuid=9e4d9f1c-67c5-3ae1-afef-8f630a3c5572"]}],"mendeley":{"formattedCitation":"(Balsalobre Carlos, 2014; Iglesias-Soler et al., 2016b)"},"properties":{"noteIndex":0},"schema":"https://github.com/citation-style-language/schema/raw/master/csl-citation.json"}</w:instrText>
      </w:r>
      <w:r>
        <w:fldChar w:fldCharType="separate"/>
      </w:r>
      <w:r>
        <w:rPr>
          <w:noProof/>
        </w:rPr>
        <w:t>(Balsalobre</w:t>
      </w:r>
      <w:r w:rsidRPr="003A204E">
        <w:rPr>
          <w:noProof/>
        </w:rPr>
        <w:t>, 2014; Iglesias-Soler et al., 2016b)</w:t>
      </w:r>
      <w:r>
        <w:fldChar w:fldCharType="end"/>
      </w:r>
      <w:r>
        <w:t>.</w:t>
      </w:r>
    </w:p>
    <w:p w:rsidR="00777692" w:rsidRPr="00A25BC4" w:rsidRDefault="00777692" w:rsidP="00777692"/>
    <w:p w:rsidR="00777692" w:rsidRDefault="00777692" w:rsidP="00777692">
      <w:r>
        <w:t>Las nuevas tendencias en el entrenamiento, siempre alteran distintos parámetros tradicionales en busca de la eficiencia. Todas ellas aportan aspectos de interés que pueden tener gran aplicabilidad dependiendo del objetivo buscado. A continuación, se describen más ampliamente estos métodos, aunque es el MC el que más interés causa en la actualidad, por su gran relación con la velocidad de ejecución.</w:t>
      </w:r>
    </w:p>
    <w:p w:rsidR="00777692" w:rsidRDefault="00777692" w:rsidP="00777692"/>
    <w:p w:rsidR="00777692" w:rsidRPr="007069A3" w:rsidRDefault="00777692" w:rsidP="00777692">
      <w:pPr>
        <w:pStyle w:val="Ttulo3"/>
        <w:numPr>
          <w:ilvl w:val="0"/>
          <w:numId w:val="0"/>
        </w:numPr>
        <w:ind w:left="504" w:hanging="504"/>
      </w:pPr>
      <w:bookmarkStart w:id="24" w:name="_Toc401143709"/>
      <w:bookmarkStart w:id="25" w:name="_Toc401557286"/>
      <w:r w:rsidRPr="007069A3">
        <w:t>1.4.2.1. Método de periodización en bloques (MPB)</w:t>
      </w:r>
      <w:bookmarkEnd w:id="24"/>
      <w:bookmarkEnd w:id="25"/>
    </w:p>
    <w:p w:rsidR="00777692" w:rsidRDefault="00777692" w:rsidP="00777692"/>
    <w:p w:rsidR="00777692" w:rsidRDefault="00777692" w:rsidP="00777692">
      <w:r>
        <w:t xml:space="preserve">El MPB, aparece con el fin de subsanar las limitaciones de los métodos tradicionales de planificación, sobre todo en referencia a la preparación física de deportistas de élite. Estas limitaciones o desventajas son, entre otras </w:t>
      </w:r>
      <w:r>
        <w:fldChar w:fldCharType="begin" w:fldLock="1"/>
      </w:r>
      <w:r>
        <w:instrText>ADDIN CSL_CITATION {"citationItems":[{"id":"ITEM-1","itemData":{"ISSN":"0022-4707","PMID":"18212712","abstract":"The basis of contemporary training theory were founded a few decades ago when knowledge was far from complete and workload levels, athletic results and demands were much lower than now. Traditional training periodization, i.e. the division of the seasonal program into smaller periods and training cycles, was proposed at that time and became a universal and monopolistic approach to training planning and analysis. Further sport progress emphasized the limitations and drawbacks of traditional periodization with regard to the preparation of contemporary top-level athletes and their demands. Major contradictions between traditional theory and practice needs appeared as 1) an inability to provide multi peak performances during the season; 2) the drawbacks of long lasting mixed training programs; 3) negative interactions of non-compatible workloads that induced conflicting training responses; and 4) insufficient training stimuli to help highly qualified athletes to progress, as a result of mixed training. The trials and successful experiences of prominent coaches and researchers led to alternative training concepts and, ultimately, to a reformed training approach that was called block periodization (BP). Its general idea suggests the use and sequencing of specialized mesocycle-blocks, where highly concentrated training workloads are focused on a minimal number of motor and technical abilities. Unlike traditional periodization, which usually tries to develop many abilities simultaneously, the block concept suggests consecutive training stimulation of carefully selected fitness components. The rational sequencing of specialized mesocycle-blocks presupposes the exploitation and superimposition of residual training effects, an idea that has recently been conceptualized and studied. It is hypothesized that different types of mesocycle-blocks are suitable to various modes of biological adaptation, i.e. homeostatic regulation or a mechanism of general adaptation.","author":[{"dropping-particle":"","family":"Issurin","given":"V","non-dropping-particle":"","parse-names":false,"suffix":""}],"container-title":"The Journal of sports medicine and physical fitness","id":"ITEM-1","issue":"1","issued":{"date-parts":[["2008","3"]]},"page":"65-75","title":"Block periodization versus traditional training theory: a review.","type":"article-journal","volume":"48"},"uris":["http://www.mendeley.com/documents/?uuid=7896f08d-72a0-340a-86e2-099006b4bc8a"]},{"id":"ITEM-2","itemData":{"DOI":"10.2165/11319770-000000000-00000","ISSN":"0112-1642","PMID":"20199119","abstract":"The theory of training was established about five decades ago when knowledge of athletes' preparation was far from complete and the biological background was based on a relatively small amount of objective research findings. At that time, traditional 'training periodization', a division of the entire seasonal programme into smaller periods and training units, was proposed and elucidated. Since then, international sport and sport science have experienced tremendous changes, while the traditional training periodization has remained at more or less the same level as the published studies of the initial publications. As one of the most practically oriented components of theory, training periodization is intended to offer coaches basic guidelines for structuring and planning training. However, during recent decades contradictions between the traditional model of periodization and the demands of high-performance sport practice have inevitably developed. The main limitations of traditional periodization stemmed from: (i) conflicting physiological responses produced by 'mixed' training directed at many athletic abilities; (ii) excessive fatigue elicited by prolonged periods of multi-targeted training; (iii) insufficient training stimulation induced by workloads of medium and low concentration typical of 'mixed' training; and (iv) the inability to provide multi-peak performances over the season. The attempts to overcome these limitations led to development of alternative periodization concepts. The recently developed block periodization model offers an alternative revamped approach for planning the training of high-performance athletes. Its general idea proposes the sequencing of specialized training cycles, i.e. blocks, which contain highly concentrated workloads directed to a minimal number of targeted abilities. Unlike the traditional model, in which the simultaneous development of many athletic abilities predominates, block-periodized training presupposes the consecutive development of reasonably selected target abilities. The content of block-periodized training is set down in its general principles, a taxonomy of mesocycle blocks, and guidelines for compiling an annual plan.","author":[{"dropping-particle":"","family":"Issurin","given":"V","non-dropping-particle":"","parse-names":false,"suffix":""}],"container-title":"Sports Medicine","id":"ITEM-2","issue":"3","issued":{"date-parts":[["2010","3","1"]]},"page":"189-206","title":"New Horizons for the Methodology and Physiology of Training Periodization","type":"article-journal","volume":"40"},"uris":["http://www.mendeley.com/documents/?uuid=52363d4f-9a57-3154-b299-51e6186416f0"]}],"mendeley":{"formattedCitation":"(Issurin, 2008, 2010)","plainTextFormattedCitation":"(Issurin, 2008, 2010)","previouslyFormattedCitation":"(Issurin, 2008, 2010)"},"properties":{"noteIndex":0},"schema":"https://github.com/citation-style-language/schema/raw/master/csl-citation.json"}</w:instrText>
      </w:r>
      <w:r>
        <w:fldChar w:fldCharType="separate"/>
      </w:r>
      <w:r w:rsidRPr="00BC44F8">
        <w:rPr>
          <w:noProof/>
        </w:rPr>
        <w:t>(Issurin, 2008, 2010)</w:t>
      </w:r>
      <w:r>
        <w:fldChar w:fldCharType="end"/>
      </w:r>
      <w:r>
        <w:t>.</w:t>
      </w:r>
    </w:p>
    <w:p w:rsidR="00777692" w:rsidRDefault="00777692" w:rsidP="00777692"/>
    <w:p w:rsidR="00777692" w:rsidRDefault="00777692" w:rsidP="00777692">
      <w:pPr>
        <w:numPr>
          <w:ilvl w:val="0"/>
          <w:numId w:val="7"/>
        </w:numPr>
        <w:contextualSpacing/>
      </w:pPr>
      <w:r>
        <w:t>Incapacidad de abarcar distintas habilidades en una temporada</w:t>
      </w:r>
    </w:p>
    <w:p w:rsidR="00777692" w:rsidRDefault="00777692" w:rsidP="00777692">
      <w:pPr>
        <w:numPr>
          <w:ilvl w:val="0"/>
          <w:numId w:val="7"/>
        </w:numPr>
        <w:contextualSpacing/>
      </w:pPr>
      <w:r>
        <w:t>Interacciones negativas de cargas de trabajo no compatibles</w:t>
      </w:r>
    </w:p>
    <w:p w:rsidR="00777692" w:rsidRDefault="00777692" w:rsidP="00777692">
      <w:pPr>
        <w:numPr>
          <w:ilvl w:val="0"/>
          <w:numId w:val="7"/>
        </w:numPr>
        <w:contextualSpacing/>
      </w:pPr>
      <w:r>
        <w:t>Estímulos insuficientes para la progresión de atletas de alto nivel</w:t>
      </w:r>
    </w:p>
    <w:p w:rsidR="00777692" w:rsidRDefault="00777692" w:rsidP="00777692">
      <w:pPr>
        <w:numPr>
          <w:ilvl w:val="0"/>
          <w:numId w:val="7"/>
        </w:numPr>
        <w:contextualSpacing/>
      </w:pPr>
      <w:r>
        <w:lastRenderedPageBreak/>
        <w:t>Fatiga excesiva por programas de entrenamiento multi-objetivos</w:t>
      </w:r>
    </w:p>
    <w:p w:rsidR="00777692" w:rsidRDefault="00777692" w:rsidP="00777692"/>
    <w:p w:rsidR="00777692" w:rsidRDefault="00777692" w:rsidP="00777692"/>
    <w:p w:rsidR="00777692" w:rsidRDefault="00777692" w:rsidP="00777692">
      <w:r>
        <w:t xml:space="preserve">Dicho método, consiste entonces en focalizar objetivos específicos y generar bloques de especialización durante un mesociclo de entrenamiento. De esta forma se trabajan habilidades técnicas y motrices de forma directa y concentrada durante los entrenamientos </w:t>
      </w:r>
      <w:r>
        <w:fldChar w:fldCharType="begin" w:fldLock="1"/>
      </w:r>
      <w:r>
        <w:instrText>ADDIN CSL_CITATION {"citationItems":[{"id":"ITEM-1","itemData":{"DOI":"10.1007/s40279-015-0425-5","ISSN":"0112-1642","PMID":"26573916","abstract":"The present review introduces innovative concepts of training periodization and summarizes a large body of findings characterizing their potential benefits and possible limitations. Evidence-based analysis of the traditional periodization model led to elaboration of alternative versions of athletic preparation. These alternative versions postulated the superiority of training programs with a high concentration of selected workloads compared with traditionally designed plans directed at the concurrent development of many athletic abilities at low/medium workload concentration. The training cycles of highly concentrated specialized workloads were coined \"training blocks\" by experts and practitioners; correspondingly, the alternative versions were termed \"block periodized (BP) preparation systems\" by their presenters. Ultimately, two BP training models were proposed: a concentrated unidirectional training model (CU) and a multi-targeted BP approach to athletes' preparation. The first innovative version postulated administration of highly concentrated training means for enhancement of one leading fitness component, whereas the second version proposed the development of many targeted abilities within sequenced block mesocycles containing a minimal number of compatible training modalities. Both versions differ in their methodological background, duration and content of training blocks, possibilities of providing multi-peak performances, and applicability to various sports. In recent decades, many studies have evaluated the effects of both BP training versions in different sports. Examination of the training effects producing by the CU model in combat and team sports has found significant gains in various fitness estimates but not in sport-specific performances. Similarly, utilization of a CU program by elite swimmers did not lead to substantial enhancement of their peak performances. In contrast, studies of multi-targeted BP training programs have revealed their distinct superiority compared with traditional preparation in endurance, team, and dual sports, and strength/power training and recreational athletes (28 studies). It is suggested that the CU training strategy suits athletic disciplines demanding one fitness component like explosive strength in jumping performances. Unlike this limitation, the multi-targeted BP system prompted a beneficial increase of specific preparedness in sports and disciplines in which peak performances require the application of…","author":[{"dropping-particle":"","family":"Issurin","given":"V.","non-dropping-particle":"","parse-names":false,"suffix":""}],"container-title":"Sports Medicine","id":"ITEM-1","issue":"3","issued":{"date-parts":[["2016","3","16"]]},"page":"329-338","title":"Benefits and Limitations of Block Periodized Training Approaches to Athletes’ Preparation: A Review","type":"article-journal","volume":"46"},"uris":["http://www.mendeley.com/documents/?uuid=4663c1b9-a5b6-3efa-b878-f5c8ec7ad36d"]},{"id":"ITEM-2","itemData":{"ISSN":"0022-4707","PMID":"18212712","abstract":"The basis of contemporary training theory were founded a few decades ago when knowledge was far from complete and workload levels, athletic results and demands were much lower than now. Traditional training periodization, i.e. the division of the seasonal program into smaller periods and training cycles, was proposed at that time and became a universal and monopolistic approach to training planning and analysis. Further sport progress emphasized the limitations and drawbacks of traditional periodization with regard to the preparation of contemporary top-level athletes and their demands. Major contradictions between traditional theory and practice needs appeared as 1) an inability to provide multi peak performances during the season; 2) the drawbacks of long lasting mixed training programs; 3) negative interactions of non-compatible workloads that induced conflicting training responses; and 4) insufficient training stimuli to help highly qualified athletes to progress, as a result of mixed training. The trials and successful experiences of prominent coaches and researchers led to alternative training concepts and, ultimately, to a reformed training approach that was called block periodization (BP). Its general idea suggests the use and sequencing of specialized mesocycle-blocks, where highly concentrated training workloads are focused on a minimal number of motor and technical abilities. Unlike traditional periodization, which usually tries to develop many abilities simultaneously, the block concept suggests consecutive training stimulation of carefully selected fitness components. The rational sequencing of specialized mesocycle-blocks presupposes the exploitation and superimposition of residual training effects, an idea that has recently been conceptualized and studied. It is hypothesized that different types of mesocycle-blocks are suitable to various modes of biological adaptation, i.e. homeostatic regulation or a mechanism of general adaptation.","author":[{"dropping-particle":"","family":"Issurin","given":"V","non-dropping-particle":"","parse-names":false,"suffix":""}],"container-title":"The Journal of sports medicine and physical fitness","id":"ITEM-2","issue":"1","issued":{"date-parts":[["2008","3"]]},"page":"65-75","title":"Block periodization versus traditional training theory: a review.","type":"article-journal","volume":"48"},"uris":["http://www.mendeley.com/documents/?uuid=7896f08d-72a0-340a-86e2-099006b4bc8a"]}],"mendeley":{"formattedCitation":"(Issurin, 2008, 2016)","plainTextFormattedCitation":"(Issurin, 2008, 2016)","previouslyFormattedCitation":"(Issurin, 2008, 2016)"},"properties":{"noteIndex":0},"schema":"https://github.com/citation-style-language/schema/raw/master/csl-citation.json"}</w:instrText>
      </w:r>
      <w:r>
        <w:fldChar w:fldCharType="separate"/>
      </w:r>
      <w:r w:rsidRPr="00BC44F8">
        <w:rPr>
          <w:noProof/>
        </w:rPr>
        <w:t>(Issurin, 2008, 2016)</w:t>
      </w:r>
      <w:r>
        <w:fldChar w:fldCharType="end"/>
      </w:r>
      <w:r>
        <w:t xml:space="preserve">. </w:t>
      </w:r>
    </w:p>
    <w:p w:rsidR="00777692" w:rsidRDefault="00777692" w:rsidP="00777692"/>
    <w:p w:rsidR="00777692" w:rsidRDefault="00777692" w:rsidP="00777692">
      <w:r>
        <w:t xml:space="preserve">Varios autores, aplican esta tipología de entrenamiento en comparación con otras como las tradicionales o el MO, y concluyen que en referencia al entrenamiento tradicional, se pueden encontrar diferencias significativas en la evolución del tren superior, pero esto es indiferente para el tren inferior </w:t>
      </w:r>
      <w:r>
        <w:fldChar w:fldCharType="begin" w:fldLock="1"/>
      </w:r>
      <w:r>
        <w:instrText>ADDIN CSL_CITATION {"citationItems":[{"id":"ITEM-1","itemData":{"DOI":"10.1519/JSC.0000000000000366","ISSN":"1064-8011","PMID":"24476775","abstract":"The purpose of this study was to compare 2 different periodization models in strength and power athletes. Twenty-four experienced resistance trained men were randomly assigned to either a block periodization training program (BP; age = 24.2 ± 3.1 years, body mass = 78.5 ± 11.0 kg, height = 177.6 ± 4.9 cm) or to a traditional periodization program (TP; age = 26.2 ± 6.0 years, body mass = 80.5 ± 13.3 kg, height = 179.2 ± 4.6). Participants in both training programs performed 4 training sessions per week. Each training program consisted of the same exercises and same volume of training (total resistance lifted per session). The difference between the groups was in the manipulation of training intensity within each training phase. Strength and power testing occurred before training (PRE) and after 15 weeks (POST) of training. Magnitude-based inferences were used to compare strength and power performance between the groups. Participants in BP were more likely (79.8%) to increase the area under the force-power curve than TP. Participants in BP also demonstrated a likely positive (92.76%) decrease in the load corresponding to maximal power at the bench press compared with TP group, and a possible improvement (</w:instrText>
      </w:r>
      <w:r>
        <w:rPr>
          <w:rFonts w:ascii="Bradley Hand Bold" w:hAnsi="Bradley Hand Bold" w:cs="Bradley Hand Bold"/>
        </w:rPr>
        <w:instrText>∼</w:instrText>
      </w:r>
      <w:r>
        <w:instrText>60%) in maximal strength and power in the bench press. No significant changes were noted between groups in lower-body strength or jump power performance after the 15-week training period. Results of this study indicate that BP may enhance upper-body power expression to a greater extent than TP with equal volume; however, no differences were detected for lower-body performance and body composition measures.","author":[{"dropping-particle":"","family":"Bartolomei","given":"Sandro","non-dropping-particle":"","parse-names":false,"suffix":""},{"dropping-particle":"","family":"Hoffman","given":"Jay R.","non-dropping-particle":"","parse-names":false,"suffix":""},{"dropping-particle":"","family":"Merni","given":"Franco","non-dropping-particle":"","parse-names":false,"suffix":""},{"dropping-particle":"","family":"Stout","given":"Jeffrey R.","non-dropping-particle":"","parse-names":false,"suffix":""}],"container-title":"Journal of Strength and Conditioning Research","id":"ITEM-1","issue":"4","issued":{"date-parts":[["2014","4"]]},"page":"990-997","title":"A Comparison of Traditional and Block Periodized Strength Training Programs in Trained Athletes","type":"article-journal","volume":"28"},"uris":["http://www.mendeley.com/documents/?uuid=c08c83e6-41e0-328e-b2b3-8de8bc4e6053"]}],"mendeley":{"formattedCitation":"(Bartolomei, Hoffman, Merni, &amp; Stout, 2014)","plainTextFormattedCitation":"(Bartolomei, Hoffman, Merni, &amp; Stout, 2014)","previouslyFormattedCitation":"(Bartolomei, Hoffman, Merni, &amp; Stout, 2014)"},"properties":{"noteIndex":0},"schema":"https://github.com/citation-style-language/schema/raw/master/csl-citation.json"}</w:instrText>
      </w:r>
      <w:r>
        <w:fldChar w:fldCharType="separate"/>
      </w:r>
      <w:r w:rsidRPr="00BC44F8">
        <w:rPr>
          <w:noProof/>
        </w:rPr>
        <w:t>(Bartolomei, Hoffman, Merni, &amp; Stout, 2014)</w:t>
      </w:r>
      <w:r>
        <w:fldChar w:fldCharType="end"/>
      </w:r>
      <w:r>
        <w:t xml:space="preserve">. Si la comparación es con el MO, las ganancias que obtienen respecto de la Fmáx y de la potencia son similares en los dos métodos, pero varía el tamaño muscular, éste aumenta en mayor medida en el MO </w:t>
      </w:r>
      <w:r>
        <w:fldChar w:fldCharType="begin" w:fldLock="1"/>
      </w:r>
      <w:r>
        <w:instrText>ADDIN CSL_CITATION {"citationItems":[{"id":"ITEM-1","itemData":{"DOI":"10.1519/JSC.0000000000000948","ISSN":"1064-8011","PMID":"25807030","abstract":"The aim of this study was to compare the effects of resistance training using block periodization (BP) and weekly undulating (WUD) model on maximal strength and hypertrophy in recreationally strength trained women. Seventeen recreationally trained women were randomly assigned to either a BP group (n = 9; age = 24.7 ± 4.2 years; body mass = 62.1 ± 5.3 kg; height = 166.4 ± 6.0 cm) or a WUD group (n = 8; age = 23.2 ± 2.2 years; body mass = 59.8 ± 11.9 kg; height = 160.1 ± 4.1 cm). Participants of both groups trained 3 days a week for 10 weeks. The BP and WUD programs used the same exercises, and the difference between the 2 programs was in the distribution of the training volume within each training phase. Anthropometric measures and strength testing were performed before (PRE) and after 10 weeks (POST) of training. The results revealed that both BP and WUD groups made significant increases in strength and power, but improvements in lower-body strength were significantly (p = 0.039) greater in the WUD group (+27.7%) compared with the BP group (+15.2%). Both groups significantly increased arm muscle hypertrophy (p &lt; 0.001), whereas improvements in thigh muscle size were significant in the WUD group only (+5.8%, p = 0.001). Results of this study indicate that the WUD model is more effective than the BP model for increasing maximal strength and muscle size in the lower body in women.","author":[{"dropping-particle":"","family":"Bartolomei","given":"Sandro","non-dropping-particle":"","parse-names":false,"suffix":""},{"dropping-particle":"","family":"Stout","given":"Jeffrey R.","non-dropping-particle":"","parse-names":false,"suffix":""},{"dropping-particle":"","family":"Fukuda","given":"David H.","non-dropping-particle":"","parse-names":false,"suffix":""},{"dropping-particle":"","family":"Hoffman","given":"Jay R.","non-dropping-particle":"","parse-names":false,"suffix":""},{"dropping-particle":"","family":"Merni","given":"Franco","non-dropping-particle":"","parse-names":false,"suffix":""}],"container-title":"Journal of Strength and Conditioning Research","id":"ITEM-1","issue":"10","issued":{"date-parts":[["2015","10"]]},"page":"2679-2687","title":"Block vs. Weekly Undulating Periodized Resistance Training Programs in Women","type":"article-journal","volume":"29"},"uris":["http://www.mendeley.com/documents/?uuid=081fc4a1-e664-3c00-bde1-957ad827a884"]}],"mendeley":{"formattedCitation":"(Bartolomei, Stout, Fukuda, Hoffman, &amp; Merni, 2015)","plainTextFormattedCitation":"(Bartolomei, Stout, Fukuda, Hoffman, &amp; Merni, 2015)","previouslyFormattedCitation":"(Bartolomei, Stout, Fukuda, Hoffman, &amp; Merni, 2015)"},"properties":{"noteIndex":0},"schema":"https://github.com/citation-style-language/schema/raw/master/csl-citation.json"}</w:instrText>
      </w:r>
      <w:r>
        <w:fldChar w:fldCharType="separate"/>
      </w:r>
      <w:r w:rsidRPr="006A2079">
        <w:rPr>
          <w:noProof/>
        </w:rPr>
        <w:t>(Bartolomei, Stout, Fukuda, Hoffman, &amp; Merni, 2015)</w:t>
      </w:r>
      <w:r>
        <w:fldChar w:fldCharType="end"/>
      </w:r>
      <w:r>
        <w:t xml:space="preserve">.  Cabe destacar, que al ser una planificación dirigida a atletas de alto nivel, se deben valorar sus interferencias sobre las distintas habilidades de una modalidad, en este caso, este método es más efectivo que los demás debido al trabajo específico de cada una de ellas </w:t>
      </w:r>
      <w:r>
        <w:fldChar w:fldCharType="begin" w:fldLock="1"/>
      </w:r>
      <w:r>
        <w:instrText>ADDIN CSL_CITATION {"citationItems":[{"id":"ITEM-1","itemData":{"DOI":"10.1007/s40279-015-0425-5","ISSN":"0112-1642","PMID":"26573916","abstract":"The present review introduces innovative concepts of training periodization and summarizes a large body of findings characterizing their potential benefits and possible limitations. Evidence-based analysis of the traditional periodization model led to elaboration of alternative versions of athletic preparation. These alternative versions postulated the superiority of training programs with a high concentration of selected workloads compared with traditionally designed plans directed at the concurrent development of many athletic abilities at low/medium workload concentration. The training cycles of highly concentrated specialized workloads were coined \"training blocks\" by experts and practitioners; correspondingly, the alternative versions were termed \"block periodized (BP) preparation systems\" by their presenters. Ultimately, two BP training models were proposed: a concentrated unidirectional training model (CU) and a multi-targeted BP approach to athletes' preparation. The first innovative version postulated administration of highly concentrated training means for enhancement of one leading fitness component, whereas the second version proposed the development of many targeted abilities within sequenced block mesocycles containing a minimal number of compatible training modalities. Both versions differ in their methodological background, duration and content of training blocks, possibilities of providing multi-peak performances, and applicability to various sports. In recent decades, many studies have evaluated the effects of both BP training versions in different sports. Examination of the training effects producing by the CU model in combat and team sports has found significant gains in various fitness estimates but not in sport-specific performances. Similarly, utilization of a CU program by elite swimmers did not lead to substantial enhancement of their peak performances. In contrast, studies of multi-targeted BP training programs have revealed their distinct superiority compared with traditional preparation in endurance, team, and dual sports, and strength/power training and recreational athletes (28 studies). It is suggested that the CU training strategy suits athletic disciplines demanding one fitness component like explosive strength in jumping performances. Unlike this limitation, the multi-targeted BP system prompted a beneficial increase of specific preparedness in sports and disciplines in which peak performances require the application of…","author":[{"dropping-particle":"","family":"Issurin","given":"V.","non-dropping-particle":"","parse-names":false,"suffix":""}],"container-title":"Sports Medicine","id":"ITEM-1","issue":"3","issued":{"date-parts":[["2016","3","16"]]},"page":"329-338","title":"Benefits and Limitations of Block Periodized Training Approaches to Athletes’ Preparation: A Review","type":"article-journal","volume":"46"},"uris":["http://www.mendeley.com/documents/?uuid=4663c1b9-a5b6-3efa-b878-f5c8ec7ad36d"]}],"mendeley":{"formattedCitation":"(Issurin, 2016)","plainTextFormattedCitation":"(Issurin, 2016)","previouslyFormattedCitation":"(Issurin, 2016)"},"properties":{"noteIndex":0},"schema":"https://github.com/citation-style-language/schema/raw/master/csl-citation.json"}</w:instrText>
      </w:r>
      <w:r>
        <w:fldChar w:fldCharType="separate"/>
      </w:r>
      <w:r w:rsidRPr="006A2079">
        <w:rPr>
          <w:noProof/>
        </w:rPr>
        <w:t>(Issurin, 2016)</w:t>
      </w:r>
      <w:r>
        <w:fldChar w:fldCharType="end"/>
      </w:r>
      <w:r>
        <w:t>.</w:t>
      </w:r>
    </w:p>
    <w:p w:rsidR="00777692" w:rsidRDefault="00777692" w:rsidP="00777692"/>
    <w:p w:rsidR="00777692" w:rsidRPr="00A44843" w:rsidRDefault="00777692" w:rsidP="00777692">
      <w:pPr>
        <w:pStyle w:val="Ttulo3"/>
        <w:numPr>
          <w:ilvl w:val="0"/>
          <w:numId w:val="0"/>
        </w:numPr>
      </w:pPr>
      <w:bookmarkStart w:id="26" w:name="_Toc401143710"/>
      <w:bookmarkStart w:id="27" w:name="_Toc401557287"/>
      <w:r w:rsidRPr="00A44843">
        <w:t>1.4.2.2. Método ondulatorio (MO)</w:t>
      </w:r>
      <w:bookmarkEnd w:id="26"/>
      <w:bookmarkEnd w:id="27"/>
    </w:p>
    <w:p w:rsidR="00777692" w:rsidRDefault="00777692" w:rsidP="00777692"/>
    <w:p w:rsidR="00777692" w:rsidRDefault="00777692" w:rsidP="00777692">
      <w:r>
        <w:t xml:space="preserve">La característica principal de este tipo de planificación, es la variación de las intensidades durante un micro-ciclo de entrenamiento. No existe un patrón a seguIr específico, únicamente dicha variación, que puede ser diaria o semanal. Se ha realizado un estudio, donde afirman que el trabajo con MO, aporta mayores beneficios sobre la ganancia de Fmáx que los métodos tradicionales, siendo más efectivas las variaciones en la intensad de forma diaria que semanalmente </w:t>
      </w:r>
      <w:r>
        <w:fldChar w:fldCharType="begin" w:fldLock="1"/>
      </w:r>
      <w:r>
        <w:instrText>ADDIN CSL_CITATION {"citationItems":[{"id":"ITEM-1","itemData":{"DOI":"10.1519/JSC.0b013e3181c03548","ISSN":"1064-8011","PMID":"19910831","abstract":"To determine the most effective periodization model for strength and hypertrophy is an important step for strength and conditioning professionals. The aim of this study was to compare the effects of linear (LP) and daily undulating periodized (DUP) resistance training on body composition and maximal strength levels. Forty men aged 21.5 +/- 8.3 and with a minimum 1-year strength training experience were assigned to an LP (n = 20) or DUP group (n = 20). Subjects were tested for maximal strength in bench press, leg press 45 degrees, and arm curl (1 repetition maximum [RM]) at baseline (T1), after 8 weeks (T2), and after 12 weeks of training (T3). Increases of 18.2 and 25.08% in bench press 1 RM were observed for LP and DUP groups in T3 compared with T1, respectively (p &lt; or = 0.05). In leg press 45 degrees , LP group exhibited an increase of 24.71% and DUP of 40.61% at T3 compared with T1. Additionally, DUP showed an increase of 12.23% at T2 compared with T1 and 25.48% at T3 compared with T2. For the arm curl exercise, LP group increased 14.15% and DUP 23.53% at T3 when compared with T1. An increase of 20% was also found at T2 when compared with T1, for DUP. Although the DUP group increased strength the most in all exercises, no statistical differences were found between groups. In conclusion, undulating periodized strength training induced higher increases in maximal strength than the linear model in strength-trained men. For maximizing strength increases, daily intensity and volume variations were more effective than weekly variations.","author":[{"dropping-particle":"","family":"Prestes","given":"Jonato","non-dropping-particle":"","parse-names":false,"suffix":""},{"dropping-particle":"","family":"Frollini","given":"Anelena B","non-dropping-particle":"","parse-names":false,"suffix":""},{"dropping-particle":"","family":"Lima","given":"Cristiane","non-dropping-particle":"de","parse-names":false,"suffix":""},{"dropping-particle":"","family":"Donatto","given":"Felipe F","non-dropping-particle":"","parse-names":false,"suffix":""},{"dropping-particle":"","family":"Foschini","given":"Denis","non-dropping-particle":"","parse-names":false,"suffix":""},{"dropping-particle":"","family":"Cássia Marqueti","given":"Rita","non-dropping-particle":"de","parse-names":false,"suffix":""},{"dropping-particle":"","family":"Figueira","given":"Aylton","non-dropping-particle":"","parse-names":false,"suffix":""},{"dropping-particle":"","family":"Fleck","given":"Steven J","non-dropping-particle":"","parse-names":false,"suffix":""}],"container-title":"Journal of Strength and Conditioning Research","id":"ITEM-1","issue":"9","issued":{"date-parts":[["2009","12"]]},"page":"2437-2442","title":"Comparison Between Linear and Daily Undulating Periodized Resistance Training to Increase Strength","type":"article-journal","volume":"23"},"uris":["http://www.mendeley.com/documents/?uuid=ef0d38c9-225c-366c-87de-4a792c6b3a67"]}],"mendeley":{"formattedCitation":"(Prestes et al., 2009)","plainTextFormattedCitation":"(Prestes et al., 2009)","previouslyFormattedCitation":"(Prestes et al., 2009)"},"properties":{"noteIndex":0},"schema":"https://github.com/citation-style-language/schema/raw/master/csl-citation.json"}</w:instrText>
      </w:r>
      <w:r>
        <w:fldChar w:fldCharType="separate"/>
      </w:r>
      <w:r w:rsidRPr="00715C68">
        <w:rPr>
          <w:noProof/>
        </w:rPr>
        <w:t>(Prestes et al., 2009)</w:t>
      </w:r>
      <w:r>
        <w:fldChar w:fldCharType="end"/>
      </w:r>
      <w:r>
        <w:t>.</w:t>
      </w:r>
    </w:p>
    <w:p w:rsidR="00777692" w:rsidRDefault="00777692" w:rsidP="00777692"/>
    <w:p w:rsidR="00777692" w:rsidRDefault="00777692" w:rsidP="00777692">
      <w:r>
        <w:t xml:space="preserve">Existen varios estudios afirmando sus ventajas respecto al método tradicional. Bartolomei et al., (2015), comparan dicho método con otros métodos también utilizados actualmente como el comentado con anterioridad MPB, concluyendo que los beneficios son mayores en el MO que en el MPB. Otra investigación, realiza la comparación del MO con el tradicional en hombres entrenados, después de 12 semanas de entrenamiento se concluye que el MO,  a pesar de no </w:t>
      </w:r>
      <w:r>
        <w:lastRenderedPageBreak/>
        <w:t xml:space="preserve">observar diferencias significativas, tiende a producir mayores mejoras sobre el aumento de la Fmáx que el método tradicional </w:t>
      </w:r>
      <w:r>
        <w:fldChar w:fldCharType="begin" w:fldLock="1"/>
      </w:r>
      <w:r>
        <w:instrText>ADDIN CSL_CITATION {"citationItems":[{"id":"ITEM-1","itemData":{"DOI":"10.1519/JSC.0b013e3181e7ff75","ISSN":"1064-8011","PMID":"21499134","abstract":"The objective of this study was to verify the effect of 2 periodized resistance training (RT) methods on the evolution of 1-repetition maximum (1RM) and 8RM loads. Twenty resistance trained men were randomly assigned to 2 training groups: linear periodization (LP) group and daily undulating periodization (DUP) group. The subjects were tested at baseline and after 12 weeks for 1RM and 8RM loads in leg press (LEG) and bench press (BP) exercises. The training program was performed in alternated sessions for upper (session A: chest, shoulder and triceps) and lower body (session B: leg, back and biceps). The 12-week periodized training was applied only in the tested exercises, and in the other exercises, 3 sets of 6-8RM were performed. Both groups exhibited significant increases in 1RM loads on LEG and BP, but no statistically significant difference between groups was observed. The same occurred in 8RM loads on LEG and BP. However, DUP group presented superior effect size (ES) in 1RM and 8RM loads for LEG and BP exercises when compared to the LP group. In conclusion, periodized RT can be an efficient method for increasing the strength and muscular endurance in trained individuals. Although there was no statistically significant difference between periodization models, DUP promoted superior ES gains in muscular maximal and submaximal strength.","author":[{"dropping-particle":"","family":"Miranda","given":"Fabrício","non-dropping-particle":"","parse-names":false,"suffix":""},{"dropping-particle":"","family":"Simão","given":"Roberto","non-dropping-particle":"","parse-names":false,"suffix":""},{"dropping-particle":"","family":"Rhea","given":"Matthew","non-dropping-particle":"","parse-names":false,"suffix":""},{"dropping-particle":"","family":"Bunker","given":"Derek","non-dropping-particle":"","parse-names":false,"suffix":""},{"dropping-particle":"","family":"Prestes","given":"Jonato","non-dropping-particle":"","parse-names":false,"suffix":""},{"dropping-particle":"","family":"Leite","given":"Richard Diego","non-dropping-particle":"","parse-names":false,"suffix":""},{"dropping-particle":"","family":"Miranda","given":"Humberto","non-dropping-particle":"","parse-names":false,"suffix":""},{"dropping-particle":"","family":"Salles","given":"Belmiro Freitas","non-dropping-particle":"de","parse-names":false,"suffix":""},{"dropping-particle":"","family":"Novaes","given":"Jefferson","non-dropping-particle":"","parse-names":false,"suffix":""}],"container-title":"Journal of Strength and Conditioning Research","id":"ITEM-1","issue":"7","issued":{"date-parts":[["2011","7"]]},"page":"1824-1830","title":"Effects of Linear vs. Daily Undulatory Periodized Resistance Training on Maximal and Submaximal Strength Gains","type":"article-journal","volume":"25"},"uris":["http://www.mendeley.com/documents/?uuid=faf66a6a-987d-36ce-add8-5ac2b9b4fdc3"]}],"mendeley":{"formattedCitation":"(Miranda et al., 2011)","plainTextFormattedCitation":"(Miranda et al., 2011)","previouslyFormattedCitation":"(Miranda et al., 2011)"},"properties":{"noteIndex":0},"schema":"https://github.com/citation-style-language/schema/raw/master/csl-citation.json"}</w:instrText>
      </w:r>
      <w:r>
        <w:fldChar w:fldCharType="separate"/>
      </w:r>
      <w:r w:rsidRPr="00112532">
        <w:rPr>
          <w:noProof/>
        </w:rPr>
        <w:t>(Miranda et al., 2011)</w:t>
      </w:r>
      <w:r>
        <w:fldChar w:fldCharType="end"/>
      </w:r>
      <w:r>
        <w:t>.</w:t>
      </w:r>
    </w:p>
    <w:p w:rsidR="00777692" w:rsidRDefault="00777692" w:rsidP="00777692"/>
    <w:p w:rsidR="00777692" w:rsidRDefault="00777692" w:rsidP="00777692">
      <w:r>
        <w:t xml:space="preserve">A pesar de lo descrito anteriormente, también se encuentran en la bibliografía estudios donde comprando el MO con los métodos tradicionales no encuentran diferencias destacadas entre ambos, en referencia a las adaptaciones neuromusculares </w:t>
      </w:r>
      <w:r>
        <w:fldChar w:fldCharType="begin" w:fldLock="1"/>
      </w:r>
      <w:r>
        <w:instrText>ADDIN CSL_CITATION {"citationItems":[{"id":"ITEM-1","itemData":{"DOI":"10.1055/s-0034-1398529","ISSN":"0172-4622","PMID":"25760153","abstract":"This study compared traditional (TP) and daily undulating (DUP) periodization on muscle strength, EMG-estimated neural drive and muscle architecture of the quadriceps femoris (QF). 10 non-athletic females (24.4±3.2 years) performed 14 weeks of isometric training for the QF exercising 1 leg using TP and the contralateral leg using DUP. Intensities varied from 60% to 80% of MVC and the intensity zones and training volume were equated for each leg. Knee extension MVC, maximal voluntary QF-EMG activity and vastus lateralis (VL) muscle architecture were measured in both legs before, after 6 weeks and after 14 weeks of training using dynamometry, surface EMG and ultrasonography. Isometric MVC and maximal QF-EMG remained unaltered after 6 weeks of training, but were significantly (P&lt;0.05) enhanced after 14 weeks in both legs (MVC: TP 24%, DUP 23%; QF-EMG: TP 45%, DUP 46%). VL-architecture remained unchanged following 6 weeks of training, but VL-muscle thickness (TP 17%, DUP 16%) and fascicle length (TP 16%, DUP 17%) displayed significant (P&lt;0.05) enlargements after 14 weeks in both legs. Importantly, these temporal neuromuscular alterations displayed no significant differences between the training legs. Therefore, periodization may not act as a key trigger for neuromuscular adaptations.","author":[{"dropping-particle":"","family":"Ullrich","given":"B.","non-dropping-particle":"","parse-names":false,"suffix":""},{"dropping-particle":"","family":"Holzinger","given":"S.","non-dropping-particle":"","parse-names":false,"suffix":""},{"dropping-particle":"","family":"Soleimani","given":"M.","non-dropping-particle":"","parse-names":false,"suffix":""},{"dropping-particle":"","family":"Pelzer","given":"T.","non-dropping-particle":"","parse-names":false,"suffix":""},{"dropping-particle":"","family":"Stening","given":"J.","non-dropping-particle":"","parse-names":false,"suffix":""},{"dropping-particle":"","family":"Pfeiffer","given":"M.","non-dropping-particle":"","parse-names":false,"suffix":""}],"container-title":"International Journal of Sports Medicine","id":"ITEM-1","issue":"07","issued":{"date-parts":[["2015","3","11"]]},"page":"554-562","title":"Neuromuscular Responses to 14 Weeks of Traditional and Daily Undulating Resistance Training","type":"article-journal","volume":"36"},"uris":["http://www.mendeley.com/documents/?uuid=b62bfad5-9a08-3dda-b01a-9c83004c8d5e"]}],"mendeley":{"formattedCitation":"(Ullrich et al., 2015)"},"properties":{"noteIndex":0},"schema":"https://github.com/citation-style-language/schema/raw/master/csl-citation.json"}</w:instrText>
      </w:r>
      <w:r>
        <w:fldChar w:fldCharType="separate"/>
      </w:r>
      <w:r w:rsidRPr="003A204E">
        <w:rPr>
          <w:noProof/>
        </w:rPr>
        <w:t>(Ullrich et al., 2015)</w:t>
      </w:r>
      <w:r>
        <w:fldChar w:fldCharType="end"/>
      </w:r>
      <w:r>
        <w:t xml:space="preserve">, e incluso donde se defienden que el método tradicional obtiene mejoras respecto del MO en relación a la composición corporal, al incremento de la Fmáx o a la menor aparición de fatiga </w:t>
      </w:r>
      <w:r>
        <w:fldChar w:fldCharType="begin" w:fldLock="1"/>
      </w:r>
      <w:r>
        <w:instrText>ADDIN CSL_CITATION {"citationItems":[{"id":"ITEM-1","itemData":{"DOI":"10.1519/JSC.0b013e3181c69ef6","ISSN":"1064-8011","PMID":"20581703","abstract":"The purpose of this study was to compare the training adaptations attained during 12 weeks of traditional (TD) and weekly undulating (WUD) periodized strength training. Forty-two recreationally active men (age = 22 ± 2.3 years) were randomly assigned to 1 of 3 groups: control (C) (n = 14), TD (n = 14), or WUD (n = 14). Ten-repetition maximum (10RM) laboratory testing was carried out for the free weight back squat and the free weight flat bench press at baseline, week 8, and week 12. The subjects trained 3 d·wk (approximately 135 min·wk) from weeks 1 to 2 and 4 d·wk from week 3 to week 12 (approximately 180 min·wk). The TD and WUD groups trained using a periodized strength program with all program variables controlled (e.g., volume and intensity). The independent variable was the manipulation of intensity. The TD group used a linear increase in intensity, whereas the WUD group had a varied intensity. The results showed that both the TD and WUD groups made significant (p ≤ 0.05) increases in strength at weeks 8 and 12, but by week 12, the TD group was significantly (p ≤ 0.05) stronger than the WUD group. These results indicate that TD periodization with a linear increase in intensity was more effective at eliciting strength gains than WUD periodization with a varied intensity. The differences in strength gains between the TD and WUD groups may be related to extended periods of muscle soreness and fatigue that were present in the WUD group but not in the TD group. Thus, during long-term training, individuals may benefit more from TD periodized programs because there may be less muscle soreness and fatigue to disrupt practice and training.","author":[{"dropping-particle":"","family":"Apel","given":"Jytte M","non-dropping-particle":"","parse-names":false,"suffix":""},{"dropping-particle":"","family":"Lacey","given":"Ryan M","non-dropping-particle":"","parse-names":false,"suffix":""},{"dropping-particle":"","family":"Kell","given":"Robert T","non-dropping-particle":"","parse-names":false,"suffix":""}],"container-title":"Journal of Strength and Conditioning Research","id":"ITEM-1","issue":"3","issued":{"date-parts":[["2011","3"]]},"page":"694-703","title":"A Comparison of Traditional and Weekly Undulating Periodized Strength Training Programs With Total Volume and Intensity Equated","type":"article-journal","volume":"25"},"uris":["http://www.mendeley.com/documents/?uuid=b64db2d2-d3da-3aef-a1f6-b238dc548721"]},{"id":"ITEM-2","itemData":{"DOI":"10.1055/s-0032-1306324","ISSN":"0172-4622","PMID":"22562746","abstract":"The aim of this randomized controlled study was to verify the impact of a 12-weeks muscular endurance (ME) training of high repetitions (i. e., 15-30) with 2 different periodization models on body composition, maximal strength, muscular endurance and cardiorespiratory fitness. Twenty eight sedentary women aged 20-35 years were randomly assigned to: control (CON) (n=8), linear periodization (LP) (n=10) and daily undulating periodization (DUP) (n=10). LP and DUP models significantly improved body composition, maximal strength and ME. However, no significant changes were detected for cardiorespiratory fitness. LP showed a higher body fat loss (- 12.73%) compared to DUP (- 9.93%) (p=0.049), and systematically higher effect sizes (ES) when compared with DUP for maximal strength and cardiorespiratory fitness parameters (e. g. ES=0.53 for ventilatory threshold). In contrast, DUP exhibited a significantly (p=0.002) greater ME gain (129.43%) compared to LP (70.72%) in bench press, and greater ES in all exercises. It may be suggested that LP performed with a high number of repetitions may be considered an appropriate periodization model for untrained young women that would likely lead to the improvement of body composition and maximum strength performance, whereas DUP is more effective for the development of ME.","author":[{"dropping-particle":"","family":"Lima","given":"C.","non-dropping-particle":"de","parse-names":false,"suffix":""},{"dropping-particle":"","family":"Boullosa","given":"D.","non-dropping-particle":"","parse-names":false,"suffix":""},{"dropping-particle":"","family":"Frollini","given":"A.","non-dropping-particle":"","parse-names":false,"suffix":""},{"dropping-particle":"","family":"Donatto","given":"F.","non-dropping-particle":"","parse-names":false,"suffix":""},{"dropping-particle":"","family":"Leite","given":"R.","non-dropping-particle":"","parse-names":false,"suffix":""},{"dropping-particle":"","family":"Gonelli","given":"P.R.","non-dropping-particle":"","parse-names":false,"suffix":""},{"dropping-particle":"","family":"Montebello","given":"M.I.","non-dropping-particle":"","parse-names":false,"suffix":""},{"dropping-particle":"","family":"Prestes","given":"J.","non-dropping-particle":"","parse-names":false,"suffix":""},{"dropping-particle":"","family":"Cesar","given":"M.","non-dropping-particle":"","parse-names":false,"suffix":""}],"container-title":"International Journal of Sports Medicine","id":"ITEM-2","issue":"09","issued":{"date-parts":[["2012","9","4"]]},"page":"723-727","title":"Linear and Daily Undulating Resistance Training Periodizations Have Differential Beneficial Effects in Young Sedentary Women","type":"article-journal","volume":"33"},"uris":["http://www.mendeley.com/documents/?uuid=0a055f33-88af-3567-8503-12a63213db29"]}],"mendeley":{"formattedCitation":"(Apel, Lacey, &amp; Kell, 2011; de Lima et al., 2012)","plainTextFormattedCitation":"(Apel, Lacey, &amp; Kell, 2011; de Lima et al., 2012)","previouslyFormattedCitation":"(Apel, Lacey, &amp; Kell, 2011; de Lima et al., 2012)"},"properties":{"noteIndex":0},"schema":"https://github.com/citation-style-language/schema/raw/master/csl-citation.json"}</w:instrText>
      </w:r>
      <w:r>
        <w:fldChar w:fldCharType="separate"/>
      </w:r>
      <w:r w:rsidRPr="00112532">
        <w:rPr>
          <w:noProof/>
        </w:rPr>
        <w:t>(Apel, Lacey, &amp; Kell, 2011; de Lima et al., 2012)</w:t>
      </w:r>
      <w:r>
        <w:fldChar w:fldCharType="end"/>
      </w:r>
    </w:p>
    <w:p w:rsidR="00777692" w:rsidRDefault="00777692" w:rsidP="00777692"/>
    <w:p w:rsidR="00777692" w:rsidRPr="00A44843" w:rsidRDefault="00777692" w:rsidP="00777692">
      <w:pPr>
        <w:pStyle w:val="Ttulo3"/>
        <w:numPr>
          <w:ilvl w:val="0"/>
          <w:numId w:val="0"/>
        </w:numPr>
        <w:ind w:left="504" w:hanging="504"/>
      </w:pPr>
      <w:bookmarkStart w:id="28" w:name="_Toc401557288"/>
      <w:r w:rsidRPr="00A44843">
        <w:t>1.4.2.3. Método de acomodación (MA)</w:t>
      </w:r>
      <w:bookmarkEnd w:id="28"/>
    </w:p>
    <w:p w:rsidR="00777692" w:rsidRDefault="00777692" w:rsidP="00777692"/>
    <w:p w:rsidR="00777692" w:rsidRDefault="00777692" w:rsidP="00777692">
      <w:r>
        <w:t xml:space="preserve">El MA, consiste en la aplicación de resistencias progresivas, como bandas elásticas o cadenas, colocadas en la resistencia a vencer (Figura 13), de tal forma que cuando se realice el movimiento, la carga vaya aumentando de manera progresiva y tenga interferencias positivas en la aceleración y la potencia generadas </w:t>
      </w:r>
      <w:r>
        <w:fldChar w:fldCharType="begin" w:fldLock="1"/>
      </w:r>
      <w:r>
        <w:instrText>ADDIN CSL_CITATION {"citationItems":[{"id":"ITEM-1","itemData":{"DOI":"10.2147/OAJSM.S65877","ISSN":"1179-1543","PMID":"25177154","abstract":"PURPOSE To determine the impact of inclusion of a band or chain compensatory acceleration training (CAT), in a 5-week training phase, on maximal upper body strength during a 14-week off-season strength and conditioning program for collegiate male athletes. PATIENTS AND METHODS Twenty-four National Collegiate Athletic Association (NCAA) collegiate baseball players, who were familiar with the current strength and conditioning program and had a minimum of 1 year of formal collegiate strength and conditioning experience, participated in this off-season training study. None of the men had participated in CAT before. Subjects were matched following a maximal effort (1-repetition maximum [1-RM]) bench press test in week 1, then were randomly assigned into a band-based CAT group or a chain-based CAT group and participated in a 5-week training phase that included bench pressing twice per week. Upper body strength was measured by 1-RM bench press again at week 6. A 2 × 2 mixed factorial (method × time) analysis of variance was calculated to compare differences across groups. The alpha level was set at P&lt;0.05. RESULTS No difference (F 1,22=0.04, P=0.84) existed between the band-based CAT and chain-based CAT groups. A significant difference was observed between pre- and posttests of 1-RM bench (F 1,22=88.46, P=0.001). CONCLUSION A 5-week band CAT or chain CAT training program used in conjunction with an off-season strength and conditioning program can increase maximal upper body strength in collegiate baseball athletes. Using band CAT and/or chain CAT as a training modality in the off-season will vary the training stimulus from the traditional and likely help to maintain the athlete's interest.","author":[{"dropping-particle":"","family":"Jones","given":"Margaret T","non-dropping-particle":"","parse-names":false,"suffix":""}],"container-title":"Open access journal of sports medicine","id":"ITEM-1","issued":{"date-parts":[["2014"]]},"page":"183-9","publisher":"Dove Press","title":"Effect of compensatory acceleration training in combination with accommodating resistance on upper body strength in collegiate athletes.","type":"article-journal","volume":"5"},"uris":["http://www.mendeley.com/documents/?uuid=107e48c8-83b1-341f-942c-8e128ef19724"]}],"mendeley":{"formattedCitation":"(Jones, 2014)","plainTextFormattedCitation":"(Jones, 2014)","previouslyFormattedCitation":"(Jones, 2014)"},"properties":{"noteIndex":0},"schema":"https://github.com/citation-style-language/schema/raw/master/csl-citation.json"}</w:instrText>
      </w:r>
      <w:r>
        <w:fldChar w:fldCharType="separate"/>
      </w:r>
      <w:r w:rsidRPr="00F41715">
        <w:rPr>
          <w:noProof/>
        </w:rPr>
        <w:t>(Jones, 2014)</w:t>
      </w:r>
      <w:r>
        <w:fldChar w:fldCharType="end"/>
      </w:r>
      <w:r>
        <w:t xml:space="preserve">. </w:t>
      </w:r>
    </w:p>
    <w:p w:rsidR="00777692" w:rsidRDefault="00777692" w:rsidP="00777692"/>
    <w:p w:rsidR="00777692" w:rsidRDefault="00777692" w:rsidP="00777692">
      <w:pPr>
        <w:keepNext/>
        <w:jc w:val="center"/>
      </w:pPr>
      <w:r w:rsidRPr="008648EB">
        <w:rPr>
          <w:noProof/>
          <w:lang w:val="es-ES"/>
        </w:rPr>
        <w:drawing>
          <wp:inline distT="0" distB="0" distL="0" distR="0" wp14:anchorId="729AC95F" wp14:editId="372C3042">
            <wp:extent cx="3656330" cy="2438400"/>
            <wp:effectExtent l="0" t="0" r="0" b="0"/>
            <wp:docPr id="12" name="Imagen 9" descr="Macintosh HD:Users:pilarsancheztregon:Desktop:TESIS-2:cadena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n 9" descr="Macintosh HD:Users:pilarsancheztregon:Desktop:TESIS-2:cadenas.jpg"/>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6330" cy="2438400"/>
                    </a:xfrm>
                    <a:prstGeom prst="rect">
                      <a:avLst/>
                    </a:prstGeom>
                    <a:ln>
                      <a:noFill/>
                    </a:ln>
                    <a:effectLst>
                      <a:softEdge rad="112500"/>
                    </a:effectLst>
                  </pic:spPr>
                </pic:pic>
              </a:graphicData>
            </a:graphic>
          </wp:inline>
        </w:drawing>
      </w:r>
    </w:p>
    <w:p w:rsidR="00777692" w:rsidRPr="003964C3" w:rsidRDefault="00777692" w:rsidP="00777692">
      <w:pPr>
        <w:pStyle w:val="Descripcin"/>
        <w:jc w:val="center"/>
        <w:rPr>
          <w:b/>
        </w:rPr>
      </w:pPr>
      <w:bookmarkStart w:id="29" w:name="_Toc401568577"/>
      <w:r w:rsidRPr="003964C3">
        <w:rPr>
          <w:b/>
        </w:rPr>
        <w:t xml:space="preserve">Figura </w:t>
      </w:r>
      <w:r w:rsidRPr="003964C3">
        <w:rPr>
          <w:b/>
        </w:rPr>
        <w:fldChar w:fldCharType="begin"/>
      </w:r>
      <w:r w:rsidRPr="003964C3">
        <w:rPr>
          <w:b/>
        </w:rPr>
        <w:instrText xml:space="preserve"> </w:instrText>
      </w:r>
      <w:r>
        <w:rPr>
          <w:b/>
        </w:rPr>
        <w:instrText>SEQ</w:instrText>
      </w:r>
      <w:r w:rsidRPr="003964C3">
        <w:rPr>
          <w:b/>
        </w:rPr>
        <w:instrText xml:space="preserve"> Figura \* ARABIC </w:instrText>
      </w:r>
      <w:r w:rsidRPr="003964C3">
        <w:rPr>
          <w:b/>
        </w:rPr>
        <w:fldChar w:fldCharType="separate"/>
      </w:r>
      <w:r>
        <w:rPr>
          <w:b/>
          <w:noProof/>
        </w:rPr>
        <w:t>13</w:t>
      </w:r>
      <w:r w:rsidRPr="003964C3">
        <w:rPr>
          <w:b/>
        </w:rPr>
        <w:fldChar w:fldCharType="end"/>
      </w:r>
      <w:r w:rsidRPr="003964C3">
        <w:rPr>
          <w:b/>
        </w:rPr>
        <w:t>.</w:t>
      </w:r>
      <w:r>
        <w:rPr>
          <w:b/>
        </w:rPr>
        <w:t xml:space="preserve"> </w:t>
      </w:r>
      <w:r>
        <w:t>Ejemplificación del MA, usando cadenas como resistencia progresiva. Elaboración propia.</w:t>
      </w:r>
      <w:bookmarkEnd w:id="29"/>
    </w:p>
    <w:p w:rsidR="00777692" w:rsidRDefault="00777692" w:rsidP="00777692"/>
    <w:p w:rsidR="00777692" w:rsidRDefault="00777692" w:rsidP="00777692"/>
    <w:p w:rsidR="00777692" w:rsidRDefault="00777692" w:rsidP="00777692">
      <w:r>
        <w:t xml:space="preserve">El trabajo realizado con este método, se llevará a cabo en las sesiones de entrenamiento, ya que permite a la persona que lo realice mantener mayor fuerza durante toda la acción concéntrica, incluso en la fase final, generando así  mayores aumentos de Fmáx </w:t>
      </w:r>
      <w:r>
        <w:fldChar w:fldCharType="begin" w:fldLock="1"/>
      </w:r>
      <w:r>
        <w:instrText>ADDIN CSL_CITATION {"citationItems":[{"id":"ITEM-1","itemData":{"DOI":"10.1519/JSC.0b013e318212e389","ISSN":"1064-8011","PMID":"21993040","abstract":"The purpose of this study was to investigate whether the deadlift could be effectively incorporated with explosive resistance training (ERT) and to investigate whether the inclusion of chains enhanced the suitability of the deadlift for ERT. Twenty-three resistance trained athletes performed the deadlift with 30, 50, and 70% 1-repetition maximum (1RM) loads at submaximal velocity, maximal velocity (MAX), and MAX with the inclusion of 2 chain loads equal to 20 or 40% of the subjects' 1RM. All trials were performed on force platforms with markers attached to the barbell to calculate velocity and acceleration using a motion capture system. Significant increases in force, velocity, power, rate of force development, and length of the acceleration phase (p &lt; 0.05) were obtained when repetition velocity increased from submaximal to maximal. During MAX repetitions with a constant resistance, the mean length of the acceleration phase ranged from 73.2 (±7.2%) to 84.9 (±12.2%) of the overall movement. Compared to using a constant resistance, the inclusion of chains enabled greater force to be maintained to the end of the concentric action and significantly increased peak force and impulse (p &lt; 0.05), while concurrently decreasing velocity, power, and rate of force development (p &lt; 0.05). The effects of chains were influenced by the magnitude of the chain and barbell resistance, with greater increases and decreases in mechanical variables obtained when heavier chain and barbell loads were used. The results of the investigation suggest that the deadlift can be incorporated effectively in ERT programs. Coaches and athletes should be aware that the inclusion of heavy chains may have both positive and negative effects on kinematics and kinetics of an exercise.","author":[{"dropping-particle":"","family":"Swinton","given":"Paul A","non-dropping-particle":"","parse-names":false,"suffix":""},{"dropping-particle":"","family":"Stewart","given":"Arthur D","non-dropping-particle":"","parse-names":false,"suffix":""},{"dropping-particle":"","family":"Keogh","given":"Justin WL","non-dropping-particle":"","parse-names":false,"suffix":""},{"dropping-particle":"","family":"Agouris","given":"Ioannis","non-dropping-particle":"","parse-names":false,"suffix":""},{"dropping-particle":"","family":"Lloyd","given":"Ray","non-dropping-particle":"","parse-names":false,"suffix":""}],"container-title":"Journal of Strength and Conditioning Research","id":"ITEM-1","issue":"11","issued":{"date-parts":[["2011","11"]]},"page":"3163-3174","title":"Kinematic and Kinetic Analysis of Maximal Velocity Deadlifts Performed With and Without the Inclusion of Chain Resistance","type":"article-journal","volume":"25"},"uris":["http://www.mendeley.com/documents/?uuid=b04dddb4-981a-3d6b-8b9f-3c345b9af40a"]},{"id":"ITEM-2","itemData":{"DOI":"10.2147/OAJSM.S65877","ISSN":"1179-1543","PMID":"25177154","abstract":"PURPOSE To determine the impact of inclusion of a band or chain compensatory acceleration training (CAT), in a 5-week training phase, on maximal upper body strength during a 14-week off-season strength and conditioning program for collegiate male athletes. PATIENTS AND METHODS Twenty-four National Collegiate Athletic Association (NCAA) collegiate baseball players, who were familiar with the current strength and conditioning program and had a minimum of 1 year of formal collegiate strength and conditioning experience, participated in this off-season training study. None of the men had participated in CAT before. Subjects were matched following a maximal effort (1-repetition maximum [1-RM]) bench press test in week 1, then were randomly assigned into a band-based CAT group or a chain-based CAT group and participated in a 5-week training phase that included bench pressing twice per week. Upper body strength was measured by 1-RM bench press again at week 6. A 2 × 2 mixed factorial (method × time) analysis of variance was calculated to compare differences across groups. The alpha level was set at P&lt;0.05. RESULTS No difference (F 1,22=0.04, P=0.84) existed between the band-based CAT and chain-based CAT groups. A significant difference was observed between pre- and posttests of 1-RM bench (F 1,22=88.46, P=0.001). CONCLUSION A 5-week band CAT or chain CAT training program used in conjunction with an off-season strength and conditioning program can increase maximal upper body strength in collegiate baseball athletes. Using band CAT and/or chain CAT as a training modality in the off-season will vary the training stimulus from the traditional and likely help to maintain the athlete's interest.","author":[{"dropping-particle":"","family":"Jones","given":"Margaret T","non-dropping-particle":"","parse-names":false,"suffix":""}],"container-title":"Open access journal of sports medicine","id":"ITEM-2","issued":{"date-parts":[["2014"]]},"page":"183-9","publisher":"Dove Press","title":"Effect of compensatory acceleration training in combination with accommodating resistance on upper body strength in collegiate athletes.","type":"article-journal","volume":"5"},"uris":["http://www.mendeley.com/documents/?uuid=107e48c8-83b1-341f-942c-8e128ef19724"]},{"id":"ITEM-3","itemData":{"DOI":"10.1519/JSC.0b013e3181a2b8a2","ISSN":"1064-8011","PMID":"19387404","abstract":"The purpose of this study was to explore the effects of a 7-week heavy elastic band and weighted-chain program on maximum muscular strength and maximum power in the bench press exercise. Thirty-six (n = 36) healthy men aged 18-30 years old, from the Robert Morris University football team, volunteered to participate in this study. During the first week, predicted 1 repetition maximum (1RM) bench press and a 5RM speed bench press tests were conducted. Subjects were randomly divided into 3 groups (n = 12): elastic band (EB), weighted chain (WC), and traditional bench (C). During weeks 2-8 of the study, subjects were required to follow the prescribed resistance training program. Mean and SD of the predicted 1RM bench press and 5RM speed bench press were computed. A two-factor (method X time) analysis was applied to identify significant differences between the training groups. Significance was set at alpha = 0.05. Results indicated a significant time (p &lt; 0.05) but no group effect for both predicted 1RM (kg) and 5RM peak power tests (watts). Although not significant, results did show greater nonsignificant improvements in the EB (848-883 W) and WC groups (856-878 W) vs. control (918-928 W) when the 2 highest and greatest values were selected regarding peak power. The use of EB and WC in conjunction with a general off-season strength and conditioning program can increase overall maximum upper-body strength in a sample of Division 1-AA football players. These types of training modalities add a unique training style and more flexibility with respect to exercise prescription for athletes and strength practitioners.","author":[{"dropping-particle":"","family":"Ghigiarelli","given":"Jamie J","non-dropping-particle":"","parse-names":false,"suffix":""},{"dropping-particle":"","family":"Nagle","given":"Elizabeth F","non-dropping-particle":"","parse-names":false,"suffix":""},{"dropping-particle":"","family":"Gross","given":"Fredric L","non-dropping-particle":"","parse-names":false,"suffix":""},{"dropping-particle":"","family":"Robertson","given":"Robert J","non-dropping-particle":"","parse-names":false,"suffix":""},{"dropping-particle":"","family":"Irrgang","given":"James J","non-dropping-particle":"","parse-names":false,"suffix":""},{"dropping-particle":"","family":"Myslinski","given":"Tom","non-dropping-particle":"","parse-names":false,"suffix":""}],"container-title":"Journal of Strength and Conditioning Research","id":"ITEM-3","issue":"3","issued":{"date-parts":[["2009","5"]]},"page":"756-764","title":"The Effects of a 7-Week Heavy Elastic Band and Weight Chain Program on Upper-Body Strength and Upper-Body Power in a Sample of Division 1-AA Football Players","type":"article-journal","volume":"23"},"uris":["http://www.mendeley.com/documents/?uuid=b180cb90-a4e4-3d5e-a252-b080bf116442"]}],"mendeley":{"formattedCitation":"(Ghigiarelli et al., 2009; Jones, 2014; Swinton et al., 2011)","plainTextFormattedCitation":"(Ghigiarelli et al., 2009; Jones, 2014; Swinton et al., 2011)","previouslyFormattedCitation":"(Ghigiarelli et al., 2009; Jones, 2014; Swinton et al., 2011)"},"properties":{"noteIndex":0},"schema":"https://github.com/citation-style-language/schema/raw/master/csl-citation.json"}</w:instrText>
      </w:r>
      <w:r>
        <w:fldChar w:fldCharType="separate"/>
      </w:r>
      <w:r w:rsidRPr="00370B87">
        <w:rPr>
          <w:noProof/>
        </w:rPr>
        <w:t>(Ghigiarelli et al., 2009; Jones, 2014; Swinton et al., 2011)</w:t>
      </w:r>
      <w:r>
        <w:fldChar w:fldCharType="end"/>
      </w:r>
      <w:r>
        <w:t xml:space="preserve">. Muchos de los estudios que se encuentran del MA, se realizan en </w:t>
      </w:r>
      <w:r>
        <w:lastRenderedPageBreak/>
        <w:t xml:space="preserve">población entrenada, atletas universitarios, población activa… y a pesar de la ganancia de Fmáx generada por la aceleración no se encuentran diferencias significativas sobre la potencia </w:t>
      </w:r>
      <w:r>
        <w:fldChar w:fldCharType="begin" w:fldLock="1"/>
      </w:r>
      <w:r>
        <w:instrText>ADDIN CSL_CITATION {"citationItems":[{"id":"ITEM-1","itemData":{"DOI":"10.1519/JSC.0b013e3181a2b8a2","ISSN":"1064-8011","PMID":"19387404","abstract":"The purpose of this study was to explore the effects of a 7-week heavy elastic band and weighted-chain program on maximum muscular strength and maximum power in the bench press exercise. Thirty-six (n = 36) healthy men aged 18-30 years old, from the Robert Morris University football team, volunteered to participate in this study. During the first week, predicted 1 repetition maximum (1RM) bench press and a 5RM speed bench press tests were conducted. Subjects were randomly divided into 3 groups (n = 12): elastic band (EB), weighted chain (WC), and traditional bench (C). During weeks 2-8 of the study, subjects were required to follow the prescribed resistance training program. Mean and SD of the predicted 1RM bench press and 5RM speed bench press were computed. A two-factor (method X time) analysis was applied to identify significant differences between the training groups. Significance was set at alpha = 0.05. Results indicated a significant time (p &lt; 0.05) but no group effect for both predicted 1RM (kg) and 5RM peak power tests (watts). Although not significant, results did show greater nonsignificant improvements in the EB (848-883 W) and WC groups (856-878 W) vs. control (918-928 W) when the 2 highest and greatest values were selected regarding peak power. The use of EB and WC in conjunction with a general off-season strength and conditioning program can increase overall maximum upper-body strength in a sample of Division 1-AA football players. These types of training modalities add a unique training style and more flexibility with respect to exercise prescription for athletes and strength practitioners.","author":[{"dropping-particle":"","family":"Ghigiarelli","given":"Jamie J","non-dropping-particle":"","parse-names":false,"suffix":""},{"dropping-particle":"","family":"Nagle","given":"Elizabeth F","non-dropping-particle":"","parse-names":false,"suffix":""},{"dropping-particle":"","family":"Gross","given":"Fredric L","non-dropping-particle":"","parse-names":false,"suffix":""},{"dropping-particle":"","family":"Robertson","given":"Robert J","non-dropping-particle":"","parse-names":false,"suffix":""},{"dropping-particle":"","family":"Irrgang","given":"James J","non-dropping-particle":"","parse-names":false,"suffix":""},{"dropping-particle":"","family":"Myslinski","given":"Tom","non-dropping-particle":"","parse-names":false,"suffix":""}],"container-title":"Journal of Strength and Conditioning Research","id":"ITEM-1","issue":"3","issued":{"date-parts":[["2009","5"]]},"page":"756-764","title":"The Effects of a 7-Week Heavy Elastic Band and Weight Chain Program on Upper-Body Strength and Upper-Body Power in a Sample of Division 1-AA Football Players","type":"article-journal","volume":"23"},"uris":["http://www.mendeley.com/documents/?uuid=b180cb90-a4e4-3d5e-a252-b080bf116442"]}],"mendeley":{"formattedCitation":"(Ghigiarelli et al., 2009)","plainTextFormattedCitation":"(Ghigiarelli et al., 2009)","previouslyFormattedCitation":"(Ghigiarelli et al., 2009)"},"properties":{"noteIndex":0},"schema":"https://github.com/citation-style-language/schema/raw/master/csl-citation.json"}</w:instrText>
      </w:r>
      <w:r>
        <w:fldChar w:fldCharType="separate"/>
      </w:r>
      <w:r w:rsidRPr="00F04AB5">
        <w:rPr>
          <w:noProof/>
        </w:rPr>
        <w:t>(Ghigiarelli et al., 2009)</w:t>
      </w:r>
      <w:r>
        <w:fldChar w:fldCharType="end"/>
      </w:r>
      <w:r>
        <w:t>, de hecho Swinton et al., (2011), encuentran descensos destacables sobre la velocidad de ejecución aplicando este método.</w:t>
      </w:r>
    </w:p>
    <w:p w:rsidR="00777692" w:rsidRDefault="00777692" w:rsidP="00777692"/>
    <w:p w:rsidR="00777692" w:rsidRDefault="00777692" w:rsidP="00777692">
      <w:r>
        <w:t>No existe gran cantidad de bibliografía sobre el MA, lo cual indica que todavía queda mucho por descubrir sobre los beneficios y las desventajas de esta manera de trabajar la Fmáx, lo que sí que parece interesante es la posible ganancia de ésta rápidamente y sus posibles afectaciones sobre la velocidad de ejecución.</w:t>
      </w:r>
    </w:p>
    <w:p w:rsidR="00777692" w:rsidRPr="00AE4D8B" w:rsidRDefault="00777692" w:rsidP="00777692"/>
    <w:p w:rsidR="00777692" w:rsidRPr="00A44843" w:rsidRDefault="00777692" w:rsidP="00777692">
      <w:pPr>
        <w:pStyle w:val="Ttulo3"/>
        <w:numPr>
          <w:ilvl w:val="0"/>
          <w:numId w:val="0"/>
        </w:numPr>
        <w:ind w:left="504" w:hanging="504"/>
      </w:pPr>
      <w:bookmarkStart w:id="30" w:name="_Toc400875546"/>
      <w:bookmarkStart w:id="31" w:name="_Toc401143711"/>
      <w:bookmarkStart w:id="32" w:name="_Toc401557289"/>
      <w:r>
        <w:t>1.4.2.4. Método Clu</w:t>
      </w:r>
      <w:r w:rsidRPr="00A44843">
        <w:t>ster</w:t>
      </w:r>
      <w:bookmarkEnd w:id="30"/>
      <w:r w:rsidRPr="00A44843">
        <w:t xml:space="preserve"> (MC)</w:t>
      </w:r>
      <w:bookmarkEnd w:id="31"/>
      <w:bookmarkEnd w:id="32"/>
    </w:p>
    <w:p w:rsidR="00777692" w:rsidRDefault="00777692" w:rsidP="00777692"/>
    <w:p w:rsidR="00777692" w:rsidRDefault="00777692" w:rsidP="00777692">
      <w:r>
        <w:t xml:space="preserve">La configuración de las variables que afectan a la programación de los entrenamientos, son imprescindibles para conseguir el objetivo propuesto. La modificación de la carga, la intensidad, el volumen, el número de repeticiones o los intervalos de descanso, es algo habitual según la capacidad que se este trabajando </w:t>
      </w:r>
      <w:r>
        <w:fldChar w:fldCharType="begin" w:fldLock="1"/>
      </w:r>
      <w:r>
        <w:instrText>ADDIN CSL_CITATION {"citationItems":[{"id":"ITEM-1","itemData":{"DOI":"10.1007/s00421-016-3439-2","ISSN":"1439-6327","PMID":"27473446","abstract":"PURPOSE The purpose of this study was to examine the acute and chronic training responses to strength-, hypertrophy- and cluster-type resistance training. METHODS Thirty-four trained males were assigned to a strength [STR: 4 × 6 repetitions, 85 % of one repetition maximum, (1RM), 900 s total rest], hypertrophy (HYP: 5 × 10 repetitions, 70 % 1RM, 360 s total rest), cluster 1 (CL-1: 4 × 6/1 repetitions, 85 % 1RM, 1400 s total rest), and cluster 2 (CL-2: 4 × 6/1 repetitions, 90 % 1RM, 1400 s total rest) regimens which were performed twice weekly for a 6-week period. Measurements were taken before, during and following the four workouts to investigate the acute training stimulus, whilst similar measurements were employed to examine the training effects before and after the intervention. RESULTS The improvements in 1RM strength were significantly greater for the STR (12.09 ± 2.75 %; p &lt; 0.05, d = 1.106) and CL-2 (13.20 ± 2.18 %; p &lt; 0.001, d = 0.816) regimens than the HYP regimen (8.13 ± 2.54 %, d = 0.453). In terms of the acute responses, the STR and CL-2 workouts resulted in greater time under tension (TUT) and impulse generation in individual repetitions than the HYP workout (p &lt; 0.05). Furthermore, the STR (+3.65 ± 2.54 mmol/L(-1)) and HYP (+6.02 ± 2.97 mmol/L(-1)) workouts resulted in significantly greater elevations in blood lactate concentration (p &lt; 0.001) than the CL-1 and CL-2 workouts. CONCLUSION CL regimens produced similar strength improvements to STR regimens even when volume load was elevated (CL-2). The effectiveness of the STR and CL-2 regimens underlines the importance of high loads and impulse generation for strength development.","author":[{"dropping-particle":"","family":"Nicholson","given":"G","non-dropping-particle":"","parse-names":false,"suffix":""},{"dropping-particle":"","family":"Ispoglou","given":"T","non-dropping-particle":"","parse-names":false,"suffix":""},{"dropping-particle":"","family":"Bissas","given":"A","non-dropping-particle":"","parse-names":false,"suffix":""}],"container-title":"European journal of applied physiology","id":"ITEM-1","issue":"10","issued":{"date-parts":[["2016","10"]]},"page":"1875-88","publisher":"Springer","title":"The impact of repetition mechanics on the adaptations resulting from strength-, hypertrophy- and cluster-type resistance training.","type":"article-journal","volume":"116"},"uris":["http://www.mendeley.com/documents/?uuid=f27d255e-bfd3-3fce-a66e-99fe4663fc9c"]}],"mendeley":{"formattedCitation":"(Nicholson, Ispoglou, &amp; Bissas, 2016)","plainTextFormattedCitation":"(Nicholson, Ispoglou, &amp; Bissas, 2016)","previouslyFormattedCitation":"(Nicholson, Ispoglou, &amp; Bissas, 2016)"},"properties":{"noteIndex":0},"schema":"https://github.com/citation-style-language/schema/raw/master/csl-citation.json"}</w:instrText>
      </w:r>
      <w:r>
        <w:fldChar w:fldCharType="separate"/>
      </w:r>
      <w:r w:rsidRPr="004A01A0">
        <w:rPr>
          <w:noProof/>
        </w:rPr>
        <w:t>(Nicholson, Ispoglou, &amp; Bissas, 2016)</w:t>
      </w:r>
      <w:r>
        <w:fldChar w:fldCharType="end"/>
      </w:r>
      <w:r>
        <w:t xml:space="preserve">. El método </w:t>
      </w:r>
      <w:r>
        <w:rPr>
          <w:i/>
        </w:rPr>
        <w:t>cluster</w:t>
      </w:r>
      <w:r>
        <w:t xml:space="preserve">, o dicho de otra forma “conjunto de aglomerados o clústeres” consiste en introducir un estímulo nuevo al cuerpo con el fin de maximizar la velocidad y la potencia en cada repetición y disminuir así los niveles agudos de fatiga neuromuscular, para ello se utilizan descansos cortos inter-repeticiones </w:t>
      </w:r>
      <w:r>
        <w:fldChar w:fldCharType="begin" w:fldLock="1"/>
      </w:r>
      <w:r>
        <w:instrText>ADDIN CSL_CITATION {"citationItems":[{"id":"ITEM-1","itemData":{"DOI":"10.1519/SSC.0b013e31816383e1","ISSN":"1524-1602","author":[{"dropping-particle":"","family":"Haff","given":"G Gregory","non-dropping-particle":"","parse-names":false,"suffix":""},{"dropping-particle":"","family":"Hobbs","given":"Ryan T","non-dropping-particle":"","parse-names":false,"suffix":""},{"dropping-particle":"","family":"Haff","given":"Erin E","non-dropping-particle":"","parse-names":false,"suffix":""},{"dropping-particle":"","family":"Sands","given":"William A","non-dropping-particle":"","parse-names":false,"suffix":""},{"dropping-particle":"","family":"Pierce","given":"Kyle C","non-dropping-particle":"","parse-names":false,"suffix":""},{"dropping-particle":"","family":"Stone","given":"Michael H","non-dropping-particle":"","parse-names":false,"suffix":""}],"container-title":"Strength and Conditioning Journal","id":"ITEM-1","issue":"1","issued":{"date-parts":[["2008","2"]]},"page":"67-76","title":"Cluster Training: A Novel Method for Introducing Training Program Variation","type":"article-journal","volume":"30"},"uris":["http://www.mendeley.com/documents/?uuid=27c590d9-b203-3a25-8877-5f5c99084b5a"]}],"mendeley":{"formattedCitation":"(Haff et al., 2008)","plainTextFormattedCitation":"(Haff et al., 2008)","previouslyFormattedCitation":"(Haff et al., 2008)"},"properties":{"noteIndex":0},"schema":"https://github.com/citation-style-language/schema/raw/master/csl-citation.json"}</w:instrText>
      </w:r>
      <w:r>
        <w:fldChar w:fldCharType="separate"/>
      </w:r>
      <w:r w:rsidRPr="004A01A0">
        <w:rPr>
          <w:noProof/>
        </w:rPr>
        <w:t>(Haff et al., 2008)</w:t>
      </w:r>
      <w:r>
        <w:fldChar w:fldCharType="end"/>
      </w:r>
      <w:r>
        <w:t>.</w:t>
      </w:r>
    </w:p>
    <w:p w:rsidR="00777692" w:rsidRPr="00A25BC4" w:rsidRDefault="00777692" w:rsidP="00777692"/>
    <w:p w:rsidR="00777692" w:rsidRDefault="00777692" w:rsidP="00777692">
      <w:r>
        <w:t xml:space="preserve">Cuando se optimiza la aceleración de la carga, se produce un estrés metabólico que conlleva un mayor reclutamiento de las unidades motoras con umbrales altos, además dicha optimización, está relacionada con una ganancia respecto de la Fmáx, y éste es el principal objetivo del método </w:t>
      </w:r>
      <w:r>
        <w:rPr>
          <w:i/>
        </w:rPr>
        <w:t>cluster</w:t>
      </w:r>
      <w:r>
        <w:t xml:space="preserve"> </w:t>
      </w:r>
      <w:r>
        <w:fldChar w:fldCharType="begin" w:fldLock="1"/>
      </w:r>
      <w:r>
        <w:instrText>ADDIN CSL_CITATION {"citationItems":[{"id":"ITEM-1","itemData":{"ISSN":"1050-6411","PMID":"11102844","abstract":"The EMG power spectrum may shift towards higher frequencies with higher movement velocities. Fatigue, on the other hand, can cause a decrease in the frequency components. The purpose of this study was to examine acute effects of explosive (EE) and heavy resistance (HRE) concentric leg press exercise on muscle force, EMG and blood lactate. The EE included five sets of ten repetitions with 40+/-6% of the isometric maximum at a 100 degrees knee angle performed as explosively as possible. The same number of repetitions was performed in HRE but with a heavier load (67+/-7% of the isometric maximum at a 100 degrees knee angle). Maximal isometric and single concentric actions of different loads, and an isometric fatigue test were measured before and after both exercises. Surface EMG was recorded from the vastus medialis muscles for analyses of average EMG (aEMG) and EMG power spectrum. Muscle fiber composition of the vastus lateralis was determined and blood lactate measured throughout the exercises. Mean power frequency and median frequency were higher during EE than during HRE (P&lt;0.05). They increased during EE (P&lt;0.05) as the exercise progressed, whereas during HRE no change or even slight decreases were observed. Signs of fatigue after pure concentric work were not observed after EE, and even after HRE, possibly due to the relatively small range of motion and short duration of action time, the fatigue was not that extensive. The relative number of fast twitch fibers was correlated (r=0.87, P&lt;0.05) with the change in blood lactate in HRE. It was concluded that there may be a greater use of fast twitch motor units in explosive movements and that instead of fatigue, the present number of concentric actions in explosive exercise seems to have facilitated the neuromuscular system.","author":[{"dropping-particle":"","family":"Linnamo","given":"V","non-dropping-particle":"","parse-names":false,"suffix":""},{"dropping-particle":"","family":"Newton","given":"R U","non-dropping-particle":"","parse-names":false,"suffix":""},{"dropping-particle":"","family":"Häkkinen","given":"K","non-dropping-particle":"","parse-names":false,"suffix":""},{"dropping-particle":"V","family":"Komi","given":"P","non-dropping-particle":"","parse-names":false,"suffix":""},{"dropping-particle":"","family":"Davie","given":"A","non-dropping-particle":"","parse-names":false,"suffix":""},{"dropping-particle":"","family":"McGuigan","given":"M","non-dropping-particle":"","parse-names":false,"suffix":""},{"dropping-particle":"","family":"Triplett-McBride","given":"T","non-dropping-particle":"","parse-names":false,"suffix":""}],"container-title":"Journal of electromyography and kinesiology : official journal of the International Society of Electrophysiological Kinesiology","id":"ITEM-1","issue":"6","issued":{"date-parts":[["2000","12"]]},"page":"417-24","title":"Neuromuscular responses to explosive and heavy resistance loading.","type":"article-journal","volume":"10"},"uris":["http://www.mendeley.com/documents/?uuid=900e35ae-0e14-3ca5-a4d3-65a7ad4cfaf5"]},{"id":"ITEM-2","itemData":{"DOI":"10.1080/17461391.2014.905987","ISSN":"1746-1391","PMID":"24734902","abstract":"The purpose of this study was to compare the effect on strength gains of two isoinertial resistance training (RT) programmes that only differed in actual concentric velocity: maximal (MaxV) vs. half-maximal (HalfV) velocity. Twenty participants were assigned to a MaxV (n = 9) or HalfV (n = 11) group and trained 3 times per week during 6 weeks using the bench press (BP). Repetition velocity was controlled using a linear velocity transducer. A complementary study (n = 10) aimed to analyse whether the acute metabolic (blood lactate and ammonia) and mechanical response (velocity loss) was different between the MaxV and HalfV protocols used. Both groups improved strength performance from pre- to post-training, but MaxV resulted in significantly greater gains than HalfV in all variables analysed: one-repetition maximum (1RM) strength (18.2 vs. 9.7%), velocity developed against all (20.8 vs. 10.0%), light (11.5 vs. 4.5%) and heavy (36.2 vs. 17.3%) loads common to pre- and post-tests. Light and heavy loads were identified with those moved faster or slower than 0.80 m · s(-1) (</w:instrText>
      </w:r>
      <w:r>
        <w:rPr>
          <w:rFonts w:ascii="Bradley Hand Bold" w:hAnsi="Bradley Hand Bold" w:cs="Bradley Hand Bold"/>
        </w:rPr>
        <w:instrText>∼</w:instrText>
      </w:r>
      <w:r>
        <w:instrText xml:space="preserve"> 60% 1RM in BP). Lactate tended to be significantly higher for MaxV vs. HalfV, with no differences observed for ammonia which was within resting values. Both groups obtained the greatest improvements at the training velocities (≤ 0.80 m · s(-1)). Movement velocity can be considered a fundamental component of RT intensity, since, for a given %1RM, the velocity at which loads are lifted largely determines the resulting training effect. BP strength gains can be maximised when repetitions are performed at maximal intended velocity.","author":[{"dropping-particle":"","family":"González-Badillo","given":"Juan José","non-dropping-particle":"","parse-names":false,"suffix":""},{"dropping-particle":"","family":"Rodríguez-Rosell","given":"David","non-dropping-particle":"","parse-names":false,"suffix":""},{"dropping-particle":"","family":"Sánchez-Medina","given":"Luis","non-dropping-particle":"","parse-names":false,"suffix":""},{"dropping-particle":"","family":"Gorostiaga","given":"Esteban M.","non-dropping-particle":"","parse-names":false,"suffix":""},{"dropping-particle":"","family":"Pareja-Blanco","given":"Fernando","non-dropping-particle":"","parse-names":false,"suffix":""}],"container-title":"European Journal of Sport Science","id":"ITEM-2","issue":"8","issued":{"date-parts":[["2014","11","17"]]},"page":"772-781","title":"Maximal intended velocity training induces greater gains in bench press performance than deliberately slower half-velocity training","type":"article-journal","volume":"14"},"uris":["http://www.mendeley.com/documents/?uuid=f551d5a8-edeb-3609-a08d-d5e8d0f27b21"]}],"mendeley":{"formattedCitation":"(Juan José González-Badillo et al., 2014; Linnamo et al., 2000)"},"properties":{"noteIndex":0},"schema":"https://github.com/citation-style-language/schema/raw/master/csl-citation.json"}</w:instrText>
      </w:r>
      <w:r>
        <w:fldChar w:fldCharType="separate"/>
      </w:r>
      <w:r>
        <w:rPr>
          <w:noProof/>
        </w:rPr>
        <w:t>(</w:t>
      </w:r>
      <w:r w:rsidRPr="003A204E">
        <w:rPr>
          <w:noProof/>
        </w:rPr>
        <w:t>González-Badillo et al., 2014; Linnamo et al., 2000)</w:t>
      </w:r>
      <w:r>
        <w:fldChar w:fldCharType="end"/>
      </w:r>
    </w:p>
    <w:p w:rsidR="00777692" w:rsidRDefault="00777692" w:rsidP="00777692"/>
    <w:p w:rsidR="00777692" w:rsidRDefault="00777692" w:rsidP="00777692">
      <w:r>
        <w:t xml:space="preserve">El método </w:t>
      </w:r>
      <w:r>
        <w:rPr>
          <w:i/>
        </w:rPr>
        <w:t>cluster</w:t>
      </w:r>
      <w:r>
        <w:t xml:space="preserve"> está diseñado para obtener un mantenimiento de la velocidad de ejecución durante todas las repeticiones planificadas, así como una mayor potencia en las series, pero intentando que el nivel de estrés metabólico total sea menor que en el entrenamiento tradicional, donde no existen estos breves descansos. Esta conclusión es aparentemente lógica aunque todavía faltan investigaciones para poder afirmar los cambios referentes al estrés metabólico y a las adaptaciones crónicas </w:t>
      </w:r>
      <w:r>
        <w:fldChar w:fldCharType="begin" w:fldLock="1"/>
      </w:r>
      <w:r>
        <w:instrText>ADDIN CSL_CITATION {"citationItems":[{"id":"ITEM-1","itemData":{"DOI":"10.1007/s00421-016-3439-2","ISSN":"1439-6327","PMID":"27473446","abstract":"PURPOSE The purpose of this study was to examine the acute and chronic training responses to strength-, hypertrophy- and cluster-type resistance training. METHODS Thirty-four trained males were assigned to a strength [STR: 4 × 6 repetitions, 85 % of one repetition maximum, (1RM), 900 s total rest], hypertrophy (HYP: 5 × 10 repetitions, 70 % 1RM, 360 s total rest), cluster 1 (CL-1: 4 × 6/1 repetitions, 85 % 1RM, 1400 s total rest), and cluster 2 (CL-2: 4 × 6/1 repetitions, 90 % 1RM, 1400 s total rest) regimens which were performed twice weekly for a 6-week period. Measurements were taken before, during and following the four workouts to investigate the acute training stimulus, whilst similar measurements were employed to examine the training effects before and after the intervention. RESULTS The improvements in 1RM strength were significantly greater for the STR (12.09 ± 2.75 %; p &lt; 0.05, d = 1.106) and CL-2 (13.20 ± 2.18 %; p &lt; 0.001, d = 0.816) regimens than the HYP regimen (8.13 ± 2.54 %, d = 0.453). In terms of the acute responses, the STR and CL-2 workouts resulted in greater time under tension (TUT) and impulse generation in individual repetitions than the HYP workout (p &lt; 0.05). Furthermore, the STR (+3.65 ± 2.54 mmol/L(-1)) and HYP (+6.02 ± 2.97 mmol/L(-1)) workouts resulted in significantly greater elevations in blood lactate concentration (p &lt; 0.001) than the CL-1 and CL-2 workouts. CONCLUSION CL regimens produced similar strength improvements to STR regimens even when volume load was elevated (CL-2). The effectiveness of the STR and CL-2 regimens underlines the importance of high loads and impulse generation for strength development.","author":[{"dropping-particle":"","family":"Nicholson","given":"G","non-dropping-particle":"","parse-names":false,"suffix":""},{"dropping-particle":"","family":"Ispoglou","given":"T","non-dropping-particle":"","parse-names":false,"suffix":""},{"dropping-particle":"","family":"Bissas","given":"A","non-dropping-particle":"","parse-names":false,"suffix":""}],"container-title":"European journal of applied physiology","id":"ITEM-1","issue":"10","issued":{"date-parts":[["2016","10"]]},"page":"1875-88","publisher":"Springer","title":"The impact of repetition mechanics on the adaptations resulting from strength-, hypertrophy- and cluster-type resistance training.","type":"article-journal","volume":"116"},"uris":["http://www.mendeley.com/documents/?uuid=f27d255e-bfd3-3fce-a66e-99fe4663fc9c"]}],"mendeley":{"formattedCitation":"(Nicholson et al., 2016)","plainTextFormattedCitation":"(Nicholson et al., 2016)","previouslyFormattedCitation":"(Nicholson et al., 2016)"},"properties":{"noteIndex":0},"schema":"https://github.com/citation-style-language/schema/raw/master/csl-citation.json"}</w:instrText>
      </w:r>
      <w:r>
        <w:fldChar w:fldCharType="separate"/>
      </w:r>
      <w:r w:rsidRPr="0070417C">
        <w:rPr>
          <w:noProof/>
        </w:rPr>
        <w:t>(Nicholson et al., 2016)</w:t>
      </w:r>
      <w:r>
        <w:fldChar w:fldCharType="end"/>
      </w:r>
      <w:r>
        <w:t>.</w:t>
      </w:r>
    </w:p>
    <w:p w:rsidR="00777692" w:rsidRPr="004A01A0" w:rsidRDefault="00777692" w:rsidP="00777692"/>
    <w:p w:rsidR="00777692" w:rsidRPr="00564522" w:rsidRDefault="00777692" w:rsidP="00777692">
      <w:pPr>
        <w:rPr>
          <w:i/>
        </w:rPr>
      </w:pPr>
      <w:r>
        <w:lastRenderedPageBreak/>
        <w:t xml:space="preserve">Moreno, Brown, Coburn &amp; Judelson, (2014), realizan un estudio donde se compara el entrenamiento tradicional con dos formas distintas de introducir el </w:t>
      </w:r>
      <w:r>
        <w:rPr>
          <w:i/>
        </w:rPr>
        <w:t>cluster</w:t>
      </w:r>
      <w:r>
        <w:t xml:space="preserve">, una de ellas con descansos de 30 segundos cada 5 repeticiones y la otra de 10 segundos cada 2 repeticiones. Las conclusiones a las cuales llegan, son que el grupo que entrena con </w:t>
      </w:r>
      <w:r>
        <w:rPr>
          <w:i/>
        </w:rPr>
        <w:t>cluster</w:t>
      </w:r>
      <w:r>
        <w:t xml:space="preserve"> de 10” obtiene mejores resultados respecto al mantenimiento de potencia durante las repeticiones y a la velocidad que los otros dos grupos. Otro estudio, realiza una comparación del MP, con 2 tipos de </w:t>
      </w:r>
      <w:r>
        <w:rPr>
          <w:i/>
        </w:rPr>
        <w:t xml:space="preserve">cluster, </w:t>
      </w:r>
      <w:r>
        <w:t xml:space="preserve">10” y 20”, llegando a la conclusión que el MP producia una pérdida de velocidad significativa a diferencia del los otros dos métodos que además de no perder dicha velocidad generaban menor fatiga en el ejercicio de </w:t>
      </w:r>
      <w:r>
        <w:rPr>
          <w:i/>
        </w:rPr>
        <w:t xml:space="preserve">Back Squat </w:t>
      </w:r>
      <w:r>
        <w:rPr>
          <w:i/>
        </w:rPr>
        <w:fldChar w:fldCharType="begin" w:fldLock="1"/>
      </w:r>
      <w:r>
        <w:rPr>
          <w:i/>
        </w:rPr>
        <w:instrText>ADDIN CSL_CITATION {"citationItems":[{"id":"ITEM-1","itemData":{"DOI":"10.1080/02640414.2018.1480052","ISSN":"0264-0414","PMID":"29846142","abstract":"This study aimed to analyze the acute effect of inter-repetition rest (IRR) intervals on mechanical and metabolic response during four resistance exercise protocols (REPs). Thirty resistance-trained men were randomly assigned to: continuous repetitions (CR), 10 s (IRR10) or 20 s (IRR20) inter-repetition rest. The REPs consisted of 3 sets of 6, 5, 4 and 3 repetitions against 60, 70, 75 and 80% 1RM, respectively, in the full squat exercise. Muscle fatigue was assessed using: percentage of velocity loss over three sets, percentage of velocity loss against the ~1 m·s-1 load (V1 m·s-1), and loss of countermovement jump (CMJ) height pre-post exercise. Blood lactate was measured before and after exercise. The percentage of velocity loss over three sets and lactate concentration were significantly lower (P &lt; 0.05) for IRR groups compared to CR in all REPs. The CR group showed a significantly higher (P &lt; 0.05) velocity loss against V1 m·s-1 load and loss of CMJ height pre-post exercise than IRR groups in REP against 60% 1RM. In conclusion, both IRR groups produced a significant lower degree of fatigue compared to CR group. However, no significant differences were found in any measured variables between IRR configurations.","author":[{"dropping-particle":"","family":"Mora-Custodio","given":"Ricardo","non-dropping-particle":"","parse-names":false,"suffix":""},{"dropping-particle":"","family":"Rodríguez-Rosell","given":"David","non-dropping-particle":"","parse-names":false,"suffix":""},{"dropping-particle":"","family":"Yáñez-García","given":"Juan Manuel","non-dropping-particle":"","parse-names":false,"suffix":""},{"dropping-particle":"","family":"Sánchez-Moreno","given":"Miguel","non-dropping-particle":"","parse-names":false,"suffix":""},{"dropping-particle":"","family":"Pareja-Blanco","given":"Fernando","non-dropping-particle":"","parse-names":false,"suffix":""},{"dropping-particle":"","family":"González-Badillo","given":"Juan José","non-dropping-particle":"","parse-names":false,"suffix":""}],"container-title":"Journal of Sports Sciences","id":"ITEM-1","issued":{"date-parts":[["2018","5","30"]]},"page":"1-9","title":"Effect of different inter-repetition rest intervals across four load intensities on velocity loss and blood lactate concentration during full squat exercise","type":"article-journal"},"uris":["http://www.mendeley.com/documents/?uuid=76079e76-9224-3b2e-8886-0d437c999592"]}],"mendeley":{"formattedCitation":"(Mora-Custodio et al., 2018)","plainTextFormattedCitation":"(Mora-Custodio et al., 2018)","previouslyFormattedCitation":"(Mora-Custodio et al., 2018)"},"properties":{"noteIndex":0},"schema":"https://github.com/citation-style-language/schema/raw/master/csl-citation.json"}</w:instrText>
      </w:r>
      <w:r>
        <w:rPr>
          <w:i/>
        </w:rPr>
        <w:fldChar w:fldCharType="separate"/>
      </w:r>
      <w:r w:rsidRPr="00564522">
        <w:rPr>
          <w:noProof/>
        </w:rPr>
        <w:t>(Mora-Custodio et al., 2018)</w:t>
      </w:r>
      <w:r>
        <w:rPr>
          <w:i/>
        </w:rPr>
        <w:fldChar w:fldCharType="end"/>
      </w:r>
      <w:r>
        <w:rPr>
          <w:i/>
        </w:rPr>
        <w:t>.</w:t>
      </w:r>
    </w:p>
    <w:p w:rsidR="00777692" w:rsidRDefault="00777692" w:rsidP="00777692"/>
    <w:p w:rsidR="00777692" w:rsidRDefault="00777692" w:rsidP="00777692">
      <w:r>
        <w:t xml:space="preserve">En referencia a la capacidad de salto posterior al entrenamiento, relacionada con la potencia, y a la agilidad, también se encuentran mejoras mediante la inclusión del </w:t>
      </w:r>
      <w:r>
        <w:rPr>
          <w:i/>
        </w:rPr>
        <w:t>cluster</w:t>
      </w:r>
      <w:r>
        <w:t xml:space="preserve"> en comparación con el entrenamiento tradicional (Tabla 3) </w:t>
      </w:r>
      <w:r>
        <w:fldChar w:fldCharType="begin" w:fldLock="1"/>
      </w:r>
      <w:r>
        <w:instrText>ADDIN CSL_CITATION {"citationItems":[{"id":"ITEM-1","itemData":{"DOI":"10.1016/j.medici.2016.01.001","abstract":"a b s t r a c t Objective: The aim of this study was to compare the effects of 6-week cluster versus traditional plyometric training sets on jumping ability, sprint and agility performance. Materials and methods: Thirteen college students were assigned to a cluster sets group (N = 6) or traditional sets group (N = 7). Both training groups completed the same training program. The traditional group completed five sets of 20 repetitions with 2 min of rest between sets each session, while the cluster group completed five sets of 20 [2 Â 10] repetitions with 30/90-s rest each session. Subjects were evaluated for countermovement jump (CMJ), standing long jump (SLJ), t test, 20-m and 40-m sprint test performance before and after the intervention. Results: Both groups had similar improvements (P &lt; 0.05) in CMJ, SLJ, t test, 20-m, and 40-m sprint. However, the magnitude of improvement in CMJ, SLJ and t test was greater for the cluster group (effect size [ES] = 1.24, 0.81 and 1.38, respectively) compared to the traditional group (ES = 0.84, 0.60 and 0.55). Conversely, the magnitude of improvement in 20-m and 40-m sprint test was greater for the traditional group (ES = 1.59 and 0.96, respectively) compared to the cluster group (ES = 0.94 and 0.75, respectively). Conclusions: Although both plyometric training methods improved lower body maximal-intensity exercise performance, the traditional sets methods resulted in greater adaptations in sprint performance, while the cluster sets method resulted in greater jump and agility adaptations.","author":[{"dropping-particle":"","family":"Asadi","given":"Abbas","non-dropping-particle":"","parse-names":false,"suffix":""},{"dropping-particle":"","family":"Ramírez-Campillo","given":"Rodrigo","non-dropping-particle":"","parse-names":false,"suffix":""}],"id":"ITEM-1","issued":{"date-parts":[["2016"]]},"page":"1-4","title":"Effects of cluster vs. traditional plyometric training sets on maximal-intensity exercise performance","type":"article-journal","volume":"4"},"uris":["http://www.mendeley.com/documents/?uuid=c0e0ce75-4e75-320b-b045-3d60547f25a8"]}],"mendeley":{"formattedCitation":"(Asadi &amp; Ramírez-Campillo, 2016)","plainTextFormattedCitation":"(Asadi &amp; Ramírez-Campillo, 2016)","previouslyFormattedCitation":"(Asadi &amp; Ramírez-Campillo, 2016)"},"properties":{"noteIndex":0},"schema":"https://github.com/citation-style-language/schema/raw/master/csl-citation.json"}</w:instrText>
      </w:r>
      <w:r>
        <w:fldChar w:fldCharType="separate"/>
      </w:r>
      <w:r w:rsidRPr="00221A63">
        <w:rPr>
          <w:noProof/>
        </w:rPr>
        <w:t>(Asadi &amp; Ramírez-Campillo, 2016)</w:t>
      </w:r>
      <w:r>
        <w:fldChar w:fldCharType="end"/>
      </w:r>
      <w:r>
        <w:t xml:space="preserve">. Las diferencias obtenidas en relación a la ganancia de fuerza no son significativas en la mayoría de estudios comparando el </w:t>
      </w:r>
      <w:r>
        <w:rPr>
          <w:i/>
        </w:rPr>
        <w:t>cluster</w:t>
      </w:r>
      <w:r>
        <w:t xml:space="preserve"> con los entrenamientos tradicionales de Fmáx aunque si se pueden observar menores concentraciones de lactato en sangre, lo que se relaciona a una menor fatiga neuromuscular </w:t>
      </w:r>
      <w:r>
        <w:fldChar w:fldCharType="begin" w:fldLock="1"/>
      </w:r>
      <w:r>
        <w:instrText>ADDIN CSL_CITATION {"citationItems":[{"id":"ITEM-1","itemData":{"DOI":"10.1007/s00421-016-3439-2","ISSN":"1439-6327","PMID":"27473446","abstract":"PURPOSE The purpose of this study was to examine the acute and chronic training responses to strength-, hypertrophy- and cluster-type resistance training. METHODS Thirty-four trained males were assigned to a strength [STR: 4 × 6 repetitions, 85 % of one repetition maximum, (1RM), 900 s total rest], hypertrophy (HYP: 5 × 10 repetitions, 70 % 1RM, 360 s total rest), cluster 1 (CL-1: 4 × 6/1 repetitions, 85 % 1RM, 1400 s total rest), and cluster 2 (CL-2: 4 × 6/1 repetitions, 90 % 1RM, 1400 s total rest) regimens which were performed twice weekly for a 6-week period. Measurements were taken before, during and following the four workouts to investigate the acute training stimulus, whilst similar measurements were employed to examine the training effects before and after the intervention. RESULTS The improvements in 1RM strength were significantly greater for the STR (12.09 ± 2.75 %; p &lt; 0.05, d = 1.106) and CL-2 (13.20 ± 2.18 %; p &lt; 0.001, d = 0.816) regimens than the HYP regimen (8.13 ± 2.54 %, d = 0.453). In terms of the acute responses, the STR and CL-2 workouts resulted in greater time under tension (TUT) and impulse generation in individual repetitions than the HYP workout (p &lt; 0.05). Furthermore, the STR (+3.65 ± 2.54 mmol/L(-1)) and HYP (+6.02 ± 2.97 mmol/L(-1)) workouts resulted in significantly greater elevations in blood lactate concentration (p &lt; 0.001) than the CL-1 and CL-2 workouts. CONCLUSION CL regimens produced similar strength improvements to STR regimens even when volume load was elevated (CL-2). The effectiveness of the STR and CL-2 regimens underlines the importance of high loads and impulse generation for strength development.","author":[{"dropping-particle":"","family":"Nicholson","given":"G","non-dropping-particle":"","parse-names":false,"suffix":""},{"dropping-particle":"","family":"Ispoglou","given":"T","non-dropping-particle":"","parse-names":false,"suffix":""},{"dropping-particle":"","family":"Bissas","given":"A","non-dropping-particle":"","parse-names":false,"suffix":""}],"container-title":"European journal of applied physiology","id":"ITEM-1","issue":"10","issued":{"date-parts":[["2016","10"]]},"page":"1875-88","publisher":"Springer","title":"The impact of repetition mechanics on the adaptations resulting from strength-, hypertrophy- and cluster-type resistance training.","type":"article-journal","volume":"116"},"uris":["http://www.mendeley.com/documents/?uuid=f27d255e-bfd3-3fce-a66e-99fe4663fc9c"]},{"id":"ITEM-2","itemData":{"DOI":"10.1080/02640414.2015.1119299","ISSN":"0264-0414","PMID":"26630355","abstract":"This study compared the functional and neural effects of two strength training programmes differing in set configuration. Thirteen participants performed 10 sessions, over a period of 5 weeks, of unilateral leg extensions with different set configurations but with identical work-to-rest ratios for each limb: a traditional configuration (4 sets of 8 repetitions, 10RM load, 3-min pause between sets) and an inter-repetition rest configuration (32 repetitions, 10RM load, 17.4 s of rest between each repetition). Mean propulsive velocity of the traditional sessions was lower than for inter-repetition rest sessions (0.48 ± 0.06 vs. 0.54 ± 0.06 m · s(-1); P &lt; 0.001), while perceived exertion was higher (8.3 ± 0.9 and 6.56 ± 1.6 for traditional training and IRT; P = 0.002). One repetition maximum (RM), work with 10RM load, maximum mean propulsive power, maximum voluntary contraction and time to failure with 50% of maximum isometric force improved similarly in both legs (time effect, P &lt; 0.001; effect size range, 0.451-1.190). Time and set configuration did not show significant main effects or interactions for cortical adaptations (motor-evoked potentials, short-interval intracortical inhibition, intracortical facilitation). There were no significant correlations between changes in cortical and peripheral neural adaptations and strength improvement. In conclusion, inter-repetition rest configuration was as effective as traditional training in improving muscle performance.","author":[{"dropping-particle":"","family":"Iglesias-Soler","given":"Eliseo","non-dropping-particle":"","parse-names":false,"suffix":""},{"dropping-particle":"","family":"Mayo","given":"Xián","non-dropping-particle":"","parse-names":false,"suffix":""},{"dropping-particle":"","family":"Río-Rodríguez","given":"Dan","non-dropping-particle":"","parse-names":false,"suffix":""},{"dropping-particle":"","family":"Carballeira","given":"Eduardo","non-dropping-particle":"","parse-names":false,"suffix":""},{"dropping-particle":"","family":"Fariñas","given":"Juan","non-dropping-particle":"","parse-names":false,"suffix":""},{"dropping-particle":"","family":"Fernández-Del-Olmo","given":"Miguel","non-dropping-particle":"","parse-names":false,"suffix":""}],"container-title":"Journal of Sports Sciences","id":"ITEM-2","issue":"15","issued":{"date-parts":[["2016","8","2"]]},"page":"1473-1484","title":"Inter-repetition rest training and traditional set configuration produce similar strength gains without cortical adaptations","type":"article-journal","volume":"34"},"uris":["http://www.mendeley.com/documents/?uuid=9e4d9f1c-67c5-3ae1-afef-8f630a3c5572"]},{"id":"ITEM-3","itemData":{"DOI":"10.1519/JSC.0000000000000585","ISSN":"1064-8011","PMID":"24942176","abstract":"Cluster sets may lead to enhanced power (PW) production by allowing for partial recovery. The purpose of this study was to determine the effects of cluster sets vs. traditional sets on plyometric jump PW, ground reaction force, take-off velocity (TOV), and jump height (JH). Twenty-six recreationally trained college men completed 3 testing sessions, which involved performing repeated body-weight (BW) plyometric squat jumps across 3 different set configurations: traditional (2 sets of 10 with 90-second rest between sets), cluster 1 (4 sets of 5 with 30-second rest between sets), and cluster 2 (10 sets of 2 with 10-second rest between sets). Ground reaction force results demonstrated no interaction or main effect for condition, but there was a significant (p ≤ 0.05) main effect for repetition, where repetition 1 was significantly less than repetitions 3-5, 7-10, 12-15, and 17-20. For TOV, PW, and JH, there were significant interactions. Take-off velocity resulted in the following: Traditional, repetition 1 was significantly greater than repetitions 7-10 and 17-20, but was significantly less than repetition 13; cluster 1, repetition 1 was significantly less than repetitions 2-5; and cluster 2, there were no significant differences. Power resulted in the following: Traditional, repetition 1 was significantly greater than repetitions 4-10 and 14-20; cluster 1, repetition 1 was significantly greater than repetitions 7-10 and 12-20; and cluster 2, repetition 1 was significantly greater than repetitions 3, 6-18, and 20. Jump height resulted in the following: Traditional, repetition 1 was significantly greater than repetitions 18-20, but was significantly less than repetitions 3 and 13. For cluster 1 and cluster 2, there were no significant differences. These results demonstrate that cluster sets, specifically 10 sets of 2, allow for a greater maintenance of PW, TOV, and JH compared with a traditional 2 sets of 10 when performing repeated BW plyometric squat jumps. A lack of training data precludes definitive recommendations; however, based on these data, coaches should have their athletes perform 2-5 jumps with 27-45 seconds of rest, respectively.","author":[{"dropping-particle":"","family":"Moreno","given":"Steven D.","non-dropping-particle":"","parse-names":false,"suffix":""},{"dropping-particle":"","family":"Brown","given":"Lee E.","non-dropping-particle":"","parse-names":false,"suffix":""},{"dropping-particle":"","family":"Coburn","given":"Jared W.","non-dropping-particle":"","parse-names":false,"suffix":""},{"dropping-particle":"","family":"Judelson","given":"Daniel A.","non-dropping-particle":"","parse-names":false,"suffix":""}],"container-title":"Journal of Strength and Conditioning Research","id":"ITEM-3","issue":"9","issued":{"date-parts":[["2014","9"]]},"page":"2424-2428","title":"Effect of Cluster Sets on Plyometric Jump Power","type":"article-journal","volume":"28"},"uris":["http://www.mendeley.com/documents/?uuid=b72f8d80-e3bd-338d-9c54-a0ba83290ea4"]}],"mendeley":{"formattedCitation":"(Iglesias-Soler et al., 2016b; Moreno, Brown, Coburn, &amp; Judelson, 2014; Nicholson et al., 2016)"},"properties":{"noteIndex":0},"schema":"https://github.com/citation-style-language/schema/raw/master/csl-citation.json"}</w:instrText>
      </w:r>
      <w:r>
        <w:fldChar w:fldCharType="separate"/>
      </w:r>
      <w:r w:rsidRPr="003A204E">
        <w:rPr>
          <w:noProof/>
        </w:rPr>
        <w:t>(Iglesias-Soler et al., 2016b; Moreno, Brown, Coburn, &amp; Judelson, 2014; Nicholson et al., 2016)</w:t>
      </w:r>
      <w:r>
        <w:fldChar w:fldCharType="end"/>
      </w:r>
      <w:r>
        <w:t>.</w:t>
      </w:r>
    </w:p>
    <w:p w:rsidR="00777692" w:rsidRDefault="00777692" w:rsidP="00777692"/>
    <w:p w:rsidR="00777692" w:rsidRDefault="00777692" w:rsidP="00777692"/>
    <w:p w:rsidR="00777692" w:rsidRDefault="00777692" w:rsidP="00777692"/>
    <w:p w:rsidR="00777692" w:rsidRPr="00182A4B" w:rsidRDefault="00777692" w:rsidP="00777692">
      <w:pPr>
        <w:pStyle w:val="Descripcin"/>
        <w:keepNext/>
        <w:rPr>
          <w:b/>
        </w:rPr>
      </w:pPr>
      <w:bookmarkStart w:id="33" w:name="_Toc401568539"/>
      <w:r w:rsidRPr="00A848C9">
        <w:rPr>
          <w:b/>
        </w:rPr>
        <w:t xml:space="preserve">Tabla </w:t>
      </w:r>
      <w:r w:rsidRPr="00A848C9">
        <w:rPr>
          <w:b/>
        </w:rPr>
        <w:fldChar w:fldCharType="begin"/>
      </w:r>
      <w:r w:rsidRPr="00A848C9">
        <w:rPr>
          <w:b/>
        </w:rPr>
        <w:instrText xml:space="preserve"> </w:instrText>
      </w:r>
      <w:r>
        <w:rPr>
          <w:b/>
        </w:rPr>
        <w:instrText>SEQ</w:instrText>
      </w:r>
      <w:r w:rsidRPr="00A848C9">
        <w:rPr>
          <w:b/>
        </w:rPr>
        <w:instrText xml:space="preserve"> Tabla \* ARABIC </w:instrText>
      </w:r>
      <w:r w:rsidRPr="00A848C9">
        <w:rPr>
          <w:b/>
        </w:rPr>
        <w:fldChar w:fldCharType="separate"/>
      </w:r>
      <w:r>
        <w:rPr>
          <w:b/>
          <w:noProof/>
        </w:rPr>
        <w:t>3</w:t>
      </w:r>
      <w:r w:rsidRPr="00A848C9">
        <w:rPr>
          <w:b/>
          <w:noProof/>
        </w:rPr>
        <w:fldChar w:fldCharType="end"/>
      </w:r>
      <w:r w:rsidRPr="00A848C9">
        <w:rPr>
          <w:b/>
        </w:rPr>
        <w:t xml:space="preserve">. </w:t>
      </w:r>
      <w:r w:rsidRPr="003527C2">
        <w:t>Cambios pre-post en la variable de "contramovement jump" en los grupos de Cluster vs Tradicional. Adaptación Asadi &amp; Ramírez-Campillo, 2016.</w:t>
      </w:r>
      <w:bookmarkEnd w:id="33"/>
    </w:p>
    <w:tbl>
      <w:tblPr>
        <w:tblW w:w="5600" w:type="dxa"/>
        <w:jc w:val="center"/>
        <w:tblCellMar>
          <w:left w:w="70" w:type="dxa"/>
          <w:right w:w="70" w:type="dxa"/>
        </w:tblCellMar>
        <w:tblLook w:val="04A0" w:firstRow="1" w:lastRow="0" w:firstColumn="1" w:lastColumn="0" w:noHBand="0" w:noVBand="1"/>
      </w:tblPr>
      <w:tblGrid>
        <w:gridCol w:w="2640"/>
        <w:gridCol w:w="1320"/>
        <w:gridCol w:w="1640"/>
      </w:tblGrid>
      <w:tr w:rsidR="00777692" w:rsidRPr="004C25AC" w:rsidTr="004F387C">
        <w:trPr>
          <w:trHeight w:val="600"/>
          <w:jc w:val="center"/>
        </w:trPr>
        <w:tc>
          <w:tcPr>
            <w:tcW w:w="2640" w:type="dxa"/>
            <w:tcBorders>
              <w:top w:val="single" w:sz="4" w:space="0" w:color="auto"/>
              <w:left w:val="nil"/>
              <w:bottom w:val="single" w:sz="4" w:space="0" w:color="auto"/>
              <w:right w:val="nil"/>
            </w:tcBorders>
            <w:shd w:val="clear" w:color="auto" w:fill="auto"/>
            <w:noWrap/>
            <w:vAlign w:val="center"/>
            <w:hideMark/>
          </w:tcPr>
          <w:p w:rsidR="00777692" w:rsidRPr="008846A8" w:rsidRDefault="00777692" w:rsidP="004F387C">
            <w:pPr>
              <w:spacing w:line="240" w:lineRule="auto"/>
              <w:jc w:val="left"/>
              <w:rPr>
                <w:rFonts w:eastAsia="Times New Roman"/>
                <w:b/>
                <w:bCs/>
                <w:color w:val="000000"/>
                <w:sz w:val="20"/>
                <w:szCs w:val="20"/>
              </w:rPr>
            </w:pPr>
            <w:r w:rsidRPr="008846A8">
              <w:rPr>
                <w:rFonts w:eastAsia="Times New Roman"/>
                <w:b/>
                <w:bCs/>
                <w:color w:val="000000"/>
                <w:sz w:val="20"/>
                <w:szCs w:val="20"/>
              </w:rPr>
              <w:t>Variable</w:t>
            </w:r>
          </w:p>
        </w:tc>
        <w:tc>
          <w:tcPr>
            <w:tcW w:w="1320" w:type="dxa"/>
            <w:tcBorders>
              <w:top w:val="single" w:sz="4" w:space="0" w:color="auto"/>
              <w:left w:val="nil"/>
              <w:bottom w:val="single" w:sz="4" w:space="0" w:color="auto"/>
              <w:right w:val="nil"/>
            </w:tcBorders>
            <w:shd w:val="clear" w:color="auto" w:fill="auto"/>
            <w:noWrap/>
            <w:vAlign w:val="center"/>
            <w:hideMark/>
          </w:tcPr>
          <w:p w:rsidR="00777692" w:rsidRPr="008846A8" w:rsidRDefault="00777692" w:rsidP="004F387C">
            <w:pPr>
              <w:spacing w:line="240" w:lineRule="auto"/>
              <w:jc w:val="center"/>
              <w:rPr>
                <w:rFonts w:eastAsia="Times New Roman"/>
                <w:b/>
                <w:bCs/>
                <w:color w:val="000000"/>
                <w:sz w:val="20"/>
                <w:szCs w:val="20"/>
              </w:rPr>
            </w:pPr>
            <w:r w:rsidRPr="008846A8">
              <w:rPr>
                <w:rFonts w:eastAsia="Times New Roman"/>
                <w:b/>
                <w:bCs/>
                <w:color w:val="000000"/>
                <w:sz w:val="20"/>
                <w:szCs w:val="20"/>
              </w:rPr>
              <w:t>Cluster Group</w:t>
            </w:r>
          </w:p>
        </w:tc>
        <w:tc>
          <w:tcPr>
            <w:tcW w:w="1640" w:type="dxa"/>
            <w:tcBorders>
              <w:top w:val="single" w:sz="4" w:space="0" w:color="auto"/>
              <w:left w:val="nil"/>
              <w:bottom w:val="single" w:sz="4" w:space="0" w:color="auto"/>
              <w:right w:val="nil"/>
            </w:tcBorders>
            <w:shd w:val="clear" w:color="auto" w:fill="auto"/>
            <w:noWrap/>
            <w:vAlign w:val="center"/>
            <w:hideMark/>
          </w:tcPr>
          <w:p w:rsidR="00777692" w:rsidRPr="008846A8" w:rsidRDefault="00777692" w:rsidP="004F387C">
            <w:pPr>
              <w:spacing w:line="240" w:lineRule="auto"/>
              <w:jc w:val="center"/>
              <w:rPr>
                <w:rFonts w:eastAsia="Times New Roman"/>
                <w:b/>
                <w:bCs/>
                <w:color w:val="000000"/>
                <w:sz w:val="20"/>
                <w:szCs w:val="20"/>
              </w:rPr>
            </w:pPr>
            <w:r w:rsidRPr="008846A8">
              <w:rPr>
                <w:rFonts w:eastAsia="Times New Roman"/>
                <w:b/>
                <w:bCs/>
                <w:color w:val="000000"/>
                <w:sz w:val="20"/>
                <w:szCs w:val="20"/>
              </w:rPr>
              <w:t>Traditional Group</w:t>
            </w:r>
          </w:p>
        </w:tc>
      </w:tr>
      <w:tr w:rsidR="00777692" w:rsidRPr="004C25AC" w:rsidTr="004F387C">
        <w:trPr>
          <w:trHeight w:val="300"/>
          <w:jc w:val="center"/>
        </w:trPr>
        <w:tc>
          <w:tcPr>
            <w:tcW w:w="2640" w:type="dxa"/>
            <w:tcBorders>
              <w:top w:val="nil"/>
              <w:left w:val="nil"/>
              <w:bottom w:val="nil"/>
              <w:right w:val="nil"/>
            </w:tcBorders>
            <w:shd w:val="clear" w:color="auto" w:fill="auto"/>
            <w:noWrap/>
            <w:vAlign w:val="bottom"/>
            <w:hideMark/>
          </w:tcPr>
          <w:p w:rsidR="00777692" w:rsidRPr="008846A8" w:rsidRDefault="00777692" w:rsidP="004F387C">
            <w:pPr>
              <w:spacing w:line="240" w:lineRule="auto"/>
              <w:jc w:val="left"/>
              <w:rPr>
                <w:rFonts w:eastAsia="Times New Roman"/>
                <w:b/>
                <w:bCs/>
                <w:color w:val="000000"/>
                <w:sz w:val="20"/>
                <w:szCs w:val="20"/>
              </w:rPr>
            </w:pPr>
            <w:r w:rsidRPr="008846A8">
              <w:rPr>
                <w:rFonts w:eastAsia="Times New Roman"/>
                <w:b/>
                <w:bCs/>
                <w:color w:val="000000"/>
                <w:sz w:val="20"/>
                <w:szCs w:val="20"/>
              </w:rPr>
              <w:t>Pre</w:t>
            </w:r>
          </w:p>
        </w:tc>
        <w:tc>
          <w:tcPr>
            <w:tcW w:w="1320" w:type="dxa"/>
            <w:tcBorders>
              <w:top w:val="nil"/>
              <w:left w:val="nil"/>
              <w:bottom w:val="nil"/>
              <w:right w:val="nil"/>
            </w:tcBorders>
            <w:shd w:val="clear" w:color="auto" w:fill="auto"/>
            <w:noWrap/>
            <w:vAlign w:val="bottom"/>
            <w:hideMark/>
          </w:tcPr>
          <w:p w:rsidR="00777692" w:rsidRPr="008846A8" w:rsidRDefault="00777692" w:rsidP="004F387C">
            <w:pPr>
              <w:spacing w:line="240" w:lineRule="auto"/>
              <w:jc w:val="right"/>
              <w:rPr>
                <w:rFonts w:eastAsia="Times New Roman"/>
                <w:color w:val="000000"/>
                <w:sz w:val="20"/>
                <w:szCs w:val="20"/>
              </w:rPr>
            </w:pPr>
            <w:r w:rsidRPr="008846A8">
              <w:rPr>
                <w:rFonts w:eastAsia="Times New Roman"/>
                <w:color w:val="000000"/>
                <w:sz w:val="20"/>
                <w:szCs w:val="20"/>
              </w:rPr>
              <w:t>43,5 ± 4,43</w:t>
            </w:r>
          </w:p>
        </w:tc>
        <w:tc>
          <w:tcPr>
            <w:tcW w:w="1640" w:type="dxa"/>
            <w:tcBorders>
              <w:top w:val="nil"/>
              <w:left w:val="nil"/>
              <w:bottom w:val="nil"/>
              <w:right w:val="nil"/>
            </w:tcBorders>
            <w:shd w:val="clear" w:color="auto" w:fill="auto"/>
            <w:noWrap/>
            <w:vAlign w:val="bottom"/>
            <w:hideMark/>
          </w:tcPr>
          <w:p w:rsidR="00777692" w:rsidRPr="008846A8" w:rsidRDefault="00777692" w:rsidP="004F387C">
            <w:pPr>
              <w:spacing w:line="240" w:lineRule="auto"/>
              <w:jc w:val="right"/>
              <w:rPr>
                <w:rFonts w:eastAsia="Times New Roman"/>
                <w:color w:val="000000"/>
                <w:sz w:val="20"/>
                <w:szCs w:val="20"/>
              </w:rPr>
            </w:pPr>
            <w:r w:rsidRPr="008846A8">
              <w:rPr>
                <w:rFonts w:eastAsia="Times New Roman"/>
                <w:color w:val="000000"/>
                <w:sz w:val="20"/>
                <w:szCs w:val="20"/>
              </w:rPr>
              <w:t>42,71 ± 6,39</w:t>
            </w:r>
          </w:p>
        </w:tc>
      </w:tr>
      <w:tr w:rsidR="00777692" w:rsidRPr="004C25AC" w:rsidTr="004F387C">
        <w:trPr>
          <w:trHeight w:val="300"/>
          <w:jc w:val="center"/>
        </w:trPr>
        <w:tc>
          <w:tcPr>
            <w:tcW w:w="2640" w:type="dxa"/>
            <w:tcBorders>
              <w:top w:val="nil"/>
              <w:left w:val="nil"/>
              <w:bottom w:val="nil"/>
              <w:right w:val="nil"/>
            </w:tcBorders>
            <w:shd w:val="clear" w:color="auto" w:fill="auto"/>
            <w:noWrap/>
            <w:vAlign w:val="bottom"/>
            <w:hideMark/>
          </w:tcPr>
          <w:p w:rsidR="00777692" w:rsidRPr="008846A8" w:rsidRDefault="00777692" w:rsidP="004F387C">
            <w:pPr>
              <w:spacing w:line="240" w:lineRule="auto"/>
              <w:jc w:val="left"/>
              <w:rPr>
                <w:rFonts w:eastAsia="Times New Roman"/>
                <w:b/>
                <w:bCs/>
                <w:color w:val="000000"/>
                <w:sz w:val="20"/>
                <w:szCs w:val="20"/>
              </w:rPr>
            </w:pPr>
            <w:r w:rsidRPr="008846A8">
              <w:rPr>
                <w:rFonts w:eastAsia="Times New Roman"/>
                <w:b/>
                <w:bCs/>
                <w:color w:val="000000"/>
                <w:sz w:val="20"/>
                <w:szCs w:val="20"/>
              </w:rPr>
              <w:t>Post</w:t>
            </w:r>
          </w:p>
        </w:tc>
        <w:tc>
          <w:tcPr>
            <w:tcW w:w="1320" w:type="dxa"/>
            <w:tcBorders>
              <w:top w:val="nil"/>
              <w:left w:val="nil"/>
              <w:bottom w:val="nil"/>
              <w:right w:val="nil"/>
            </w:tcBorders>
            <w:shd w:val="clear" w:color="auto" w:fill="auto"/>
            <w:noWrap/>
            <w:vAlign w:val="bottom"/>
            <w:hideMark/>
          </w:tcPr>
          <w:p w:rsidR="00777692" w:rsidRPr="008846A8" w:rsidRDefault="00777692" w:rsidP="004F387C">
            <w:pPr>
              <w:spacing w:line="240" w:lineRule="auto"/>
              <w:jc w:val="right"/>
              <w:rPr>
                <w:rFonts w:eastAsia="Times New Roman"/>
                <w:color w:val="000000"/>
                <w:sz w:val="20"/>
                <w:szCs w:val="20"/>
              </w:rPr>
            </w:pPr>
            <w:r w:rsidRPr="008846A8">
              <w:rPr>
                <w:rFonts w:eastAsia="Times New Roman"/>
                <w:color w:val="000000"/>
                <w:sz w:val="20"/>
                <w:szCs w:val="20"/>
              </w:rPr>
              <w:t>49 ± 3,82*</w:t>
            </w:r>
          </w:p>
        </w:tc>
        <w:tc>
          <w:tcPr>
            <w:tcW w:w="1640" w:type="dxa"/>
            <w:tcBorders>
              <w:top w:val="nil"/>
              <w:left w:val="nil"/>
              <w:bottom w:val="nil"/>
              <w:right w:val="nil"/>
            </w:tcBorders>
            <w:shd w:val="clear" w:color="auto" w:fill="auto"/>
            <w:noWrap/>
            <w:vAlign w:val="bottom"/>
            <w:hideMark/>
          </w:tcPr>
          <w:p w:rsidR="00777692" w:rsidRPr="008846A8" w:rsidRDefault="00777692" w:rsidP="004F387C">
            <w:pPr>
              <w:spacing w:line="240" w:lineRule="auto"/>
              <w:jc w:val="right"/>
              <w:rPr>
                <w:rFonts w:eastAsia="Times New Roman"/>
                <w:color w:val="000000"/>
                <w:sz w:val="20"/>
                <w:szCs w:val="20"/>
              </w:rPr>
            </w:pPr>
            <w:r w:rsidRPr="008846A8">
              <w:rPr>
                <w:rFonts w:eastAsia="Times New Roman"/>
                <w:color w:val="000000"/>
                <w:sz w:val="20"/>
                <w:szCs w:val="20"/>
              </w:rPr>
              <w:t>48,14 ± 7,31*</w:t>
            </w:r>
          </w:p>
        </w:tc>
      </w:tr>
      <w:tr w:rsidR="00777692" w:rsidRPr="004C25AC" w:rsidTr="004F387C">
        <w:trPr>
          <w:trHeight w:val="300"/>
          <w:jc w:val="center"/>
        </w:trPr>
        <w:tc>
          <w:tcPr>
            <w:tcW w:w="2640" w:type="dxa"/>
            <w:tcBorders>
              <w:top w:val="nil"/>
              <w:left w:val="nil"/>
              <w:bottom w:val="nil"/>
              <w:right w:val="nil"/>
            </w:tcBorders>
            <w:shd w:val="clear" w:color="auto" w:fill="auto"/>
            <w:noWrap/>
            <w:vAlign w:val="bottom"/>
            <w:hideMark/>
          </w:tcPr>
          <w:p w:rsidR="00777692" w:rsidRPr="008846A8" w:rsidRDefault="00777692" w:rsidP="004F387C">
            <w:pPr>
              <w:spacing w:line="240" w:lineRule="auto"/>
              <w:jc w:val="left"/>
              <w:rPr>
                <w:rFonts w:eastAsia="Times New Roman"/>
                <w:b/>
                <w:bCs/>
                <w:color w:val="000000"/>
                <w:sz w:val="20"/>
                <w:szCs w:val="20"/>
              </w:rPr>
            </w:pPr>
            <w:r w:rsidRPr="008846A8">
              <w:rPr>
                <w:rFonts w:eastAsia="Times New Roman"/>
                <w:b/>
                <w:bCs/>
                <w:color w:val="000000"/>
                <w:sz w:val="20"/>
                <w:szCs w:val="20"/>
              </w:rPr>
              <w:t>ES</w:t>
            </w:r>
          </w:p>
        </w:tc>
        <w:tc>
          <w:tcPr>
            <w:tcW w:w="1320" w:type="dxa"/>
            <w:tcBorders>
              <w:top w:val="nil"/>
              <w:left w:val="nil"/>
              <w:bottom w:val="nil"/>
              <w:right w:val="nil"/>
            </w:tcBorders>
            <w:shd w:val="clear" w:color="auto" w:fill="auto"/>
            <w:noWrap/>
            <w:vAlign w:val="bottom"/>
            <w:hideMark/>
          </w:tcPr>
          <w:p w:rsidR="00777692" w:rsidRPr="008846A8" w:rsidRDefault="00777692" w:rsidP="004F387C">
            <w:pPr>
              <w:spacing w:line="240" w:lineRule="auto"/>
              <w:jc w:val="right"/>
              <w:rPr>
                <w:rFonts w:eastAsia="Times New Roman"/>
                <w:color w:val="000000"/>
                <w:sz w:val="20"/>
                <w:szCs w:val="20"/>
              </w:rPr>
            </w:pPr>
            <w:r w:rsidRPr="008846A8">
              <w:rPr>
                <w:rFonts w:eastAsia="Times New Roman"/>
                <w:color w:val="000000"/>
                <w:sz w:val="20"/>
                <w:szCs w:val="20"/>
              </w:rPr>
              <w:t>1,24</w:t>
            </w:r>
          </w:p>
        </w:tc>
        <w:tc>
          <w:tcPr>
            <w:tcW w:w="1640" w:type="dxa"/>
            <w:tcBorders>
              <w:top w:val="nil"/>
              <w:left w:val="nil"/>
              <w:bottom w:val="nil"/>
              <w:right w:val="nil"/>
            </w:tcBorders>
            <w:shd w:val="clear" w:color="auto" w:fill="auto"/>
            <w:noWrap/>
            <w:vAlign w:val="bottom"/>
            <w:hideMark/>
          </w:tcPr>
          <w:p w:rsidR="00777692" w:rsidRPr="008846A8" w:rsidRDefault="00777692" w:rsidP="004F387C">
            <w:pPr>
              <w:spacing w:line="240" w:lineRule="auto"/>
              <w:jc w:val="right"/>
              <w:rPr>
                <w:rFonts w:eastAsia="Times New Roman"/>
                <w:color w:val="000000"/>
                <w:sz w:val="20"/>
                <w:szCs w:val="20"/>
              </w:rPr>
            </w:pPr>
            <w:r w:rsidRPr="008846A8">
              <w:rPr>
                <w:rFonts w:eastAsia="Times New Roman"/>
                <w:color w:val="000000"/>
                <w:sz w:val="20"/>
                <w:szCs w:val="20"/>
              </w:rPr>
              <w:t>0,84</w:t>
            </w:r>
          </w:p>
        </w:tc>
      </w:tr>
      <w:tr w:rsidR="00777692" w:rsidRPr="004C25AC" w:rsidTr="004F387C">
        <w:trPr>
          <w:trHeight w:val="300"/>
          <w:jc w:val="center"/>
        </w:trPr>
        <w:tc>
          <w:tcPr>
            <w:tcW w:w="2640" w:type="dxa"/>
            <w:tcBorders>
              <w:top w:val="nil"/>
              <w:left w:val="nil"/>
              <w:bottom w:val="single" w:sz="4" w:space="0" w:color="auto"/>
              <w:right w:val="nil"/>
            </w:tcBorders>
            <w:shd w:val="clear" w:color="auto" w:fill="auto"/>
            <w:noWrap/>
            <w:vAlign w:val="bottom"/>
            <w:hideMark/>
          </w:tcPr>
          <w:p w:rsidR="00777692" w:rsidRPr="008846A8" w:rsidRDefault="00777692" w:rsidP="004F387C">
            <w:pPr>
              <w:spacing w:line="240" w:lineRule="auto"/>
              <w:jc w:val="left"/>
              <w:rPr>
                <w:rFonts w:eastAsia="Times New Roman"/>
                <w:b/>
                <w:bCs/>
                <w:color w:val="000000"/>
                <w:sz w:val="20"/>
                <w:szCs w:val="20"/>
              </w:rPr>
            </w:pPr>
            <w:r w:rsidRPr="008846A8">
              <w:rPr>
                <w:rFonts w:eastAsia="Times New Roman"/>
                <w:b/>
                <w:bCs/>
                <w:color w:val="000000"/>
                <w:sz w:val="20"/>
                <w:szCs w:val="20"/>
              </w:rPr>
              <w:t>% of change</w:t>
            </w:r>
          </w:p>
        </w:tc>
        <w:tc>
          <w:tcPr>
            <w:tcW w:w="1320" w:type="dxa"/>
            <w:tcBorders>
              <w:top w:val="nil"/>
              <w:left w:val="nil"/>
              <w:bottom w:val="single" w:sz="4" w:space="0" w:color="auto"/>
              <w:right w:val="nil"/>
            </w:tcBorders>
            <w:shd w:val="clear" w:color="auto" w:fill="auto"/>
            <w:noWrap/>
            <w:vAlign w:val="bottom"/>
            <w:hideMark/>
          </w:tcPr>
          <w:p w:rsidR="00777692" w:rsidRPr="008846A8" w:rsidRDefault="00777692" w:rsidP="004F387C">
            <w:pPr>
              <w:spacing w:line="240" w:lineRule="auto"/>
              <w:jc w:val="right"/>
              <w:rPr>
                <w:rFonts w:eastAsia="Times New Roman"/>
                <w:color w:val="000000"/>
                <w:sz w:val="20"/>
                <w:szCs w:val="20"/>
              </w:rPr>
            </w:pPr>
            <w:r w:rsidRPr="008846A8">
              <w:rPr>
                <w:rFonts w:eastAsia="Times New Roman"/>
                <w:color w:val="000000"/>
                <w:sz w:val="20"/>
                <w:szCs w:val="20"/>
              </w:rPr>
              <w:t>12,64</w:t>
            </w:r>
          </w:p>
        </w:tc>
        <w:tc>
          <w:tcPr>
            <w:tcW w:w="1640" w:type="dxa"/>
            <w:tcBorders>
              <w:top w:val="nil"/>
              <w:left w:val="nil"/>
              <w:bottom w:val="single" w:sz="4" w:space="0" w:color="auto"/>
              <w:right w:val="nil"/>
            </w:tcBorders>
            <w:shd w:val="clear" w:color="auto" w:fill="auto"/>
            <w:noWrap/>
            <w:vAlign w:val="bottom"/>
            <w:hideMark/>
          </w:tcPr>
          <w:p w:rsidR="00777692" w:rsidRPr="008846A8" w:rsidRDefault="00777692" w:rsidP="004F387C">
            <w:pPr>
              <w:spacing w:line="240" w:lineRule="auto"/>
              <w:jc w:val="right"/>
              <w:rPr>
                <w:rFonts w:eastAsia="Times New Roman"/>
                <w:color w:val="000000"/>
                <w:sz w:val="20"/>
                <w:szCs w:val="20"/>
              </w:rPr>
            </w:pPr>
            <w:r w:rsidRPr="008846A8">
              <w:rPr>
                <w:rFonts w:eastAsia="Times New Roman"/>
                <w:color w:val="000000"/>
                <w:sz w:val="20"/>
                <w:szCs w:val="20"/>
              </w:rPr>
              <w:t>10,1</w:t>
            </w:r>
          </w:p>
        </w:tc>
      </w:tr>
    </w:tbl>
    <w:p w:rsidR="00777692" w:rsidRPr="00A848C9" w:rsidRDefault="00777692" w:rsidP="00777692"/>
    <w:p w:rsidR="00777692" w:rsidRDefault="00777692" w:rsidP="00777692"/>
    <w:p w:rsidR="00777692" w:rsidRPr="004039A5" w:rsidRDefault="00777692" w:rsidP="00777692">
      <w:r>
        <w:t xml:space="preserve">Los descansos entre repeticiones pueden estar distribuidos de múltiples maneras, o bien </w:t>
      </w:r>
      <w:r w:rsidRPr="007943AB">
        <w:t>descansos entre cada una de ellas, o e</w:t>
      </w:r>
      <w:r>
        <w:t>ntre 2 o entre 3… todo depende</w:t>
      </w:r>
      <w:r w:rsidRPr="007943AB">
        <w:t xml:space="preserve"> del objetivo que se busque y</w:t>
      </w:r>
      <w:r>
        <w:t xml:space="preserve"> de intentar encontrar la forma</w:t>
      </w:r>
      <w:r w:rsidRPr="007943AB">
        <w:t xml:space="preserve"> más</w:t>
      </w:r>
      <w:r>
        <w:t xml:space="preserve"> e</w:t>
      </w:r>
      <w:r w:rsidRPr="007943AB">
        <w:t xml:space="preserve">fectiva. En las investigaciones </w:t>
      </w:r>
      <w:r>
        <w:t>se encuentran</w:t>
      </w:r>
      <w:r w:rsidRPr="007943AB">
        <w:t xml:space="preserve"> generalmente descansos mínimos de 10 segundos y máximos de 60 segundos,</w:t>
      </w:r>
      <w:r>
        <w:t xml:space="preserve"> ya que si se supera el minuto se están introduciendo recuperaciones normales, como sucede en los </w:t>
      </w:r>
      <w:r>
        <w:lastRenderedPageBreak/>
        <w:t xml:space="preserve">entrenamientos tradicionales </w:t>
      </w:r>
      <w:r>
        <w:fldChar w:fldCharType="begin" w:fldLock="1"/>
      </w:r>
      <w:r>
        <w:instrText>ADDIN CSL_CITATION {"citationItems":[{"id":"ITEM-1","itemData":{"ISSN":"1555-0265","PMID":"21934171","abstract":"PURPOSE The purpose of this study was to investigate the effect of set structure, in terms of repetition work:rest ratios on force, velocity, and power during jump squat training. METHODS Twenty professional and semiprofessional rugby players performed training sessions comprising four sets of 6 repetitions of a jump squat using four different set configurations. The first involved a traditional configuration (TR) of 4 × 6 repetitions with 3 min of rest between sets, the second (C1) 4 × 6 × singles (1 repetition) with 12 s of rest between repetitions, the third (C2) 4 × 3 × doubles (2 repetitions) with 30 s of rest between pairs, and the third (C3) 4 × 2 × triples (3 repetitions) with 60 s of rest between triples. A spreadsheet for the analysis of controlled trials that calculated the P-value, and percent difference and Cohen's effect size from log-transformed data was used to investigate differences in repetition force, velocity, and power profiles among configurations. RESULTS Peak power was significantly lower (P &lt; .05) for the TR condition when compared with C1 and C3 for repetition 4, and all cluster configurations for repetitions 5 and 6. Peak velocity was significantly lower (P &lt; .05) for the TR condition compared with C3 at repetition 4, significantly lower compared with C2 and C3 at repetition 5, and significantly lower compared with all cluster conditions for repetition 6. CONCLUSIONS Providing inter-repetition rest during a traditional set of six repetitions can attenuate decreases in power and velocity of movement through the set.","author":[{"dropping-particle":"","family":"Hansen","given":"Keir T","non-dropping-particle":"","parse-names":false,"suffix":""},{"dropping-particle":"","family":"Cronin","given":"John B","non-dropping-particle":"","parse-names":false,"suffix":""},{"dropping-particle":"","family":"Newton","given":"Michael J","non-dropping-particle":"","parse-names":false,"suffix":""}],"container-title":"International journal of sports physiology and performance","id":"ITEM-1","issue":"4","issued":{"date-parts":[["2011","12"]]},"page":"455-68","title":"The effect of cluster loading on force, velocity, and power during ballistic jump squat training.","type":"article-journal","volume":"6"},"uris":["http://www.mendeley.com/documents/?uuid=ccd8d797-f0e2-3902-b5c3-7f92bf520989"]},{"id":"ITEM-2","itemData":{"DOI":"10.1080/02640414.2012.736633","ISSN":"0264-0414","PMID":"23121475","abstract":"The purpose of this investigation was to examine the effects of cluster set configurations on power clean technique. Ten male, recreational weightlifters performed three sets of six repetitions at 80% of one repetition max with 0 (P0), 20 (P20) or 40 seconds (P40) inter-repetition rest. During the first and second set of P0, the catch and first pull were in a more forward position during repetition 6 as compared to repetition 1, respectively. During the second set of P40, differences in horizontal displacement were found between repetitions 1 and 6 for the second pull and the loop. During the third set of P40, differences in horizontal displacement were found between repetitions 1 and 6 for the first pull, transition, and beginning of the second pull. No differences in horizontal displacement were found between repetitions 1 and 6 during P20. During each set of P0, vertical displacement decreased between repetitions 1 and 6 (1.02 ± 0.07 m vs. 0.94 ± 0.06 m; Mean ± s). Cluster set configurations led to the maintenance of vertical displacement throughout all sets. The results demonstrate cluster set configurations with greater than 20 seconds inter-repetition rest maintain weightlifting technique to a greater extent than a traditional set configuration.","author":[{"dropping-particle":"","family":"Hardee","given":"Justin P.","non-dropping-particle":"","parse-names":false,"suffix":""},{"dropping-particle":"","family":"Lawrence","given":"Marcus M.","non-dropping-particle":"","parse-names":false,"suffix":""},{"dropping-particle":"","family":"Zwetsloot","given":"Kevin A.","non-dropping-particle":"","parse-names":false,"suffix":""},{"dropping-particle":"","family":"Triplett","given":"N. Travis","non-dropping-particle":"","parse-names":false,"suffix":""},{"dropping-particle":"","family":"Utter","given":"Alan C.","non-dropping-particle":"","parse-names":false,"suffix":""},{"dropping-particle":"","family":"McBride","given":"Jeffrey M.","non-dropping-particle":"","parse-names":false,"suffix":""}],"container-title":"Journal of Sports Sciences","id":"ITEM-2","issue":"5","issued":{"date-parts":[["2013","3"]]},"page":"488-496","title":"Effect of cluster set configurations on power clean technique","type":"article-journal","volume":"31"},"uris":["http://www.mendeley.com/documents/?uuid=4abeb421-5075-34ff-97bb-f63ac125e2f1"]}],"mendeley":{"formattedCitation":"(Hansen, Cronin, &amp; Newton, 2011; Hardee et al., 2013)","plainTextFormattedCitation":"(Hansen, Cronin, &amp; Newton, 2011; Hardee et al., 2013)","previouslyFormattedCitation":"(Hansen, Cronin, &amp; Newton, 2011; Hardee et al., 2013)"},"properties":{"noteIndex":0},"schema":"https://github.com/citation-style-language/schema/raw/master/csl-citation.json"}</w:instrText>
      </w:r>
      <w:r>
        <w:fldChar w:fldCharType="separate"/>
      </w:r>
      <w:r w:rsidRPr="008846A8">
        <w:rPr>
          <w:noProof/>
        </w:rPr>
        <w:t>(Hansen, Cronin, &amp; Newton, 2011; Hardee et al., 2013)</w:t>
      </w:r>
      <w:r>
        <w:fldChar w:fldCharType="end"/>
      </w:r>
      <w:r>
        <w:t xml:space="preserve">. Es relevante su redistribución, por ello, en trabajos de fuerza se aconseja introducir descansos inter-repeticiones de más de 20 segundos </w:t>
      </w:r>
      <w:r>
        <w:fldChar w:fldCharType="begin" w:fldLock="1"/>
      </w:r>
      <w:r>
        <w:instrText>ADDIN CSL_CITATION {"citationItems":[{"id":"ITEM-1","itemData":{"DOI":"10.1080/02640414.2012.736633","ISSN":"0264-0414","PMID":"23121475","abstract":"The purpose of this investigation was to examine the effects of cluster set configurations on power clean technique. Ten male, recreational weightlifters performed three sets of six repetitions at 80% of one repetition max with 0 (P0), 20 (P20) or 40 seconds (P40) inter-repetition rest. During the first and second set of P0, the catch and first pull were in a more forward position during repetition 6 as compared to repetition 1, respectively. During the second set of P40, differences in horizontal displacement were found between repetitions 1 and 6 for the second pull and the loop. During the third set of P40, differences in horizontal displacement were found between repetitions 1 and 6 for the first pull, transition, and beginning of the second pull. No differences in horizontal displacement were found between repetitions 1 and 6 during P20. During each set of P0, vertical displacement decreased between repetitions 1 and 6 (1.02 ± 0.07 m vs. 0.94 ± 0.06 m; Mean ± s). Cluster set configurations led to the maintenance of vertical displacement throughout all sets. The results demonstrate cluster set configurations with greater than 20 seconds inter-repetition rest maintain weightlifting technique to a greater extent than a traditional set configuration.","author":[{"dropping-particle":"","family":"Hardee","given":"Justin P.","non-dropping-particle":"","parse-names":false,"suffix":""},{"dropping-particle":"","family":"Lawrence","given":"Marcus M.","non-dropping-particle":"","parse-names":false,"suffix":""},{"dropping-particle":"","family":"Zwetsloot","given":"Kevin A.","non-dropping-particle":"","parse-names":false,"suffix":""},{"dropping-particle":"","family":"Triplett","given":"N. Travis","non-dropping-particle":"","parse-names":false,"suffix":""},{"dropping-particle":"","family":"Utter","given":"Alan C.","non-dropping-particle":"","parse-names":false,"suffix":""},{"dropping-particle":"","family":"McBride","given":"Jeffrey M.","non-dropping-particle":"","parse-names":false,"suffix":""}],"container-title":"Journal of Sports Sciences","id":"ITEM-1","issue":"5","issued":{"date-parts":[["2013","3"]]},"page":"488-496","title":"Effect of cluster set configurations on power clean technique","type":"article-journal","volume":"31"},"uris":["http://www.mendeley.com/documents/?uuid=4abeb421-5075-34ff-97bb-f63ac125e2f1"]}],"mendeley":{"formattedCitation":"(Hardee et al., 2013)","plainTextFormattedCitation":"(Hardee et al., 2013)","previouslyFormattedCitation":"(Hardee et al., 2013)"},"properties":{"noteIndex":0},"schema":"https://github.com/citation-style-language/schema/raw/master/csl-citation.json"}</w:instrText>
      </w:r>
      <w:r>
        <w:fldChar w:fldCharType="separate"/>
      </w:r>
      <w:r w:rsidRPr="00B83243">
        <w:rPr>
          <w:noProof/>
        </w:rPr>
        <w:t>(Hardee et al., 2013)</w:t>
      </w:r>
      <w:r>
        <w:fldChar w:fldCharType="end"/>
      </w:r>
      <w:r>
        <w:t xml:space="preserve">. Se pueden encontrar distintos protocolos de entrenamiento introduciendo el </w:t>
      </w:r>
      <w:r>
        <w:rPr>
          <w:i/>
        </w:rPr>
        <w:t>cluster</w:t>
      </w:r>
      <w:r>
        <w:t xml:space="preserve"> (Figura 14), en los que se observan las variaciones de las recuperaciones y de las repeticiones, por ejemplo si se realizan descansos breves de forma frecuente en el ejercicio </w:t>
      </w:r>
      <w:r w:rsidRPr="004039A5">
        <w:rPr>
          <w:i/>
        </w:rPr>
        <w:t>“</w:t>
      </w:r>
      <w:r>
        <w:rPr>
          <w:i/>
        </w:rPr>
        <w:t>B</w:t>
      </w:r>
      <w:r w:rsidRPr="004039A5">
        <w:rPr>
          <w:i/>
        </w:rPr>
        <w:t>ack Squat”</w:t>
      </w:r>
      <w:r>
        <w:t xml:space="preserve"> se consigue un mantenimiento óptimo de la cinética y de la cinemática del ejercicio, así como un control de la velocidad y la potencia durante todas las repeticiones </w:t>
      </w:r>
      <w:r>
        <w:fldChar w:fldCharType="begin" w:fldLock="1"/>
      </w:r>
      <w:r>
        <w:instrText>ADDIN CSL_CITATION {"citationItems":[{"id":"ITEM-1","itemData":{"DOI":"10.1515/hukin-2017-0069","ISSN":"1640-5544","PMID":"28828076","abstract":"Eight resistance-trained men completed three protocols separated by 48-96 hours. Each protocol included 36 repetitions with the same rest duration, but the frequency and length of rest periods differed. The cluster sets of four (CS4) protocol included 30 s of rest after the 4th, 8th, 16th, 20th, 28th, and 32nd repetition in addition to 120 s of rest after the 12th and 24th repetition. For the other two protocols, the total 420 s rest time of CS4 was redistributed to include nine sets of four repetitions (RR4) with 52.5 s of rest after every four repetitions, or 36 sets of single repetitions (RR1) with 12 s of rest after every repetition. Mean (MF) and peak (PF) force, velocity (MV and PV), and power output (MP and PP) were measured during 36 repetitions and were collapsed into 12 repetitions for analysis. Repeated measures ANOVA 3 (protocol) x 12 (repetition) showed a protocol x repetition interaction for PF, MV, PV, MP, and PP (p-values from &lt;0.001 to 0.012). No interaction or main effect was present for MF. During RR1, MV, PV, MP, and PP were maintained, but decreased throughout every 4-repetition sequence during CS4 and RR4. During CS4 and RR4, PF was less following a rest period compared to subsequent repetitions, whereas PF was maintained during RR1. These data indicate that rest redistribution results in similar average kinetics and kinematics, but if total rest time is redistributed to create shorter but more frequent sets, kinetics and kinematics may remain more constant.","author":[{"dropping-particle":"","family":"Tufano","given":"James J","non-dropping-particle":"","parse-names":false,"suffix":""},{"dropping-particle":"","family":"Conlon","given":"Jenny A","non-dropping-particle":"","parse-names":false,"suffix":""},{"dropping-particle":"","family":"Nimphius","given":"Sophia","non-dropping-particle":"","parse-names":false,"suffix":""},{"dropping-particle":"","family":"Brown","given":"Lee E","non-dropping-particle":"","parse-names":false,"suffix":""},{"dropping-particle":"","family":"Petkovic","given":"Alex","non-dropping-particle":"","parse-names":false,"suffix":""},{"dropping-particle":"","family":"Frick","given":"Justin","non-dropping-particle":"","parse-names":false,"suffix":""},{"dropping-particle":"","family":"Haff","given":"G Gregory","non-dropping-particle":"","parse-names":false,"suffix":""}],"container-title":"Journal of human kinetics","id":"ITEM-1","issued":{"date-parts":[["2017","9"]]},"page":"35-43","publisher":"De Gruyter Open","title":"Effects of Cluster Sets and Rest-Redistribution on Mechanical Responses to Back Squats in Trained Men.","type":"article-journal","volume":"58"},"uris":["http://www.mendeley.com/documents/?uuid=e1fab9b6-0e58-3427-939b-9edae0e8e29b"]},{"id":"ITEM-2","itemData":{"DOI":"10.1123/ijspp.2015-0602","ISSN":"1555-0265","PMID":"26791936","abstract":"PURPOSE To compare the effects of a traditional set structure and 2 cluster set structures on force, velocity, and power during back squats in strength-trained men. METHODS Twelve men (25.8 ± 5.1 y, 1.74 ± 0.07 m, 79.3 ± 8.2 kg) performed 3 sets of 12 repetitions at 60% of 1-repetition maximum using 3 different set structures: traditional sets (TS), cluster sets of 4 (CS4), and cluster sets of 2 (CS2). RESULTS When averaged across all repetitions, peak velocity (PV), mean velocity (MV), peak power (PP), and mean power (MP) were greater in CS2 and CS4 than in TS (P &lt; .01), with CS2 also resulting in greater values than CS4 (P &lt; .02). When examining individual sets within each set structure, PV, MV, PP, and MP decreased during the course of TS (effect sizes 0.28-0.99), whereas no decreases were noted during CS2 (effect sizes 0.00-0.13) or CS4 (effect sizes 0.00-0.29). CONCLUSIONS These results demonstrate that CS structures maintain velocity and power, whereas TS structures do not. Furthermore, increasing the frequency of intraset rest intervals in CS structures maximizes this effect and should be used if maximal velocity is to be maintained during training.","author":[{"dropping-particle":"","family":"Tufano","given":"James J.","non-dropping-particle":"","parse-names":false,"suffix":""},{"dropping-particle":"","family":"Conlon","given":"Jenny A.","non-dropping-particle":"","parse-names":false,"suffix":""},{"dropping-particle":"","family":"Nimphius","given":"Sophia","non-dropping-particle":"","parse-names":false,"suffix":""},{"dropping-particle":"","family":"Brown","given":"Lee E.","non-dropping-particle":"","parse-names":false,"suffix":""},{"dropping-particle":"","family":"Seitz","given":"Laurent B.","non-dropping-particle":"","parse-names":false,"suffix":""},{"dropping-particle":"","family":"Williamson","given":"Bryce D.","non-dropping-particle":"","parse-names":false,"suffix":""},{"dropping-particle":"","family":"Haff","given":"G. Gregory","non-dropping-particle":"","parse-names":false,"suffix":""}],"container-title":"International Journal of Sports Physiology and Performance","id":"ITEM-2","issue":"7","issued":{"date-parts":[["2016","10"]]},"page":"885-892","title":"Maintenance of Velocity and Power With Cluster Sets During High-Volume Back Squats","type":"article-journal","volume":"11"},"uris":["http://www.mendeley.com/documents/?uuid=bc5237a3-5c9a-3180-b60a-cb93353360ff"]}],"mendeley":{"formattedCitation":"(Tufano et al., 2016; Tufano, Conlon, Nimphius, Brown, Petkovic, et al., 2017)"},"properties":{"noteIndex":0},"schema":"https://github.com/citation-style-language/schema/raw/master/csl-citation.json"}</w:instrText>
      </w:r>
      <w:r>
        <w:fldChar w:fldCharType="separate"/>
      </w:r>
      <w:r w:rsidRPr="003A204E">
        <w:rPr>
          <w:noProof/>
        </w:rPr>
        <w:t>(Tufano et al., 2016; Tufano, Conlon, Nimphius, Brown, Petkovic, et al., 2017)</w:t>
      </w:r>
      <w:r>
        <w:fldChar w:fldCharType="end"/>
      </w:r>
      <w:r>
        <w:t xml:space="preserve">. Una intervención, propone entrenar con descanso de 15” y 30” inter-repeticiones, al finalizar la sesión, ambas consiguen maximizar el rendimiento mecánico de la musculatura aunque los descansos más cortos provocan mayor estrés metabólico </w:t>
      </w:r>
      <w:r>
        <w:fldChar w:fldCharType="begin" w:fldLock="1"/>
      </w:r>
      <w:r>
        <w:instrText>ADDIN CSL_CITATION {"citationItems":[{"id":"ITEM-1","itemData":{"DOI":"10.1519/JSC.0000000000002117","ISSN":"1064-8011","PMID":"28700515","abstract":"This study aimed to compare mechanical, metabolic, and perceptual responses between two traditional (TR) and four cluster (CL) set configurations. In a counterbalanced randomized order, 11 men were tested with the following protocols in separate sessions (sets × repetitions [inter-repetition rest]): TR1: 3×10 [0-s]; TR2: 6×5 [0-s]; CL1: 3×10 [10-s]; CL2: 3×10 [15-s]; CL3: 3×10 [30-s]); CL4: 1×30 [15-s]). The exercise (full-squat), number of repetitions (30), inter-set rest (5 min), and resistance applied (10RM) was the same for all set configurations. Mechanical fatigue was quantified by measuring the mean propulsive velocity during each repetition, and the change in countermovement jump height observed after each set and after the whole training session. Metabolic and perceptual fatigue were assessed via the blood lactate concentration and the OMNI perceived exertion scale measured after each training set, respectively. The mechanical, metabolic, and perceptual measures of fatigue were always significantly higher for the TR1 set configuration. The two set configurations that most minimized the mechanical measures of fatigue were CL2 and CL3. Perceived fatigue did not differ between the TR2, CL1, CL2 and CL3 set configurations. The lowest lactate concentration was observed in the CL3 set configuration. Therefore, both the CL2 and CL3 set configurations can be recommended because they maximize mechanical performance. However, the CL2 set configuration presents two main advantages with respect to CL3: (1) it reduces training session duration, and (2) it promotes higher metabolic stress, which to some extent may be beneficial for inducing muscle strength and hypertrophy gains.","author":[{"dropping-particle":"","family":"González-Hernádez","given":"JM","non-dropping-particle":"","parse-names":false,"suffix":""},{"dropping-particle":"","family":"García-Ramos","given":"A","non-dropping-particle":"","parse-names":false,"suffix":""},{"dropping-particle":"","family":"Capelo-Ramírez","given":"F","non-dropping-particle":"","parse-names":false,"suffix":""},{"dropping-particle":"","family":"Castaño-Zambudio","given":"A","non-dropping-particle":"","parse-names":false,"suffix":""},{"dropping-particle":"","family":"Marquez","given":"G","non-dropping-particle":"","parse-names":false,"suffix":""},{"dropping-particle":"","family":"Boullosa","given":"D","non-dropping-particle":"","parse-names":false,"suffix":""},{"dropping-particle":"","family":"Jiménez-Reyes","given":"P","non-dropping-particle":"","parse-names":false,"suffix":""}],"container-title":"Journal of Strength and Conditioning Research","id":"ITEM-1","issued":{"date-parts":[["2017","7","8"]]},"page":"1","title":"Mechanical, metabolic, and perceptual acute responses to different set configurations in full squat","type":"article-journal"},"uris":["http://www.mendeley.com/documents/?uuid=daae7a5e-1194-3a55-aca3-d7436785ddcb"]}],"mendeley":{"formattedCitation":"(González-Hernádez et al., 2017)","plainTextFormattedCitation":"(González-Hernádez et al., 2017)","previouslyFormattedCitation":"(González-Hernádez et al., 2017)"},"properties":{"noteIndex":0},"schema":"https://github.com/citation-style-language/schema/raw/master/csl-citation.json"}</w:instrText>
      </w:r>
      <w:r>
        <w:fldChar w:fldCharType="separate"/>
      </w:r>
      <w:r w:rsidRPr="00012EBA">
        <w:rPr>
          <w:noProof/>
        </w:rPr>
        <w:t>(González-Hernádez et al., 2017)</w:t>
      </w:r>
      <w:r>
        <w:fldChar w:fldCharType="end"/>
      </w:r>
      <w:r>
        <w:t>.</w:t>
      </w:r>
    </w:p>
    <w:p w:rsidR="00777692" w:rsidRDefault="00777692" w:rsidP="00777692"/>
    <w:p w:rsidR="00777692" w:rsidRDefault="00777692" w:rsidP="00777692"/>
    <w:p w:rsidR="00777692" w:rsidRDefault="00777692" w:rsidP="00777692"/>
    <w:p w:rsidR="00777692" w:rsidRDefault="00777692" w:rsidP="00777692"/>
    <w:p w:rsidR="00777692" w:rsidRDefault="00777692" w:rsidP="00777692"/>
    <w:p w:rsidR="00777692" w:rsidRDefault="00777692" w:rsidP="00777692"/>
    <w:p w:rsidR="00777692" w:rsidRDefault="00777692" w:rsidP="00777692">
      <w:pPr>
        <w:keepNext/>
      </w:pPr>
      <w:r w:rsidRPr="008648EB">
        <w:rPr>
          <w:noProof/>
          <w:lang w:val="es-ES"/>
        </w:rPr>
        <w:drawing>
          <wp:inline distT="0" distB="0" distL="0" distR="0" wp14:anchorId="35441970" wp14:editId="10909FC7">
            <wp:extent cx="5570462" cy="2781608"/>
            <wp:effectExtent l="38100" t="38100" r="93980" b="88900"/>
            <wp:docPr id="13" name="Imagen 12" descr="Macintosh HD:Users:pilarsancheztregon:Desktop:Captura de pantalla 2018-05-28 a las 20.08.2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n 12" descr="Macintosh HD:Users:pilarsancheztregon:Desktop:Captura de pantalla 2018-05-28 a las 20.08.22.png"/>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0220" cy="2781300"/>
                    </a:xfrm>
                    <a:prstGeom prst="rect">
                      <a:avLst/>
                    </a:prstGeom>
                    <a:ln w="3175" cap="sq" cmpd="sng">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77692" w:rsidRPr="00F96973" w:rsidRDefault="00777692" w:rsidP="00777692">
      <w:pPr>
        <w:pStyle w:val="Descripcin"/>
        <w:rPr>
          <w:b/>
        </w:rPr>
      </w:pPr>
      <w:bookmarkStart w:id="34" w:name="_Toc401568578"/>
      <w:r w:rsidRPr="00F96973">
        <w:rPr>
          <w:b/>
        </w:rPr>
        <w:t xml:space="preserve">Figura </w:t>
      </w:r>
      <w:r w:rsidRPr="00F96973">
        <w:rPr>
          <w:b/>
        </w:rPr>
        <w:fldChar w:fldCharType="begin"/>
      </w:r>
      <w:r w:rsidRPr="00F96973">
        <w:rPr>
          <w:b/>
        </w:rPr>
        <w:instrText xml:space="preserve"> </w:instrText>
      </w:r>
      <w:r>
        <w:rPr>
          <w:b/>
        </w:rPr>
        <w:instrText>SEQ</w:instrText>
      </w:r>
      <w:r w:rsidRPr="00F96973">
        <w:rPr>
          <w:b/>
        </w:rPr>
        <w:instrText xml:space="preserve"> Figura \* ARABIC </w:instrText>
      </w:r>
      <w:r w:rsidRPr="00F96973">
        <w:rPr>
          <w:b/>
        </w:rPr>
        <w:fldChar w:fldCharType="separate"/>
      </w:r>
      <w:r>
        <w:rPr>
          <w:b/>
          <w:noProof/>
        </w:rPr>
        <w:t>14</w:t>
      </w:r>
      <w:r w:rsidRPr="00F96973">
        <w:rPr>
          <w:b/>
        </w:rPr>
        <w:fldChar w:fldCharType="end"/>
      </w:r>
      <w:r w:rsidRPr="00F96973">
        <w:rPr>
          <w:b/>
        </w:rPr>
        <w:t>.</w:t>
      </w:r>
      <w:r w:rsidRPr="00F96973">
        <w:t xml:space="preserve"> </w:t>
      </w:r>
      <w:r w:rsidRPr="003527C2">
        <w:t>Ejemplificación de distintas configuraciones de Clústeres. Extraído de Tufano et al</w:t>
      </w:r>
      <w:r>
        <w:t>.</w:t>
      </w:r>
      <w:r w:rsidRPr="003527C2">
        <w:t xml:space="preserve">, </w:t>
      </w:r>
      <w:r>
        <w:t>(</w:t>
      </w:r>
      <w:r w:rsidRPr="003527C2">
        <w:t>2017</w:t>
      </w:r>
      <w:r>
        <w:t>).</w:t>
      </w:r>
      <w:bookmarkEnd w:id="34"/>
    </w:p>
    <w:p w:rsidR="00777692" w:rsidRPr="008A2199" w:rsidRDefault="00777692" w:rsidP="00777692"/>
    <w:p w:rsidR="00777692" w:rsidRPr="00012EBA" w:rsidRDefault="00777692" w:rsidP="00777692">
      <w:r>
        <w:t xml:space="preserve">No existe apenas bibliografía sobre el efecto de este método de trabajo en los cambios agudos que provoca en las características mecánicas de la musculatura, así como lo que ocurre en el </w:t>
      </w:r>
      <w:r>
        <w:lastRenderedPageBreak/>
        <w:t xml:space="preserve">sistema neuromuscular, a diferencia de otros entrenos </w:t>
      </w:r>
      <w:r>
        <w:fldChar w:fldCharType="begin" w:fldLock="1"/>
      </w:r>
      <w:r>
        <w:instrText>ADDIN CSL_CITATION {"citationItems":[{"id":"ITEM-1","itemData":{"DOI":"10.1080/02640414.2015.1119299","ISSN":"0264-0414","PMID":"26630355","abstract":"This study compared the functional and neural effects of two strength training programmes differing in set configuration. Thirteen participants performed 10 sessions, over a period of 5 weeks, of unilateral leg extensions with different set configurations but with identical work-to-rest ratios for each limb: a traditional configuration (4 sets of 8 repetitions, 10RM load, 3-min pause between sets) and an inter-repetition rest configuration (32 repetitions, 10RM load, 17.4 s of rest between each repetition). Mean propulsive velocity of the traditional sessions was lower than for inter-repetition rest sessions (0.48 ± 0.06 vs. 0.54 ± 0.06 m · s(-1); P &lt; 0.001), while perceived exertion was higher (8.3 ± 0.9 and 6.56 ± 1.6 for traditional training and IRT; P = 0.002). One repetition maximum (RM), work with 10RM load, maximum mean propulsive power, maximum voluntary contraction and time to failure with 50% of maximum isometric force improved similarly in both legs (time effect, P &lt; 0.001; effect size range, 0.451-1.190). Time and set configuration did not show significant main effects or interactions for cortical adaptations (motor-evoked potentials, short-interval intracortical inhibition, intracortical facilitation). There were no significant correlations between changes in cortical and peripheral neural adaptations and strength improvement. In conclusion, inter-repetition rest configuration was as effective as traditional training in improving muscle performance.","author":[{"dropping-particle":"","family":"Iglesias-Soler","given":"Eliseo","non-dropping-particle":"","parse-names":false,"suffix":""},{"dropping-particle":"","family":"Mayo","given":"Xián","non-dropping-particle":"","parse-names":false,"suffix":""},{"dropping-particle":"","family":"Río-Rodríguez","given":"Dan","non-dropping-particle":"","parse-names":false,"suffix":""},{"dropping-particle":"","family":"Carballeira","given":"Eduardo","non-dropping-particle":"","parse-names":false,"suffix":""},{"dropping-particle":"","family":"Fariñas","given":"Juan","non-dropping-particle":"","parse-names":false,"suffix":""},{"dropping-particle":"","family":"Fernández-Del-Olmo","given":"Miguel","non-dropping-particle":"","parse-names":false,"suffix":""}],"container-title":"Journal of Sports Sciences","id":"ITEM-1","issue":"15","issued":{"date-parts":[["2016","8","2"]]},"page":"1473-1484","title":"Inter-repetition rest training and traditional set configuration produce similar strength gains without cortical adaptations","type":"article-journal","volume":"34"},"uris":["http://www.mendeley.com/documents/?uuid=9e4d9f1c-67c5-3ae1-afef-8f630a3c5572"]}],"mendeley":{"formattedCitation":"(Iglesias-Soler et al., 2016b)","plainTextFormattedCitation":"(Iglesias-Soler et al., 2016b)","previouslyFormattedCitation":"(Iglesias-Soler et al., 2016b)"},"properties":{"noteIndex":0},"schema":"https://github.com/citation-style-language/schema/raw/master/csl-citation.json"}</w:instrText>
      </w:r>
      <w:r>
        <w:fldChar w:fldCharType="separate"/>
      </w:r>
      <w:r w:rsidRPr="00215CA9">
        <w:rPr>
          <w:noProof/>
        </w:rPr>
        <w:t>(Iglesias-Soler et al., 2016b)</w:t>
      </w:r>
      <w:r>
        <w:fldChar w:fldCharType="end"/>
      </w:r>
      <w:r>
        <w:t xml:space="preserve">. Además, cabe resaltar, que algunos autores no encuentran mejoras sobre la velocidad a diferencia de métodos tradicionales, afirmando que el MEM y distintos de </w:t>
      </w:r>
      <w:r>
        <w:rPr>
          <w:i/>
        </w:rPr>
        <w:t xml:space="preserve">cluster </w:t>
      </w:r>
      <w:r>
        <w:t xml:space="preserve">obtienen variaciones muy similares en la velocidad de ejecución en el ejercicio de press banca </w:t>
      </w:r>
      <w:r>
        <w:fldChar w:fldCharType="begin" w:fldLock="1"/>
      </w:r>
      <w:r>
        <w:instrText>ADDIN CSL_CITATION {"citationItems":[{"id":"ITEM-1","itemData":{"DOI":"10.1519/JSC.0000000000002301","ISSN":"1064-8011","PMID":"29076963","abstract":"García-Ramos, A, González-Hernández, JM, Baños-Pelegrín, E, Castaño-Zambudio, A, Capelo-Ramírez, F, Boullosa, D, Haff, GG, and Jiménez-Reyes, P. Mechanical and metabolic responses to traditional and cluster set configurations in the bench press exercise. J Strength Cond Res XX(X): 000-000, 2017-This study aimed to compare mechanical and metabolic responses between traditional (TR) and cluster (CL) set configurations in the bench press exercise. In a counterbalanced randomized order, 10 men were tested with the following protocols (sets × repetitions [inter-repetition rest]): TR1: 3 × 10 (0-second), TR2: 6 × 5 (0-second), CL5: 3 × 10 (5-second), CL10: 3 × 10 (10-second), and CL15: 3 × 10 (15-second). The number of repetitions (30), interset rest (5 minutes), and resistance applied (10 repetition maximum) were the same for all set configurations. Movement velocity and blood lactate concentration were used to assess the mechanical and metabolic responses, respectively. The comparison of the first and last set of the training session revealed a significant decrease in movement velocity for TR1 (Effect size [ES]: -0.92), CL10 (ES: -0.85), and CL15 (ES: -1.08) (but not for TR2 [ES: -0.38] and CL5 [ES: -0.37]); while blood lactate concentration was significantly increased for TR1 (ES: 1.11), TR2 (ES: 0.90), and CL5 (ES: 1.12) (but not for CL10 [ES: 0.03] and CL15 [ES: -0.43]). Based on velocity loss, set configurations were ranked as follows: TR1 (-39.3 ± 7.3%) &gt; CL5 (-20.2 ± 14.7%) &gt; CL10 (-12.9 ± 4.9%), TR2 (-10.3 ± 5.3%), and CL15 (-10.0 ± 2.3%). The set configurations were ranked as follows based on the lactate concentration: TR1 (7.9 ± 1.1 mmol·L) &gt; CL5 (5.8 ± 0.9 mmol·L) &gt; TR2 (4.2 ± 0.7 mmol·L) &gt; CL10 (3.5 ± 0.4 mmol·L) and CL15 (3.4 ± 0.7 mmol·L). These results support the use of TR2, CL10, and CL15 for the maintenance of high mechanical outputs, while CL10 and CL15 produce less metabolic stress than TR2.","author":[{"dropping-particle":"","family":"García-Ramos","given":"Amador","non-dropping-particle":"","parse-names":false,"suffix":""},{"dropping-particle":"","family":"González-Hernández","given":"Jorge M.","non-dropping-particle":"","parse-names":false,"suffix":""},{"dropping-particle":"","family":"Baños-Pelegrín","given":"Ezequiel","non-dropping-particle":"","parse-names":false,"suffix":""},{"dropping-particle":"","family":"Castaño-Zambudio","given":"Adrián","non-dropping-particle":"","parse-names":false,"suffix":""},{"dropping-particle":"","family":"Capelo-Ramírez","given":"Fernando","non-dropping-particle":"","parse-names":false,"suffix":""},{"dropping-particle":"","family":"Boullosa","given":"Daniel","non-dropping-particle":"","parse-names":false,"suffix":""},{"dropping-particle":"","family":"Haff","given":"Guy G.","non-dropping-particle":"","parse-names":false,"suffix":""},{"dropping-particle":"","family":"Jiménez-Reyes","given":"Pedro","non-dropping-particle":"","parse-names":false,"suffix":""}],"container-title":"Journal of Strength and Conditioning Research","id":"ITEM-1","issued":{"date-parts":[["2017","10","20"]]},"page":"1","title":"Mechanical and Metabolic Responses to Traditional and Cluster Set Configurations in the Bench Press Exercise","type":"article-journal"},"uris":["http://www.mendeley.com/documents/?uuid=f4843892-5e87-3dfe-9483-f7792821f70e"]}],"mendeley":{"formattedCitation":"(García-Ramos et al., 2017)","plainTextFormattedCitation":"(García-Ramos et al., 2017)","previouslyFormattedCitation":"(García-Ramos et al., 2017)"},"properties":{"noteIndex":0},"schema":"https://github.com/citation-style-language/schema/raw/master/csl-citation.json"}</w:instrText>
      </w:r>
      <w:r>
        <w:fldChar w:fldCharType="separate"/>
      </w:r>
      <w:r w:rsidRPr="00012EBA">
        <w:rPr>
          <w:noProof/>
        </w:rPr>
        <w:t>(García-Ramos et al., 2017)</w:t>
      </w:r>
      <w:r>
        <w:fldChar w:fldCharType="end"/>
      </w:r>
      <w:r>
        <w:t>.</w:t>
      </w:r>
    </w:p>
    <w:p w:rsidR="00777692" w:rsidRPr="0009539D" w:rsidRDefault="00777692" w:rsidP="00777692"/>
    <w:p w:rsidR="00777692" w:rsidRDefault="00777692" w:rsidP="00777692">
      <w:r>
        <w:t xml:space="preserve">En resumen, existen vertientes tanto a favor como en contra de la efectividad </w:t>
      </w:r>
      <w:r w:rsidRPr="00012EBA">
        <w:t>del MC como</w:t>
      </w:r>
      <w:r>
        <w:t xml:space="preserve"> nueva vertiente de entrenamiento dirigida al desarrollo de Fmáx y al control de la velocidad </w:t>
      </w:r>
      <w:r>
        <w:fldChar w:fldCharType="begin" w:fldLock="1"/>
      </w:r>
      <w:r>
        <w:instrText>ADDIN CSL_CITATION {"citationItems":[{"id":"ITEM-1","itemData":{"DOI":"10.1519/JSC.0b013e3182891672","ISSN":"1064-8011","PMID":"23736782","abstract":"We sought to determine if hypertrophic training with intraset rest intervals (ISRs) produced greater gains in power compared with traditional rest (TRD) hypertrophic training. Twenty-two men (age 25 ± 5 years, height 179.71 ± 5.04 cm, weight 82.1 ± 10.6 kg, 6.5 ± 4.5 years of training) matched according to baseline characteristics were assigned to 12 weeks of training using TRD or ISR. Body composition, strength (1-repetition maximum [1RM] bench and squat), and power output (60% 1RM bench and squat, and vertical jump) were assessed at baseline, 4, 8, and 12 weeks. Determination of myosin heavy chain (MHC) percentage from the vastus lateralis was performed pretraining and posttraining. Body composition was analyzed by analysis of variance, whereas performance measures and MHC were analyzed by analysis of covariance with baseline values as the covariate. Data are presented as mean ± SD changes pre to post. The ISR produced greater power output in bench (TRD 32.8 ± 53.4 W; ISR 83.0 ± 49.9 W, p = 0.020) and vertical jump (TRD 91.6 ± 59.8 W; ISR 147.7 ± 52.0 W; p = 0.036) with squat power approaching significance (TRD 204.9 ± 70.2 W; ISR 282.1 ± 104.2 W; p = 0.053) after post hoc analysis (p &lt; 0.10). The ISR produced greater gains in bench (TRD 9.1 ± 3.7 kg; ISR 15.1 ± 8.3 kg; p = 0.010) and squat (TRD 48.5 ± 17.4 kg; ISR 63.8 ± 12.0 kg; p = 0.002) strength. Both protocols produced significant gains in lean mass with no significant differences between groups (1.6 ± 2.1 kg; p = 0.869). The MHCIIx percentage decreased (-31.0 ± 24.5%; p = 0.001), whereas the MHCIIA percentage increased (28.9 ± 28.5%; p = 0.001) with no significant differences between groups. Results indicate that hypertrophy training with ISR produces greater gains in strength and power, with similar gains in lean mass and MHC alterations as TRD. The ISR may be best used in hypertrophic training for strength and power sports.","author":[{"dropping-particle":"","family":"Oliver","given":"Jonathan M.","non-dropping-particle":"","parse-names":false,"suffix":""},{"dropping-particle":"","family":"Jagim","given":"Andrew R.","non-dropping-particle":"","parse-names":false,"suffix":""},{"dropping-particle":"","family":"Sanchez","given":"Adam C.","non-dropping-particle":"","parse-names":false,"suffix":""},{"dropping-particle":"","family":"Mardock","given":"Michelle A.","non-dropping-particle":"","parse-names":false,"suffix":""},{"dropping-particle":"","family":"Kelly","given":"Katherine A.","non-dropping-particle":"","parse-names":false,"suffix":""},{"dropping-particle":"","family":"Meredith","given":"Holly J.","non-dropping-particle":"","parse-names":false,"suffix":""},{"dropping-particle":"","family":"Smith","given":"Gerald L.","non-dropping-particle":"","parse-names":false,"suffix":""},{"dropping-particle":"","family":"Greenwood","given":"Mike","non-dropping-particle":"","parse-names":false,"suffix":""},{"dropping-particle":"","family":"Parker","given":"Janet L.","non-dropping-particle":"","parse-names":false,"suffix":""},{"dropping-particle":"","family":"Riechman","given":"Steven E.","non-dropping-particle":"","parse-names":false,"suffix":""},{"dropping-particle":"","family":"Fluckey","given":"James D.","non-dropping-particle":"","parse-names":false,"suffix":""},{"dropping-particle":"","family":"Crouse","given":"Stephen F.","non-dropping-particle":"","parse-names":false,"suffix":""},{"dropping-particle":"","family":"Kreider","given":"Richard B.","non-dropping-particle":"","parse-names":false,"suffix":""}],"container-title":"Journal of Strength and Conditioning Research","id":"ITEM-1","issue":"11","issued":{"date-parts":[["2013","11"]]},"page":"3116-3131","title":"Greater Gains in Strength and Power With Intraset Rest Intervals in Hypertrophic Training","type":"article-journal","volume":"27"},"uris":["http://www.mendeley.com/documents/?uuid=d040d2d8-5fbe-38f3-8ce7-ab9f1e819c3a"]},{"id":"ITEM-2","itemData":{"ISSN":"0195-9131","PMID":"15947720","abstract":"PURPOSE The purpose of this study was to examine the impact of exercise-induced metabolic stress on hormonal responses and chronic muscular adaptations. METHODS We compared the acute and long-term effects of an \"NR regimen\" (no-rest regimen) and those of a \"WR regimen\" (regimen with rest period within a set). Twenty-six male subjects were assigned to either the NR (N = 9), WR (N = 9), or control (CON, N = 8) groups. The NR regimen consisted of 3-5 sets of 10 repetitions at 10-repetition maximum (RM) with an interset rest period of 1 min (lat pulldown, shoulder press, and bilateral knee extension). In the WR regimen, subjects completed the same protocol as the NR regimen, but took a 30-s rest period at the midpoint of each set of exercises in order to reduce exercise-induced metabolic stress. Acute hormonal responses to both regimens were measured followed by a 12-wk period of resistance training. RESULTS Measurements of blood lactate and serum hormone concentrations after the NR and WR regimens showed that the NR regimen induced strong lactate, growth hormone (GH), epinephrine (E), and norepinephrine (NE) responses, whereas the WR regimen did not. Both regimens failed to cause significant changes in testosterone. After 12 wk of resistance training, the NR regimen caused greater increases in 1RM (P &lt; 0.01), maximal isometric strength (P &lt; 0.05), and muscular endurance (P &lt; 0.05) with knee extension than the WR regimen. The NR group showed a marked increase (P &lt; 0.01) in muscle cross-sectional area, whereas the WR and CON groups did not. CONCLUSION These results suggest that exercise-induced metabolic stress is associated with acute GH, E, and NE responses and chronic muscular adaptations following resistance training.","author":[{"dropping-particle":"","family":"Goto","given":"Kazushige","non-dropping-particle":"","parse-names":false,"suffix":""},{"dropping-particle":"","family":"Ishii","given":"Naokata","non-dropping-particle":"","parse-names":false,"suffix":""},{"dropping-particle":"","family":"Kizuka","given":"Tomohiro","non-dropping-particle":"","parse-names":false,"suffix":""},{"dropping-particle":"","family":"Takamatsu","given":"Kaoru","non-dropping-particle":"","parse-names":false,"suffix":""}],"container-title":"Medicine and science in sports and exercise","id":"ITEM-2","issue":"6","issued":{"date-parts":[["2005","6"]]},"page":"955-63","title":"The impact of metabolic stress on hormonal responses and muscular adaptations.","type":"article-journal","volume":"37"},"uris":["http://www.mendeley.com/documents/?uuid=0b21010d-ebce-3a54-af1d-bed66ee86955"]},{"id":"ITEM-3","itemData":{"DOI":"10.1519/JSC.0000000000002301","ISSN":"1064-8011","PMID":"29076963","abstract":"García-Ramos, A, González-Hernández, JM, Baños-Pelegrín, E, Castaño-Zambudio, A, Capelo-Ramírez, F, Boullosa, D, Haff, GG, and Jiménez-Reyes, P. Mechanical and metabolic responses to traditional and cluster set configurations in the bench press exercise. J Strength Cond Res XX(X): 000-000, 2017-This study aimed to compare mechanical and metabolic responses between traditional (TR) and cluster (CL) set configurations in the bench press exercise. In a counterbalanced randomized order, 10 men were tested with the following protocols (sets × repetitions [inter-repetition rest]): TR1: 3 × 10 (0-second), TR2: 6 × 5 (0-second), CL5: 3 × 10 (5-second), CL10: 3 × 10 (10-second), and CL15: 3 × 10 (15-second). The number of repetitions (30), interset rest (5 minutes), and resistance applied (10 repetition maximum) were the same for all set configurations. Movement velocity and blood lactate concentration were used to assess the mechanical and metabolic responses, respectively. The comparison of the first and last set of the training session revealed a significant decrease in movement velocity for TR1 (Effect size [ES]: -0.92), CL10 (ES: -0.85), and CL15 (ES: -1.08) (but not for TR2 [ES: -0.38] and CL5 [ES: -0.37]); while blood lactate concentration was significantly increased for TR1 (ES: 1.11), TR2 (ES: 0.90), and CL5 (ES: 1.12) (but not for CL10 [ES: 0.03] and CL15 [ES: -0.43]). Based on velocity loss, set configurations were ranked as follows: TR1 (-39.3 ± 7.3%) &gt; CL5 (-20.2 ± 14.7%) &gt; CL10 (-12.9 ± 4.9%), TR2 (-10.3 ± 5.3%), and CL15 (-10.0 ± 2.3%). The set configurations were ranked as follows based on the lactate concentration: TR1 (7.9 ± 1.1 mmol·L) &gt; CL5 (5.8 ± 0.9 mmol·L) &gt; TR2 (4.2 ± 0.7 mmol·L) &gt; CL10 (3.5 ± 0.4 mmol·L) and CL15 (3.4 ± 0.7 mmol·L). These results support the use of TR2, CL10, and CL15 for the maintenance of high mechanical outputs, while CL10 and CL15 produce less metabolic stress than TR2.","author":[{"dropping-particle":"","family":"García-Ramos","given":"Amador","non-dropping-particle":"","parse-names":false,"suffix":""},{"dropping-particle":"","family":"González-Hernández","given":"Jorge M.","non-dropping-particle":"","parse-names":false,"suffix":""},{"dropping-particle":"","family":"Baños-Pelegrín","given":"Ezequiel","non-dropping-particle":"","parse-names":false,"suffix":""},{"dropping-particle":"","family":"Castaño-Zambudio","given":"Adrián","non-dropping-particle":"","parse-names":false,"suffix":""},{"dropping-particle":"","family":"Capelo-Ramírez","given":"Fernando","non-dropping-particle":"","parse-names":false,"suffix":""},{"dropping-particle":"","family":"Boullosa","given":"Daniel","non-dropping-particle":"","parse-names":false,"suffix":""},{"dropping-particle":"","family":"Haff","given":"Guy G.","non-dropping-particle":"","parse-names":false,"suffix":""},{"dropping-particle":"","family":"Jiménez-Reyes","given":"Pedro","non-dropping-particle":"","parse-names":false,"suffix":""}],"container-title":"Journal of Strength and Conditioning Research","id":"ITEM-3","issued":{"date-parts":[["2017","10","20"]]},"page":"1","title":"Mechanical and Metabolic Responses to Traditional and Cluster Set Configurations in the Bench Press Exercise","type":"article-journal"},"uris":["http://www.mendeley.com/documents/?uuid=f4843892-5e87-3dfe-9483-f7792821f70e"]}],"mendeley":{"formattedCitation":"(García-Ramos et al., 2017; Goto, Ishii, Kizuka, &amp; Takamatsu, 2005; Oliver et al., 2013)","plainTextFormattedCitation":"(García-Ramos et al., 2017; Goto, Ishii, Kizuka, &amp; Takamatsu, 2005; Oliver et al., 2013)","previouslyFormattedCitation":"(García-Ramos et al., 2017; Goto, Ishii, Kizuka, &amp; Takamatsu, 2005; Oliver et al., 2013)"},"properties":{"noteIndex":0},"schema":"https://github.com/citation-style-language/schema/raw/master/csl-citation.json"}</w:instrText>
      </w:r>
      <w:r>
        <w:fldChar w:fldCharType="separate"/>
      </w:r>
      <w:r w:rsidRPr="00012EBA">
        <w:rPr>
          <w:noProof/>
        </w:rPr>
        <w:t>(García-Ramos et al., 2017; Goto, Ishii, Kizuka, &amp; Takamatsu, 2005; Oliver et al., 2013)</w:t>
      </w:r>
      <w:r>
        <w:fldChar w:fldCharType="end"/>
      </w:r>
      <w:r>
        <w:t xml:space="preserve">, aunque a día de hoy todavía queda mucho por analizar, ya que permite gran cantidad de variables dentro de una misma forma de trabajo y existen contradicciones sobre sus ventajas y sus inconvenientes. </w:t>
      </w:r>
    </w:p>
    <w:p w:rsidR="00777692" w:rsidRDefault="00777692" w:rsidP="00777692">
      <w:pPr>
        <w:pStyle w:val="Ttulo2"/>
        <w:numPr>
          <w:ilvl w:val="0"/>
          <w:numId w:val="0"/>
        </w:numPr>
        <w:rPr>
          <w:rFonts w:eastAsia="MS Mincho"/>
          <w:bCs w:val="0"/>
          <w:color w:val="auto"/>
          <w:szCs w:val="24"/>
        </w:rPr>
      </w:pPr>
    </w:p>
    <w:p w:rsidR="00777692" w:rsidRPr="00366921" w:rsidRDefault="00777692" w:rsidP="00777692"/>
    <w:p w:rsidR="007F47BB" w:rsidRDefault="007F47BB">
      <w:bookmarkStart w:id="35" w:name="_GoBack"/>
      <w:bookmarkEnd w:id="35"/>
    </w:p>
    <w:sectPr w:rsidR="007F47BB" w:rsidSect="003B7426">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radley Hand Bold">
    <w:panose1 w:val="00000700000000000000"/>
    <w:charset w:val="00"/>
    <w:family w:val="auto"/>
    <w:pitch w:val="variable"/>
    <w:sig w:usb0="800000FF" w:usb1="5000204A" w:usb2="00000000" w:usb3="00000000" w:csb0="0000011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AB72C7"/>
    <w:multiLevelType w:val="hybridMultilevel"/>
    <w:tmpl w:val="180A7D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80820F3"/>
    <w:multiLevelType w:val="multilevel"/>
    <w:tmpl w:val="0C0A001F"/>
    <w:numStyleLink w:val="111111"/>
  </w:abstractNum>
  <w:abstractNum w:abstractNumId="2" w15:restartNumberingAfterBreak="0">
    <w:nsid w:val="48CD1A61"/>
    <w:multiLevelType w:val="multilevel"/>
    <w:tmpl w:val="0C0A001F"/>
    <w:numStyleLink w:val="111111"/>
  </w:abstractNum>
  <w:abstractNum w:abstractNumId="3" w15:restartNumberingAfterBreak="0">
    <w:nsid w:val="4C760869"/>
    <w:multiLevelType w:val="multilevel"/>
    <w:tmpl w:val="0C0A001F"/>
    <w:styleLink w:val="111111"/>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F1A6A06"/>
    <w:multiLevelType w:val="hybridMultilevel"/>
    <w:tmpl w:val="67E67832"/>
    <w:lvl w:ilvl="0" w:tplc="0C0A000F">
      <w:start w:val="1"/>
      <w:numFmt w:val="decimal"/>
      <w:lvlText w:val="%1."/>
      <w:lvlJc w:val="left"/>
      <w:pPr>
        <w:ind w:left="644" w:hanging="360"/>
      </w:pPr>
    </w:lvl>
    <w:lvl w:ilvl="1" w:tplc="0C0A0019">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5" w15:restartNumberingAfterBreak="0">
    <w:nsid w:val="5A5E219F"/>
    <w:multiLevelType w:val="hybridMultilevel"/>
    <w:tmpl w:val="248A1C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FD870B3"/>
    <w:multiLevelType w:val="multilevel"/>
    <w:tmpl w:val="2FB80466"/>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23D537B"/>
    <w:multiLevelType w:val="hybridMultilevel"/>
    <w:tmpl w:val="C61251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ABB1DD7"/>
    <w:multiLevelType w:val="hybridMultilevel"/>
    <w:tmpl w:val="0A0858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8"/>
  </w:num>
  <w:num w:numId="4">
    <w:abstractNumId w:val="6"/>
  </w:num>
  <w:num w:numId="5">
    <w:abstractNumId w:val="5"/>
  </w:num>
  <w:num w:numId="6">
    <w:abstractNumId w:val="4"/>
  </w:num>
  <w:num w:numId="7">
    <w:abstractNumId w:val="7"/>
  </w:num>
  <w:num w:numId="8">
    <w:abstractNumId w:val="2"/>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692"/>
    <w:rsid w:val="00204BE0"/>
    <w:rsid w:val="003B7426"/>
    <w:rsid w:val="00777692"/>
    <w:rsid w:val="007F47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B353E3-5C00-1F49-A07C-70CDF5388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7692"/>
    <w:pPr>
      <w:spacing w:line="360" w:lineRule="auto"/>
      <w:jc w:val="both"/>
    </w:pPr>
    <w:rPr>
      <w:rFonts w:ascii="Calibri" w:eastAsia="MS Mincho" w:hAnsi="Calibri" w:cs="Times New Roman"/>
      <w:sz w:val="22"/>
      <w:lang w:val="es-ES_tradnl" w:eastAsia="es-ES"/>
    </w:rPr>
  </w:style>
  <w:style w:type="paragraph" w:styleId="Ttulo2">
    <w:name w:val="heading 2"/>
    <w:basedOn w:val="Normal"/>
    <w:next w:val="Normal"/>
    <w:link w:val="Ttulo2Car"/>
    <w:uiPriority w:val="9"/>
    <w:qFormat/>
    <w:rsid w:val="00777692"/>
    <w:pPr>
      <w:keepNext/>
      <w:keepLines/>
      <w:numPr>
        <w:ilvl w:val="1"/>
        <w:numId w:val="8"/>
      </w:numPr>
      <w:spacing w:before="200"/>
      <w:ind w:left="432"/>
      <w:outlineLvl w:val="1"/>
    </w:pPr>
    <w:rPr>
      <w:rFonts w:eastAsia="MS Gothic"/>
      <w:bCs/>
      <w:color w:val="000000"/>
      <w:szCs w:val="26"/>
    </w:rPr>
  </w:style>
  <w:style w:type="paragraph" w:styleId="Ttulo3">
    <w:name w:val="heading 3"/>
    <w:basedOn w:val="Normal"/>
    <w:next w:val="Normal"/>
    <w:link w:val="Ttulo3Car"/>
    <w:uiPriority w:val="9"/>
    <w:qFormat/>
    <w:rsid w:val="00777692"/>
    <w:pPr>
      <w:keepNext/>
      <w:keepLines/>
      <w:numPr>
        <w:ilvl w:val="2"/>
        <w:numId w:val="4"/>
      </w:numPr>
      <w:spacing w:before="200"/>
      <w:ind w:left="504"/>
      <w:outlineLvl w:val="2"/>
    </w:pPr>
    <w:rPr>
      <w:rFonts w:eastAsia="MS Gothic"/>
      <w:bCs/>
      <w:i/>
      <w:color w:val="000000"/>
    </w:rPr>
  </w:style>
  <w:style w:type="paragraph" w:styleId="Ttulo4">
    <w:name w:val="heading 4"/>
    <w:basedOn w:val="Normal"/>
    <w:next w:val="Normal"/>
    <w:link w:val="Ttulo4Car"/>
    <w:uiPriority w:val="9"/>
    <w:qFormat/>
    <w:rsid w:val="00777692"/>
    <w:pPr>
      <w:keepNext/>
      <w:numPr>
        <w:ilvl w:val="3"/>
        <w:numId w:val="10"/>
      </w:numPr>
      <w:spacing w:before="240" w:after="60"/>
      <w:ind w:left="648"/>
      <w:outlineLvl w:val="3"/>
    </w:pPr>
    <w:rPr>
      <w:bCs/>
      <w:i/>
      <w:color w:val="000000"/>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77692"/>
    <w:rPr>
      <w:rFonts w:ascii="Calibri" w:eastAsia="MS Gothic" w:hAnsi="Calibri" w:cs="Times New Roman"/>
      <w:bCs/>
      <w:color w:val="000000"/>
      <w:sz w:val="22"/>
      <w:szCs w:val="26"/>
      <w:lang w:val="es-ES_tradnl" w:eastAsia="es-ES"/>
    </w:rPr>
  </w:style>
  <w:style w:type="character" w:customStyle="1" w:styleId="Ttulo3Car">
    <w:name w:val="Título 3 Car"/>
    <w:basedOn w:val="Fuentedeprrafopredeter"/>
    <w:link w:val="Ttulo3"/>
    <w:uiPriority w:val="9"/>
    <w:rsid w:val="00777692"/>
    <w:rPr>
      <w:rFonts w:ascii="Calibri" w:eastAsia="MS Gothic" w:hAnsi="Calibri" w:cs="Times New Roman"/>
      <w:bCs/>
      <w:i/>
      <w:color w:val="000000"/>
      <w:sz w:val="22"/>
      <w:lang w:val="es-ES_tradnl" w:eastAsia="es-ES"/>
    </w:rPr>
  </w:style>
  <w:style w:type="character" w:customStyle="1" w:styleId="Ttulo4Car">
    <w:name w:val="Título 4 Car"/>
    <w:basedOn w:val="Fuentedeprrafopredeter"/>
    <w:link w:val="Ttulo4"/>
    <w:uiPriority w:val="9"/>
    <w:rsid w:val="00777692"/>
    <w:rPr>
      <w:rFonts w:ascii="Calibri" w:eastAsia="MS Mincho" w:hAnsi="Calibri" w:cs="Times New Roman"/>
      <w:bCs/>
      <w:i/>
      <w:color w:val="000000"/>
      <w:sz w:val="22"/>
      <w:szCs w:val="28"/>
      <w:lang w:val="es-ES_tradnl" w:eastAsia="es-ES"/>
    </w:rPr>
  </w:style>
  <w:style w:type="numbering" w:styleId="111111">
    <w:name w:val="Outline List 2"/>
    <w:basedOn w:val="Sinlista"/>
    <w:uiPriority w:val="99"/>
    <w:semiHidden/>
    <w:unhideWhenUsed/>
    <w:rsid w:val="00777692"/>
    <w:pPr>
      <w:numPr>
        <w:numId w:val="1"/>
      </w:numPr>
    </w:pPr>
  </w:style>
  <w:style w:type="paragraph" w:styleId="Descripcin">
    <w:name w:val="caption"/>
    <w:basedOn w:val="Normal"/>
    <w:next w:val="Normal"/>
    <w:uiPriority w:val="35"/>
    <w:qFormat/>
    <w:rsid w:val="00777692"/>
    <w:pPr>
      <w:spacing w:after="200"/>
    </w:pPr>
    <w:rPr>
      <w:bCs/>
      <w:color w:val="000000"/>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QuickStyle" Target="diagrams/quickStyle2.xml"/><Relationship Id="rId18" Type="http://schemas.openxmlformats.org/officeDocument/2006/relationships/diagramQuickStyle" Target="diagrams/quickStyle3.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diagramQuickStyle" Target="diagrams/quickStyle1.xml"/><Relationship Id="rId12" Type="http://schemas.openxmlformats.org/officeDocument/2006/relationships/diagramLayout" Target="diagrams/layout2.xml"/><Relationship Id="rId17" Type="http://schemas.openxmlformats.org/officeDocument/2006/relationships/diagramLayout" Target="diagrams/layout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diagramData" Target="diagrams/data3.xml"/><Relationship Id="rId20" Type="http://schemas.microsoft.com/office/2007/relationships/diagramDrawing" Target="diagrams/drawing3.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Data" Target="diagrams/data2.xml"/><Relationship Id="rId24" Type="http://schemas.openxmlformats.org/officeDocument/2006/relationships/fontTable" Target="fontTable.xml"/><Relationship Id="rId5" Type="http://schemas.openxmlformats.org/officeDocument/2006/relationships/diagramData" Target="diagrams/data1.xml"/><Relationship Id="rId15" Type="http://schemas.microsoft.com/office/2007/relationships/diagramDrawing" Target="diagrams/drawing2.xml"/><Relationship Id="rId23"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diagramColors" Target="diagrams/colors3.xml"/><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diagramColors" Target="diagrams/colors2.xml"/><Relationship Id="rId22"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BDD71AB-2693-3D44-AF8F-477BF2A82D0C}" type="doc">
      <dgm:prSet loTypeId="urn:microsoft.com/office/officeart/2005/8/layout/pyramid1" loCatId="" qsTypeId="urn:microsoft.com/office/officeart/2005/8/quickstyle/simple3" qsCatId="simple" csTypeId="urn:microsoft.com/office/officeart/2005/8/colors/accent1_3" csCatId="accent1" phldr="1"/>
      <dgm:spPr/>
    </dgm:pt>
    <dgm:pt modelId="{BE2100A9-1035-8A4F-A052-FE1D1CF52F6B}">
      <dgm:prSet phldrT="[Texto]"/>
      <dgm:spPr>
        <a:xfrm>
          <a:off x="0" y="1836208"/>
          <a:ext cx="2628265" cy="367241"/>
        </a:xfrm>
        <a:prstGeom prst="trapezoid">
          <a:avLst>
            <a:gd name="adj" fmla="val 56797"/>
          </a:avLst>
        </a:prstGeom>
        <a:gradFill rotWithShape="0">
          <a:gsLst>
            <a:gs pos="0">
              <a:srgbClr val="4F81BD">
                <a:shade val="80000"/>
                <a:hueOff val="306247"/>
                <a:satOff val="-4392"/>
                <a:lumOff val="25615"/>
                <a:alphaOff val="0"/>
                <a:tint val="50000"/>
                <a:satMod val="300000"/>
              </a:srgbClr>
            </a:gs>
            <a:gs pos="35000">
              <a:srgbClr val="4F81BD">
                <a:shade val="80000"/>
                <a:hueOff val="306247"/>
                <a:satOff val="-4392"/>
                <a:lumOff val="25615"/>
                <a:alphaOff val="0"/>
                <a:tint val="37000"/>
                <a:satMod val="300000"/>
              </a:srgbClr>
            </a:gs>
            <a:gs pos="100000">
              <a:srgbClr val="4F81BD">
                <a:shade val="80000"/>
                <a:hueOff val="306247"/>
                <a:satOff val="-4392"/>
                <a:lumOff val="25615"/>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s-ES">
              <a:solidFill>
                <a:sysClr val="windowText" lastClr="000000">
                  <a:hueOff val="0"/>
                  <a:satOff val="0"/>
                  <a:lumOff val="0"/>
                  <a:alphaOff val="0"/>
                </a:sysClr>
              </a:solidFill>
              <a:latin typeface="Cambria"/>
              <a:ea typeface="+mn-ea"/>
              <a:cs typeface="+mn-cs"/>
            </a:rPr>
            <a:t>10 RM</a:t>
          </a:r>
        </a:p>
      </dgm:t>
    </dgm:pt>
    <dgm:pt modelId="{2C10ACCA-0B4E-9B4A-AB82-B9AD01A6C069}" type="sibTrans" cxnId="{42486A7B-5443-EF48-8227-EE0915E69680}">
      <dgm:prSet/>
      <dgm:spPr/>
      <dgm:t>
        <a:bodyPr/>
        <a:lstStyle/>
        <a:p>
          <a:endParaRPr lang="es-ES"/>
        </a:p>
      </dgm:t>
    </dgm:pt>
    <dgm:pt modelId="{68E47DF6-8824-D14B-A26F-351F64DF85C6}" type="parTrans" cxnId="{42486A7B-5443-EF48-8227-EE0915E69680}">
      <dgm:prSet/>
      <dgm:spPr/>
      <dgm:t>
        <a:bodyPr/>
        <a:lstStyle/>
        <a:p>
          <a:endParaRPr lang="es-ES"/>
        </a:p>
      </dgm:t>
    </dgm:pt>
    <dgm:pt modelId="{09BD30C8-CC1E-F840-8A6D-C2DF85A2B23C}">
      <dgm:prSet phldrT="[Texto]"/>
      <dgm:spPr>
        <a:xfrm>
          <a:off x="219022" y="1468966"/>
          <a:ext cx="2190220" cy="367241"/>
        </a:xfrm>
        <a:prstGeom prst="trapezoid">
          <a:avLst>
            <a:gd name="adj" fmla="val 56797"/>
          </a:avLst>
        </a:prstGeom>
        <a:gradFill rotWithShape="0">
          <a:gsLst>
            <a:gs pos="0">
              <a:srgbClr val="4F81BD">
                <a:shade val="80000"/>
                <a:hueOff val="244997"/>
                <a:satOff val="-3514"/>
                <a:lumOff val="20492"/>
                <a:alphaOff val="0"/>
                <a:tint val="50000"/>
                <a:satMod val="300000"/>
              </a:srgbClr>
            </a:gs>
            <a:gs pos="35000">
              <a:srgbClr val="4F81BD">
                <a:shade val="80000"/>
                <a:hueOff val="244997"/>
                <a:satOff val="-3514"/>
                <a:lumOff val="20492"/>
                <a:alphaOff val="0"/>
                <a:tint val="37000"/>
                <a:satMod val="300000"/>
              </a:srgbClr>
            </a:gs>
            <a:gs pos="100000">
              <a:srgbClr val="4F81BD">
                <a:shade val="80000"/>
                <a:hueOff val="244997"/>
                <a:satOff val="-3514"/>
                <a:lumOff val="20492"/>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s-ES">
              <a:solidFill>
                <a:sysClr val="windowText" lastClr="000000">
                  <a:hueOff val="0"/>
                  <a:satOff val="0"/>
                  <a:lumOff val="0"/>
                  <a:alphaOff val="0"/>
                </a:sysClr>
              </a:solidFill>
              <a:latin typeface="Cambria"/>
              <a:ea typeface="+mn-ea"/>
              <a:cs typeface="+mn-cs"/>
            </a:rPr>
            <a:t>8 RM</a:t>
          </a:r>
        </a:p>
      </dgm:t>
    </dgm:pt>
    <dgm:pt modelId="{EED3D152-83E7-E44E-BAA5-589B05A2A5E5}" type="sibTrans" cxnId="{C7B99BA8-6597-E04E-9E77-64AE1FD2D9EF}">
      <dgm:prSet/>
      <dgm:spPr/>
      <dgm:t>
        <a:bodyPr/>
        <a:lstStyle/>
        <a:p>
          <a:endParaRPr lang="es-ES"/>
        </a:p>
      </dgm:t>
    </dgm:pt>
    <dgm:pt modelId="{CDAE3ADE-BDC5-1F4A-9317-B7FE60C027A1}" type="parTrans" cxnId="{C7B99BA8-6597-E04E-9E77-64AE1FD2D9EF}">
      <dgm:prSet/>
      <dgm:spPr/>
      <dgm:t>
        <a:bodyPr/>
        <a:lstStyle/>
        <a:p>
          <a:endParaRPr lang="es-ES"/>
        </a:p>
      </dgm:t>
    </dgm:pt>
    <dgm:pt modelId="{A63120C0-020C-914D-8740-9683CB5CDED5}">
      <dgm:prSet phldrT="[Texto]"/>
      <dgm:spPr>
        <a:xfrm>
          <a:off x="438044" y="1101725"/>
          <a:ext cx="1752176" cy="367241"/>
        </a:xfrm>
        <a:prstGeom prst="trapezoid">
          <a:avLst>
            <a:gd name="adj" fmla="val 56797"/>
          </a:avLst>
        </a:prstGeom>
        <a:gradFill rotWithShape="0">
          <a:gsLst>
            <a:gs pos="0">
              <a:srgbClr val="4F81BD">
                <a:shade val="80000"/>
                <a:hueOff val="183748"/>
                <a:satOff val="-2635"/>
                <a:lumOff val="15369"/>
                <a:alphaOff val="0"/>
                <a:tint val="50000"/>
                <a:satMod val="300000"/>
              </a:srgbClr>
            </a:gs>
            <a:gs pos="35000">
              <a:srgbClr val="4F81BD">
                <a:shade val="80000"/>
                <a:hueOff val="183748"/>
                <a:satOff val="-2635"/>
                <a:lumOff val="15369"/>
                <a:alphaOff val="0"/>
                <a:tint val="37000"/>
                <a:satMod val="300000"/>
              </a:srgbClr>
            </a:gs>
            <a:gs pos="100000">
              <a:srgbClr val="4F81BD">
                <a:shade val="80000"/>
                <a:hueOff val="183748"/>
                <a:satOff val="-2635"/>
                <a:lumOff val="15369"/>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s-ES">
              <a:solidFill>
                <a:sysClr val="windowText" lastClr="000000">
                  <a:hueOff val="0"/>
                  <a:satOff val="0"/>
                  <a:lumOff val="0"/>
                  <a:alphaOff val="0"/>
                </a:sysClr>
              </a:solidFill>
              <a:latin typeface="Cambria"/>
              <a:ea typeface="+mn-ea"/>
              <a:cs typeface="+mn-cs"/>
            </a:rPr>
            <a:t>6 RM</a:t>
          </a:r>
        </a:p>
      </dgm:t>
    </dgm:pt>
    <dgm:pt modelId="{ABF3CB8F-4EDC-BA4B-B16D-DD14CCF43F1F}" type="sibTrans" cxnId="{50B3E741-A1F5-274D-BA2D-5C2CC8D21FEA}">
      <dgm:prSet/>
      <dgm:spPr/>
      <dgm:t>
        <a:bodyPr/>
        <a:lstStyle/>
        <a:p>
          <a:endParaRPr lang="es-ES"/>
        </a:p>
      </dgm:t>
    </dgm:pt>
    <dgm:pt modelId="{C753FAAF-DEE8-BF43-A853-A1D48845A36A}" type="parTrans" cxnId="{50B3E741-A1F5-274D-BA2D-5C2CC8D21FEA}">
      <dgm:prSet/>
      <dgm:spPr/>
      <dgm:t>
        <a:bodyPr/>
        <a:lstStyle/>
        <a:p>
          <a:endParaRPr lang="es-ES"/>
        </a:p>
      </dgm:t>
    </dgm:pt>
    <dgm:pt modelId="{16CC0666-2820-1E41-B089-8905E3589ED7}">
      <dgm:prSet phldrT="[Texto]"/>
      <dgm:spPr>
        <a:xfrm>
          <a:off x="657066" y="734483"/>
          <a:ext cx="1314132" cy="367241"/>
        </a:xfrm>
        <a:prstGeom prst="trapezoid">
          <a:avLst>
            <a:gd name="adj" fmla="val 56797"/>
          </a:avLst>
        </a:prstGeom>
        <a:gradFill rotWithShape="0">
          <a:gsLst>
            <a:gs pos="0">
              <a:srgbClr val="4F81BD">
                <a:shade val="80000"/>
                <a:hueOff val="122499"/>
                <a:satOff val="-1757"/>
                <a:lumOff val="10246"/>
                <a:alphaOff val="0"/>
                <a:tint val="50000"/>
                <a:satMod val="300000"/>
              </a:srgbClr>
            </a:gs>
            <a:gs pos="35000">
              <a:srgbClr val="4F81BD">
                <a:shade val="80000"/>
                <a:hueOff val="122499"/>
                <a:satOff val="-1757"/>
                <a:lumOff val="10246"/>
                <a:alphaOff val="0"/>
                <a:tint val="37000"/>
                <a:satMod val="300000"/>
              </a:srgbClr>
            </a:gs>
            <a:gs pos="100000">
              <a:srgbClr val="4F81BD">
                <a:shade val="80000"/>
                <a:hueOff val="122499"/>
                <a:satOff val="-1757"/>
                <a:lumOff val="10246"/>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s-ES">
              <a:solidFill>
                <a:sysClr val="windowText" lastClr="000000">
                  <a:hueOff val="0"/>
                  <a:satOff val="0"/>
                  <a:lumOff val="0"/>
                  <a:alphaOff val="0"/>
                </a:sysClr>
              </a:solidFill>
              <a:latin typeface="Cambria"/>
              <a:ea typeface="+mn-ea"/>
              <a:cs typeface="+mn-cs"/>
            </a:rPr>
            <a:t>4 RM</a:t>
          </a:r>
        </a:p>
      </dgm:t>
    </dgm:pt>
    <dgm:pt modelId="{9174355A-891C-964B-911F-11F47C30AF62}" type="sibTrans" cxnId="{D1D41A51-C1F0-024B-BE29-0FE930E8DD89}">
      <dgm:prSet/>
      <dgm:spPr/>
      <dgm:t>
        <a:bodyPr/>
        <a:lstStyle/>
        <a:p>
          <a:endParaRPr lang="es-ES"/>
        </a:p>
      </dgm:t>
    </dgm:pt>
    <dgm:pt modelId="{4F071E66-7D1A-CA4E-8272-EEF1DED54D25}" type="parTrans" cxnId="{D1D41A51-C1F0-024B-BE29-0FE930E8DD89}">
      <dgm:prSet/>
      <dgm:spPr/>
      <dgm:t>
        <a:bodyPr/>
        <a:lstStyle/>
        <a:p>
          <a:endParaRPr lang="es-ES"/>
        </a:p>
      </dgm:t>
    </dgm:pt>
    <dgm:pt modelId="{73461FDF-49CD-6D4E-8074-BFF8FD25220A}">
      <dgm:prSet phldrT="[Texto]"/>
      <dgm:spPr>
        <a:xfrm>
          <a:off x="876088" y="367241"/>
          <a:ext cx="876088" cy="367241"/>
        </a:xfrm>
        <a:prstGeom prst="trapezoid">
          <a:avLst>
            <a:gd name="adj" fmla="val 56797"/>
          </a:avLst>
        </a:prstGeom>
        <a:gradFill rotWithShape="0">
          <a:gsLst>
            <a:gs pos="0">
              <a:srgbClr val="4F81BD">
                <a:shade val="80000"/>
                <a:hueOff val="61249"/>
                <a:satOff val="-878"/>
                <a:lumOff val="5123"/>
                <a:alphaOff val="0"/>
                <a:tint val="50000"/>
                <a:satMod val="300000"/>
              </a:srgbClr>
            </a:gs>
            <a:gs pos="35000">
              <a:srgbClr val="4F81BD">
                <a:shade val="80000"/>
                <a:hueOff val="61249"/>
                <a:satOff val="-878"/>
                <a:lumOff val="5123"/>
                <a:alphaOff val="0"/>
                <a:tint val="37000"/>
                <a:satMod val="300000"/>
              </a:srgbClr>
            </a:gs>
            <a:gs pos="100000">
              <a:srgbClr val="4F81BD">
                <a:shade val="80000"/>
                <a:hueOff val="61249"/>
                <a:satOff val="-878"/>
                <a:lumOff val="5123"/>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s-ES">
              <a:solidFill>
                <a:sysClr val="windowText" lastClr="000000">
                  <a:hueOff val="0"/>
                  <a:satOff val="0"/>
                  <a:lumOff val="0"/>
                  <a:alphaOff val="0"/>
                </a:sysClr>
              </a:solidFill>
              <a:latin typeface="Cambria"/>
              <a:ea typeface="+mn-ea"/>
              <a:cs typeface="+mn-cs"/>
            </a:rPr>
            <a:t>2 RM</a:t>
          </a:r>
        </a:p>
      </dgm:t>
    </dgm:pt>
    <dgm:pt modelId="{8BBF3B20-52AD-A94C-B82F-966EEF2299EE}" type="sibTrans" cxnId="{B6BE7816-8B2D-FF4E-9936-4D4BC6B96F46}">
      <dgm:prSet/>
      <dgm:spPr/>
      <dgm:t>
        <a:bodyPr/>
        <a:lstStyle/>
        <a:p>
          <a:endParaRPr lang="es-ES"/>
        </a:p>
      </dgm:t>
    </dgm:pt>
    <dgm:pt modelId="{4D72171E-B2D9-5241-B2C8-EE043687A59C}" type="parTrans" cxnId="{B6BE7816-8B2D-FF4E-9936-4D4BC6B96F46}">
      <dgm:prSet/>
      <dgm:spPr/>
      <dgm:t>
        <a:bodyPr/>
        <a:lstStyle/>
        <a:p>
          <a:endParaRPr lang="es-ES"/>
        </a:p>
      </dgm:t>
    </dgm:pt>
    <dgm:pt modelId="{A3DF5361-606A-6846-B326-1836184A6106}">
      <dgm:prSet phldrT="[Texto]"/>
      <dgm:spPr>
        <a:xfrm>
          <a:off x="1095110" y="0"/>
          <a:ext cx="438044" cy="367241"/>
        </a:xfrm>
        <a:prstGeom prst="trapezoid">
          <a:avLst>
            <a:gd name="adj" fmla="val 56797"/>
          </a:avLst>
        </a:prstGeom>
        <a:gradFill rotWithShape="0">
          <a:gsLst>
            <a:gs pos="0">
              <a:srgbClr val="4F81BD">
                <a:shade val="80000"/>
                <a:hueOff val="0"/>
                <a:satOff val="0"/>
                <a:lumOff val="0"/>
                <a:alphaOff val="0"/>
                <a:tint val="50000"/>
                <a:satMod val="300000"/>
              </a:srgbClr>
            </a:gs>
            <a:gs pos="35000">
              <a:srgbClr val="4F81BD">
                <a:shade val="80000"/>
                <a:hueOff val="0"/>
                <a:satOff val="0"/>
                <a:lumOff val="0"/>
                <a:alphaOff val="0"/>
                <a:tint val="37000"/>
                <a:satMod val="300000"/>
              </a:srgbClr>
            </a:gs>
            <a:gs pos="100000">
              <a:srgbClr val="4F81BD">
                <a:shade val="8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s-ES">
              <a:solidFill>
                <a:sysClr val="windowText" lastClr="000000">
                  <a:hueOff val="0"/>
                  <a:satOff val="0"/>
                  <a:lumOff val="0"/>
                  <a:alphaOff val="0"/>
                </a:sysClr>
              </a:solidFill>
              <a:latin typeface="Cambria"/>
              <a:ea typeface="+mn-ea"/>
              <a:cs typeface="+mn-cs"/>
            </a:rPr>
            <a:t>1 RM       </a:t>
          </a:r>
        </a:p>
      </dgm:t>
    </dgm:pt>
    <dgm:pt modelId="{309E4EF3-81E7-9340-9595-34243BB70682}" type="sibTrans" cxnId="{93FC4F45-AE33-1B48-B351-B997EF2DB021}">
      <dgm:prSet/>
      <dgm:spPr/>
      <dgm:t>
        <a:bodyPr/>
        <a:lstStyle/>
        <a:p>
          <a:endParaRPr lang="es-ES"/>
        </a:p>
      </dgm:t>
    </dgm:pt>
    <dgm:pt modelId="{F84638EB-F195-744F-8E70-6FB886A447A3}" type="parTrans" cxnId="{93FC4F45-AE33-1B48-B351-B997EF2DB021}">
      <dgm:prSet/>
      <dgm:spPr/>
      <dgm:t>
        <a:bodyPr/>
        <a:lstStyle/>
        <a:p>
          <a:endParaRPr lang="es-ES"/>
        </a:p>
      </dgm:t>
    </dgm:pt>
    <dgm:pt modelId="{522083D8-C860-2440-B5B7-5FB8446D4E9E}" type="pres">
      <dgm:prSet presAssocID="{FBDD71AB-2693-3D44-AF8F-477BF2A82D0C}" presName="Name0" presStyleCnt="0">
        <dgm:presLayoutVars>
          <dgm:dir/>
          <dgm:animLvl val="lvl"/>
          <dgm:resizeHandles val="exact"/>
        </dgm:presLayoutVars>
      </dgm:prSet>
      <dgm:spPr/>
    </dgm:pt>
    <dgm:pt modelId="{9F56CFD9-BCCA-FC40-AA36-5485D1D69191}" type="pres">
      <dgm:prSet presAssocID="{A3DF5361-606A-6846-B326-1836184A6106}" presName="Name8" presStyleCnt="0"/>
      <dgm:spPr/>
    </dgm:pt>
    <dgm:pt modelId="{87BE6F0E-10CE-EC48-A543-C884317D13E6}" type="pres">
      <dgm:prSet presAssocID="{A3DF5361-606A-6846-B326-1836184A6106}" presName="level" presStyleLbl="node1" presStyleIdx="0" presStyleCnt="6">
        <dgm:presLayoutVars>
          <dgm:chMax val="1"/>
          <dgm:bulletEnabled val="1"/>
        </dgm:presLayoutVars>
      </dgm:prSet>
      <dgm:spPr>
        <a:prstGeom prst="trapezoid">
          <a:avLst>
            <a:gd name="adj" fmla="val 56797"/>
          </a:avLst>
        </a:prstGeom>
      </dgm:spPr>
    </dgm:pt>
    <dgm:pt modelId="{8172E4BB-8229-7243-A2DD-2D93351E330C}" type="pres">
      <dgm:prSet presAssocID="{A3DF5361-606A-6846-B326-1836184A6106}" presName="levelTx" presStyleLbl="revTx" presStyleIdx="0" presStyleCnt="0">
        <dgm:presLayoutVars>
          <dgm:chMax val="1"/>
          <dgm:bulletEnabled val="1"/>
        </dgm:presLayoutVars>
      </dgm:prSet>
      <dgm:spPr/>
    </dgm:pt>
    <dgm:pt modelId="{3FB94BFB-369A-4E4F-8FEA-3E667E8F01BF}" type="pres">
      <dgm:prSet presAssocID="{73461FDF-49CD-6D4E-8074-BFF8FD25220A}" presName="Name8" presStyleCnt="0"/>
      <dgm:spPr/>
    </dgm:pt>
    <dgm:pt modelId="{26A2580D-0392-7240-9B92-57F1096ED74A}" type="pres">
      <dgm:prSet presAssocID="{73461FDF-49CD-6D4E-8074-BFF8FD25220A}" presName="level" presStyleLbl="node1" presStyleIdx="1" presStyleCnt="6">
        <dgm:presLayoutVars>
          <dgm:chMax val="1"/>
          <dgm:bulletEnabled val="1"/>
        </dgm:presLayoutVars>
      </dgm:prSet>
      <dgm:spPr>
        <a:prstGeom prst="trapezoid">
          <a:avLst>
            <a:gd name="adj" fmla="val 56797"/>
          </a:avLst>
        </a:prstGeom>
      </dgm:spPr>
    </dgm:pt>
    <dgm:pt modelId="{3EDA04AF-C16C-5640-B37F-3E18CAE88E76}" type="pres">
      <dgm:prSet presAssocID="{73461FDF-49CD-6D4E-8074-BFF8FD25220A}" presName="levelTx" presStyleLbl="revTx" presStyleIdx="0" presStyleCnt="0">
        <dgm:presLayoutVars>
          <dgm:chMax val="1"/>
          <dgm:bulletEnabled val="1"/>
        </dgm:presLayoutVars>
      </dgm:prSet>
      <dgm:spPr/>
    </dgm:pt>
    <dgm:pt modelId="{92E1F805-0202-4343-977F-8DADCC708F52}" type="pres">
      <dgm:prSet presAssocID="{16CC0666-2820-1E41-B089-8905E3589ED7}" presName="Name8" presStyleCnt="0"/>
      <dgm:spPr/>
    </dgm:pt>
    <dgm:pt modelId="{9A102FCF-683F-7341-84B3-1D7C94C8276E}" type="pres">
      <dgm:prSet presAssocID="{16CC0666-2820-1E41-B089-8905E3589ED7}" presName="level" presStyleLbl="node1" presStyleIdx="2" presStyleCnt="6">
        <dgm:presLayoutVars>
          <dgm:chMax val="1"/>
          <dgm:bulletEnabled val="1"/>
        </dgm:presLayoutVars>
      </dgm:prSet>
      <dgm:spPr>
        <a:prstGeom prst="trapezoid">
          <a:avLst>
            <a:gd name="adj" fmla="val 56797"/>
          </a:avLst>
        </a:prstGeom>
      </dgm:spPr>
    </dgm:pt>
    <dgm:pt modelId="{1BF92246-95E6-DB40-8F38-6BD7679E74A5}" type="pres">
      <dgm:prSet presAssocID="{16CC0666-2820-1E41-B089-8905E3589ED7}" presName="levelTx" presStyleLbl="revTx" presStyleIdx="0" presStyleCnt="0">
        <dgm:presLayoutVars>
          <dgm:chMax val="1"/>
          <dgm:bulletEnabled val="1"/>
        </dgm:presLayoutVars>
      </dgm:prSet>
      <dgm:spPr/>
    </dgm:pt>
    <dgm:pt modelId="{46F32326-1D46-5F4F-86F9-57A131511EBA}" type="pres">
      <dgm:prSet presAssocID="{A63120C0-020C-914D-8740-9683CB5CDED5}" presName="Name8" presStyleCnt="0"/>
      <dgm:spPr/>
    </dgm:pt>
    <dgm:pt modelId="{C1A67E27-CA68-854A-9E70-FB4D75AF7BAA}" type="pres">
      <dgm:prSet presAssocID="{A63120C0-020C-914D-8740-9683CB5CDED5}" presName="level" presStyleLbl="node1" presStyleIdx="3" presStyleCnt="6">
        <dgm:presLayoutVars>
          <dgm:chMax val="1"/>
          <dgm:bulletEnabled val="1"/>
        </dgm:presLayoutVars>
      </dgm:prSet>
      <dgm:spPr>
        <a:prstGeom prst="trapezoid">
          <a:avLst>
            <a:gd name="adj" fmla="val 56797"/>
          </a:avLst>
        </a:prstGeom>
      </dgm:spPr>
    </dgm:pt>
    <dgm:pt modelId="{545C0F53-3080-FD45-8333-6AB06EE16D3C}" type="pres">
      <dgm:prSet presAssocID="{A63120C0-020C-914D-8740-9683CB5CDED5}" presName="levelTx" presStyleLbl="revTx" presStyleIdx="0" presStyleCnt="0">
        <dgm:presLayoutVars>
          <dgm:chMax val="1"/>
          <dgm:bulletEnabled val="1"/>
        </dgm:presLayoutVars>
      </dgm:prSet>
      <dgm:spPr/>
    </dgm:pt>
    <dgm:pt modelId="{84642CE0-B5FD-A748-8FCC-4A9D3513351E}" type="pres">
      <dgm:prSet presAssocID="{09BD30C8-CC1E-F840-8A6D-C2DF85A2B23C}" presName="Name8" presStyleCnt="0"/>
      <dgm:spPr/>
    </dgm:pt>
    <dgm:pt modelId="{16CEBF4F-F18F-EA41-8B4B-32758AAB27E8}" type="pres">
      <dgm:prSet presAssocID="{09BD30C8-CC1E-F840-8A6D-C2DF85A2B23C}" presName="level" presStyleLbl="node1" presStyleIdx="4" presStyleCnt="6">
        <dgm:presLayoutVars>
          <dgm:chMax val="1"/>
          <dgm:bulletEnabled val="1"/>
        </dgm:presLayoutVars>
      </dgm:prSet>
      <dgm:spPr>
        <a:prstGeom prst="trapezoid">
          <a:avLst>
            <a:gd name="adj" fmla="val 56797"/>
          </a:avLst>
        </a:prstGeom>
      </dgm:spPr>
    </dgm:pt>
    <dgm:pt modelId="{A99DC83D-83B3-8946-9509-2C2731DBFFF8}" type="pres">
      <dgm:prSet presAssocID="{09BD30C8-CC1E-F840-8A6D-C2DF85A2B23C}" presName="levelTx" presStyleLbl="revTx" presStyleIdx="0" presStyleCnt="0">
        <dgm:presLayoutVars>
          <dgm:chMax val="1"/>
          <dgm:bulletEnabled val="1"/>
        </dgm:presLayoutVars>
      </dgm:prSet>
      <dgm:spPr/>
    </dgm:pt>
    <dgm:pt modelId="{A7AC228E-CB46-4541-B63E-9C73DCA9F92C}" type="pres">
      <dgm:prSet presAssocID="{BE2100A9-1035-8A4F-A052-FE1D1CF52F6B}" presName="Name8" presStyleCnt="0"/>
      <dgm:spPr/>
    </dgm:pt>
    <dgm:pt modelId="{027C6C16-D1C9-F24C-A9AB-27E49831D77C}" type="pres">
      <dgm:prSet presAssocID="{BE2100A9-1035-8A4F-A052-FE1D1CF52F6B}" presName="level" presStyleLbl="node1" presStyleIdx="5" presStyleCnt="6" custLinFactNeighborX="4830" custLinFactNeighborY="23517">
        <dgm:presLayoutVars>
          <dgm:chMax val="1"/>
          <dgm:bulletEnabled val="1"/>
        </dgm:presLayoutVars>
      </dgm:prSet>
      <dgm:spPr>
        <a:prstGeom prst="trapezoid">
          <a:avLst>
            <a:gd name="adj" fmla="val 56797"/>
          </a:avLst>
        </a:prstGeom>
      </dgm:spPr>
    </dgm:pt>
    <dgm:pt modelId="{B3AFE8C4-CCBF-8844-A1B0-015D76588453}" type="pres">
      <dgm:prSet presAssocID="{BE2100A9-1035-8A4F-A052-FE1D1CF52F6B}" presName="levelTx" presStyleLbl="revTx" presStyleIdx="0" presStyleCnt="0">
        <dgm:presLayoutVars>
          <dgm:chMax val="1"/>
          <dgm:bulletEnabled val="1"/>
        </dgm:presLayoutVars>
      </dgm:prSet>
      <dgm:spPr/>
    </dgm:pt>
  </dgm:ptLst>
  <dgm:cxnLst>
    <dgm:cxn modelId="{219E3505-BD43-3A4C-9635-9D4543CEAED2}" type="presOf" srcId="{A63120C0-020C-914D-8740-9683CB5CDED5}" destId="{545C0F53-3080-FD45-8333-6AB06EE16D3C}" srcOrd="1" destOrd="0" presId="urn:microsoft.com/office/officeart/2005/8/layout/pyramid1"/>
    <dgm:cxn modelId="{B6BE7816-8B2D-FF4E-9936-4D4BC6B96F46}" srcId="{FBDD71AB-2693-3D44-AF8F-477BF2A82D0C}" destId="{73461FDF-49CD-6D4E-8074-BFF8FD25220A}" srcOrd="1" destOrd="0" parTransId="{4D72171E-B2D9-5241-B2C8-EE043687A59C}" sibTransId="{8BBF3B20-52AD-A94C-B82F-966EEF2299EE}"/>
    <dgm:cxn modelId="{B072D235-F928-194F-A2C2-844BA8BBA7CB}" type="presOf" srcId="{A3DF5361-606A-6846-B326-1836184A6106}" destId="{8172E4BB-8229-7243-A2DD-2D93351E330C}" srcOrd="1" destOrd="0" presId="urn:microsoft.com/office/officeart/2005/8/layout/pyramid1"/>
    <dgm:cxn modelId="{50B3E741-A1F5-274D-BA2D-5C2CC8D21FEA}" srcId="{FBDD71AB-2693-3D44-AF8F-477BF2A82D0C}" destId="{A63120C0-020C-914D-8740-9683CB5CDED5}" srcOrd="3" destOrd="0" parTransId="{C753FAAF-DEE8-BF43-A853-A1D48845A36A}" sibTransId="{ABF3CB8F-4EDC-BA4B-B16D-DD14CCF43F1F}"/>
    <dgm:cxn modelId="{93FC4F45-AE33-1B48-B351-B997EF2DB021}" srcId="{FBDD71AB-2693-3D44-AF8F-477BF2A82D0C}" destId="{A3DF5361-606A-6846-B326-1836184A6106}" srcOrd="0" destOrd="0" parTransId="{F84638EB-F195-744F-8E70-6FB886A447A3}" sibTransId="{309E4EF3-81E7-9340-9595-34243BB70682}"/>
    <dgm:cxn modelId="{B10F1B4C-DAB3-1C45-83E8-0AB323944527}" type="presOf" srcId="{09BD30C8-CC1E-F840-8A6D-C2DF85A2B23C}" destId="{A99DC83D-83B3-8946-9509-2C2731DBFFF8}" srcOrd="1" destOrd="0" presId="urn:microsoft.com/office/officeart/2005/8/layout/pyramid1"/>
    <dgm:cxn modelId="{D1D41A51-C1F0-024B-BE29-0FE930E8DD89}" srcId="{FBDD71AB-2693-3D44-AF8F-477BF2A82D0C}" destId="{16CC0666-2820-1E41-B089-8905E3589ED7}" srcOrd="2" destOrd="0" parTransId="{4F071E66-7D1A-CA4E-8272-EEF1DED54D25}" sibTransId="{9174355A-891C-964B-911F-11F47C30AF62}"/>
    <dgm:cxn modelId="{1A888F51-C583-7648-BA57-D1A2A990EC27}" type="presOf" srcId="{A3DF5361-606A-6846-B326-1836184A6106}" destId="{87BE6F0E-10CE-EC48-A543-C884317D13E6}" srcOrd="0" destOrd="0" presId="urn:microsoft.com/office/officeart/2005/8/layout/pyramid1"/>
    <dgm:cxn modelId="{64FE2F57-9517-7949-957D-306DC1B23907}" type="presOf" srcId="{16CC0666-2820-1E41-B089-8905E3589ED7}" destId="{9A102FCF-683F-7341-84B3-1D7C94C8276E}" srcOrd="0" destOrd="0" presId="urn:microsoft.com/office/officeart/2005/8/layout/pyramid1"/>
    <dgm:cxn modelId="{42486A7B-5443-EF48-8227-EE0915E69680}" srcId="{FBDD71AB-2693-3D44-AF8F-477BF2A82D0C}" destId="{BE2100A9-1035-8A4F-A052-FE1D1CF52F6B}" srcOrd="5" destOrd="0" parTransId="{68E47DF6-8824-D14B-A26F-351F64DF85C6}" sibTransId="{2C10ACCA-0B4E-9B4A-AB82-B9AD01A6C069}"/>
    <dgm:cxn modelId="{25F5C57B-8629-C546-AAA5-400A834572E7}" type="presOf" srcId="{09BD30C8-CC1E-F840-8A6D-C2DF85A2B23C}" destId="{16CEBF4F-F18F-EA41-8B4B-32758AAB27E8}" srcOrd="0" destOrd="0" presId="urn:microsoft.com/office/officeart/2005/8/layout/pyramid1"/>
    <dgm:cxn modelId="{DE3C6087-C637-F145-95B1-A3D3FDF80348}" type="presOf" srcId="{16CC0666-2820-1E41-B089-8905E3589ED7}" destId="{1BF92246-95E6-DB40-8F38-6BD7679E74A5}" srcOrd="1" destOrd="0" presId="urn:microsoft.com/office/officeart/2005/8/layout/pyramid1"/>
    <dgm:cxn modelId="{AF09F295-A6CC-C440-83AD-0E7DCFA96E51}" type="presOf" srcId="{73461FDF-49CD-6D4E-8074-BFF8FD25220A}" destId="{26A2580D-0392-7240-9B92-57F1096ED74A}" srcOrd="0" destOrd="0" presId="urn:microsoft.com/office/officeart/2005/8/layout/pyramid1"/>
    <dgm:cxn modelId="{C7B99BA8-6597-E04E-9E77-64AE1FD2D9EF}" srcId="{FBDD71AB-2693-3D44-AF8F-477BF2A82D0C}" destId="{09BD30C8-CC1E-F840-8A6D-C2DF85A2B23C}" srcOrd="4" destOrd="0" parTransId="{CDAE3ADE-BDC5-1F4A-9317-B7FE60C027A1}" sibTransId="{EED3D152-83E7-E44E-BAA5-589B05A2A5E5}"/>
    <dgm:cxn modelId="{EE95DEA9-88A9-884D-A4C8-42DCD319B83A}" type="presOf" srcId="{BE2100A9-1035-8A4F-A052-FE1D1CF52F6B}" destId="{B3AFE8C4-CCBF-8844-A1B0-015D76588453}" srcOrd="1" destOrd="0" presId="urn:microsoft.com/office/officeart/2005/8/layout/pyramid1"/>
    <dgm:cxn modelId="{22E776CD-BDDD-E04F-908D-F6D7EA3E1DAC}" type="presOf" srcId="{73461FDF-49CD-6D4E-8074-BFF8FD25220A}" destId="{3EDA04AF-C16C-5640-B37F-3E18CAE88E76}" srcOrd="1" destOrd="0" presId="urn:microsoft.com/office/officeart/2005/8/layout/pyramid1"/>
    <dgm:cxn modelId="{A639C4CE-22A6-B148-B140-414733AE9155}" type="presOf" srcId="{FBDD71AB-2693-3D44-AF8F-477BF2A82D0C}" destId="{522083D8-C860-2440-B5B7-5FB8446D4E9E}" srcOrd="0" destOrd="0" presId="urn:microsoft.com/office/officeart/2005/8/layout/pyramid1"/>
    <dgm:cxn modelId="{B54DE6E1-54D0-F345-86DF-8318AF31D889}" type="presOf" srcId="{BE2100A9-1035-8A4F-A052-FE1D1CF52F6B}" destId="{027C6C16-D1C9-F24C-A9AB-27E49831D77C}" srcOrd="0" destOrd="0" presId="urn:microsoft.com/office/officeart/2005/8/layout/pyramid1"/>
    <dgm:cxn modelId="{ABCEFDFF-29F3-684F-A57E-DD7583C79934}" type="presOf" srcId="{A63120C0-020C-914D-8740-9683CB5CDED5}" destId="{C1A67E27-CA68-854A-9E70-FB4D75AF7BAA}" srcOrd="0" destOrd="0" presId="urn:microsoft.com/office/officeart/2005/8/layout/pyramid1"/>
    <dgm:cxn modelId="{5C595ADF-169D-EA40-A893-8C795353B42D}" type="presParOf" srcId="{522083D8-C860-2440-B5B7-5FB8446D4E9E}" destId="{9F56CFD9-BCCA-FC40-AA36-5485D1D69191}" srcOrd="0" destOrd="0" presId="urn:microsoft.com/office/officeart/2005/8/layout/pyramid1"/>
    <dgm:cxn modelId="{201452C1-37CA-FB40-B3DE-7E079504F406}" type="presParOf" srcId="{9F56CFD9-BCCA-FC40-AA36-5485D1D69191}" destId="{87BE6F0E-10CE-EC48-A543-C884317D13E6}" srcOrd="0" destOrd="0" presId="urn:microsoft.com/office/officeart/2005/8/layout/pyramid1"/>
    <dgm:cxn modelId="{BCC239C6-63DE-2245-AAD3-5FDE97EBCE97}" type="presParOf" srcId="{9F56CFD9-BCCA-FC40-AA36-5485D1D69191}" destId="{8172E4BB-8229-7243-A2DD-2D93351E330C}" srcOrd="1" destOrd="0" presId="urn:microsoft.com/office/officeart/2005/8/layout/pyramid1"/>
    <dgm:cxn modelId="{77EE6FC4-6046-734E-A12A-CC6E47DCEC08}" type="presParOf" srcId="{522083D8-C860-2440-B5B7-5FB8446D4E9E}" destId="{3FB94BFB-369A-4E4F-8FEA-3E667E8F01BF}" srcOrd="1" destOrd="0" presId="urn:microsoft.com/office/officeart/2005/8/layout/pyramid1"/>
    <dgm:cxn modelId="{A46607C0-A239-C54E-953A-18414C317B69}" type="presParOf" srcId="{3FB94BFB-369A-4E4F-8FEA-3E667E8F01BF}" destId="{26A2580D-0392-7240-9B92-57F1096ED74A}" srcOrd="0" destOrd="0" presId="urn:microsoft.com/office/officeart/2005/8/layout/pyramid1"/>
    <dgm:cxn modelId="{983E4D46-54C8-DD4E-8AF5-4983629650B6}" type="presParOf" srcId="{3FB94BFB-369A-4E4F-8FEA-3E667E8F01BF}" destId="{3EDA04AF-C16C-5640-B37F-3E18CAE88E76}" srcOrd="1" destOrd="0" presId="urn:microsoft.com/office/officeart/2005/8/layout/pyramid1"/>
    <dgm:cxn modelId="{B03FB6A9-4D6F-1D44-B3E5-8373835534AD}" type="presParOf" srcId="{522083D8-C860-2440-B5B7-5FB8446D4E9E}" destId="{92E1F805-0202-4343-977F-8DADCC708F52}" srcOrd="2" destOrd="0" presId="urn:microsoft.com/office/officeart/2005/8/layout/pyramid1"/>
    <dgm:cxn modelId="{1E9C2E83-877A-6343-8EA9-99E3FC8A944C}" type="presParOf" srcId="{92E1F805-0202-4343-977F-8DADCC708F52}" destId="{9A102FCF-683F-7341-84B3-1D7C94C8276E}" srcOrd="0" destOrd="0" presId="urn:microsoft.com/office/officeart/2005/8/layout/pyramid1"/>
    <dgm:cxn modelId="{188B9B4E-5190-FF49-A1B5-2C37FC12FD3E}" type="presParOf" srcId="{92E1F805-0202-4343-977F-8DADCC708F52}" destId="{1BF92246-95E6-DB40-8F38-6BD7679E74A5}" srcOrd="1" destOrd="0" presId="urn:microsoft.com/office/officeart/2005/8/layout/pyramid1"/>
    <dgm:cxn modelId="{7C747F71-E7B4-5145-A564-CD8E9D5E61FE}" type="presParOf" srcId="{522083D8-C860-2440-B5B7-5FB8446D4E9E}" destId="{46F32326-1D46-5F4F-86F9-57A131511EBA}" srcOrd="3" destOrd="0" presId="urn:microsoft.com/office/officeart/2005/8/layout/pyramid1"/>
    <dgm:cxn modelId="{FD5244A2-67FD-BF42-8910-4D0F2B4BE137}" type="presParOf" srcId="{46F32326-1D46-5F4F-86F9-57A131511EBA}" destId="{C1A67E27-CA68-854A-9E70-FB4D75AF7BAA}" srcOrd="0" destOrd="0" presId="urn:microsoft.com/office/officeart/2005/8/layout/pyramid1"/>
    <dgm:cxn modelId="{F0D0547C-A434-8440-A874-07CFC483A035}" type="presParOf" srcId="{46F32326-1D46-5F4F-86F9-57A131511EBA}" destId="{545C0F53-3080-FD45-8333-6AB06EE16D3C}" srcOrd="1" destOrd="0" presId="urn:microsoft.com/office/officeart/2005/8/layout/pyramid1"/>
    <dgm:cxn modelId="{3B2D7EEB-9B23-E64A-82EC-5FC3C6AE98E2}" type="presParOf" srcId="{522083D8-C860-2440-B5B7-5FB8446D4E9E}" destId="{84642CE0-B5FD-A748-8FCC-4A9D3513351E}" srcOrd="4" destOrd="0" presId="urn:microsoft.com/office/officeart/2005/8/layout/pyramid1"/>
    <dgm:cxn modelId="{39F6B1EB-37A7-074E-B76A-181C1C554448}" type="presParOf" srcId="{84642CE0-B5FD-A748-8FCC-4A9D3513351E}" destId="{16CEBF4F-F18F-EA41-8B4B-32758AAB27E8}" srcOrd="0" destOrd="0" presId="urn:microsoft.com/office/officeart/2005/8/layout/pyramid1"/>
    <dgm:cxn modelId="{30C7656A-7DD5-2748-9006-673AAD00BEDF}" type="presParOf" srcId="{84642CE0-B5FD-A748-8FCC-4A9D3513351E}" destId="{A99DC83D-83B3-8946-9509-2C2731DBFFF8}" srcOrd="1" destOrd="0" presId="urn:microsoft.com/office/officeart/2005/8/layout/pyramid1"/>
    <dgm:cxn modelId="{FC5D5B3A-B383-D943-B398-1DC9F20F7AC2}" type="presParOf" srcId="{522083D8-C860-2440-B5B7-5FB8446D4E9E}" destId="{A7AC228E-CB46-4541-B63E-9C73DCA9F92C}" srcOrd="5" destOrd="0" presId="urn:microsoft.com/office/officeart/2005/8/layout/pyramid1"/>
    <dgm:cxn modelId="{48DFE9CE-8636-C240-A484-1F59CF638B19}" type="presParOf" srcId="{A7AC228E-CB46-4541-B63E-9C73DCA9F92C}" destId="{027C6C16-D1C9-F24C-A9AB-27E49831D77C}" srcOrd="0" destOrd="0" presId="urn:microsoft.com/office/officeart/2005/8/layout/pyramid1"/>
    <dgm:cxn modelId="{AEA6B236-9504-964B-A2CD-69EAEC43491A}" type="presParOf" srcId="{A7AC228E-CB46-4541-B63E-9C73DCA9F92C}" destId="{B3AFE8C4-CCBF-8844-A1B0-015D76588453}" srcOrd="1" destOrd="0" presId="urn:microsoft.com/office/officeart/2005/8/layout/pyramid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C0E54F5-39C1-7345-935F-BB8B02842455}" type="doc">
      <dgm:prSet loTypeId="urn:microsoft.com/office/officeart/2005/8/layout/pyramid1" loCatId="" qsTypeId="urn:microsoft.com/office/officeart/2005/8/quickstyle/simple3" qsCatId="simple" csTypeId="urn:microsoft.com/office/officeart/2005/8/colors/accent1_5" csCatId="accent1" phldr="1"/>
      <dgm:spPr/>
    </dgm:pt>
    <dgm:pt modelId="{803E89F1-8316-3041-B3EE-A36CE1850CDC}">
      <dgm:prSet phldrT="[Texto]"/>
      <dgm:spPr>
        <a:xfrm>
          <a:off x="895111" y="0"/>
          <a:ext cx="596741" cy="572452"/>
        </a:xfrm>
        <a:prstGeom prst="trapezoid">
          <a:avLst>
            <a:gd name="adj" fmla="val 50000"/>
          </a:avLst>
        </a:prstGeom>
        <a:gradFill rotWithShape="0">
          <a:gsLst>
            <a:gs pos="0">
              <a:srgbClr val="4F81BD">
                <a:alpha val="90000"/>
                <a:hueOff val="0"/>
                <a:satOff val="0"/>
                <a:lumOff val="0"/>
                <a:alphaOff val="0"/>
                <a:tint val="50000"/>
                <a:satMod val="300000"/>
              </a:srgbClr>
            </a:gs>
            <a:gs pos="35000">
              <a:srgbClr val="4F81BD">
                <a:alpha val="90000"/>
                <a:hueOff val="0"/>
                <a:satOff val="0"/>
                <a:lumOff val="0"/>
                <a:alphaOff val="0"/>
                <a:tint val="37000"/>
                <a:satMod val="300000"/>
              </a:srgbClr>
            </a:gs>
            <a:gs pos="100000">
              <a:srgbClr val="4F81BD">
                <a:alpha val="9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s-ES">
              <a:solidFill>
                <a:sysClr val="windowText" lastClr="000000">
                  <a:hueOff val="0"/>
                  <a:satOff val="0"/>
                  <a:lumOff val="0"/>
                  <a:alphaOff val="0"/>
                </a:sysClr>
              </a:solidFill>
              <a:latin typeface="Cambria"/>
              <a:ea typeface="+mn-ea"/>
              <a:cs typeface="+mn-cs"/>
            </a:rPr>
            <a:t>2 (95% RM)</a:t>
          </a:r>
        </a:p>
      </dgm:t>
    </dgm:pt>
    <dgm:pt modelId="{8FD2F290-BDC3-DB42-9408-DE2ED06AE3EB}" type="parTrans" cxnId="{240D8591-F154-F844-8122-7B43F38F2F39}">
      <dgm:prSet/>
      <dgm:spPr/>
      <dgm:t>
        <a:bodyPr/>
        <a:lstStyle/>
        <a:p>
          <a:endParaRPr lang="es-ES"/>
        </a:p>
      </dgm:t>
    </dgm:pt>
    <dgm:pt modelId="{E548D788-EAEA-934D-AA05-144F860732F9}" type="sibTrans" cxnId="{240D8591-F154-F844-8122-7B43F38F2F39}">
      <dgm:prSet/>
      <dgm:spPr/>
      <dgm:t>
        <a:bodyPr/>
        <a:lstStyle/>
        <a:p>
          <a:endParaRPr lang="es-ES"/>
        </a:p>
      </dgm:t>
    </dgm:pt>
    <dgm:pt modelId="{5FCF16A2-CA78-2D43-8741-0863DED9825D}">
      <dgm:prSet phldrT="[Texto]"/>
      <dgm:spPr>
        <a:xfrm>
          <a:off x="596741" y="572452"/>
          <a:ext cx="1193482" cy="572452"/>
        </a:xfrm>
        <a:prstGeom prst="trapezoid">
          <a:avLst>
            <a:gd name="adj" fmla="val 49794"/>
          </a:avLst>
        </a:prstGeom>
        <a:gradFill rotWithShape="0">
          <a:gsLst>
            <a:gs pos="0">
              <a:srgbClr val="4F81BD">
                <a:alpha val="90000"/>
                <a:hueOff val="0"/>
                <a:satOff val="0"/>
                <a:lumOff val="0"/>
                <a:alphaOff val="-13333"/>
                <a:tint val="50000"/>
                <a:satMod val="300000"/>
              </a:srgbClr>
            </a:gs>
            <a:gs pos="35000">
              <a:srgbClr val="4F81BD">
                <a:alpha val="90000"/>
                <a:hueOff val="0"/>
                <a:satOff val="0"/>
                <a:lumOff val="0"/>
                <a:alphaOff val="-13333"/>
                <a:tint val="37000"/>
                <a:satMod val="300000"/>
              </a:srgbClr>
            </a:gs>
            <a:gs pos="100000">
              <a:srgbClr val="4F81BD">
                <a:alpha val="90000"/>
                <a:hueOff val="0"/>
                <a:satOff val="0"/>
                <a:lumOff val="0"/>
                <a:alphaOff val="-13333"/>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s-ES">
              <a:solidFill>
                <a:sysClr val="windowText" lastClr="000000">
                  <a:hueOff val="0"/>
                  <a:satOff val="0"/>
                  <a:lumOff val="0"/>
                  <a:alphaOff val="0"/>
                </a:sysClr>
              </a:solidFill>
              <a:latin typeface="Cambria"/>
              <a:ea typeface="+mn-ea"/>
              <a:cs typeface="+mn-cs"/>
            </a:rPr>
            <a:t>4 RM (90% RM)</a:t>
          </a:r>
        </a:p>
      </dgm:t>
    </dgm:pt>
    <dgm:pt modelId="{D4D43DD4-752A-A24D-B565-16434A9AD197}" type="parTrans" cxnId="{56C2D4FF-BEA8-354A-B9A4-D3453E4E778A}">
      <dgm:prSet/>
      <dgm:spPr/>
      <dgm:t>
        <a:bodyPr/>
        <a:lstStyle/>
        <a:p>
          <a:endParaRPr lang="es-ES"/>
        </a:p>
      </dgm:t>
    </dgm:pt>
    <dgm:pt modelId="{9392584A-F279-AE42-96C3-D5905E8C6019}" type="sibTrans" cxnId="{56C2D4FF-BEA8-354A-B9A4-D3453E4E778A}">
      <dgm:prSet/>
      <dgm:spPr/>
      <dgm:t>
        <a:bodyPr/>
        <a:lstStyle/>
        <a:p>
          <a:endParaRPr lang="es-ES"/>
        </a:p>
      </dgm:t>
    </dgm:pt>
    <dgm:pt modelId="{907A1F79-E91E-5A4C-8D93-C0DA78E21D85}">
      <dgm:prSet phldrT="[Texto]"/>
      <dgm:spPr>
        <a:xfrm>
          <a:off x="298370" y="1144904"/>
          <a:ext cx="1790223" cy="572452"/>
        </a:xfrm>
        <a:prstGeom prst="trapezoid">
          <a:avLst>
            <a:gd name="adj" fmla="val 49794"/>
          </a:avLst>
        </a:prstGeom>
        <a:gradFill rotWithShape="0">
          <a:gsLst>
            <a:gs pos="0">
              <a:srgbClr val="4F81BD">
                <a:alpha val="90000"/>
                <a:hueOff val="0"/>
                <a:satOff val="0"/>
                <a:lumOff val="0"/>
                <a:alphaOff val="-26667"/>
                <a:tint val="50000"/>
                <a:satMod val="300000"/>
              </a:srgbClr>
            </a:gs>
            <a:gs pos="35000">
              <a:srgbClr val="4F81BD">
                <a:alpha val="90000"/>
                <a:hueOff val="0"/>
                <a:satOff val="0"/>
                <a:lumOff val="0"/>
                <a:alphaOff val="-26667"/>
                <a:tint val="37000"/>
                <a:satMod val="300000"/>
              </a:srgbClr>
            </a:gs>
            <a:gs pos="100000">
              <a:srgbClr val="4F81BD">
                <a:alpha val="90000"/>
                <a:hueOff val="0"/>
                <a:satOff val="0"/>
                <a:lumOff val="0"/>
                <a:alphaOff val="-26667"/>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s-ES">
              <a:solidFill>
                <a:sysClr val="windowText" lastClr="000000">
                  <a:hueOff val="0"/>
                  <a:satOff val="0"/>
                  <a:lumOff val="0"/>
                  <a:alphaOff val="0"/>
                </a:sysClr>
              </a:solidFill>
              <a:latin typeface="Cambria"/>
              <a:ea typeface="+mn-ea"/>
              <a:cs typeface="+mn-cs"/>
            </a:rPr>
            <a:t>6 RM (85% RM)</a:t>
          </a:r>
        </a:p>
      </dgm:t>
    </dgm:pt>
    <dgm:pt modelId="{02F898DC-3EF4-9C4E-BE24-4C779B301E00}" type="parTrans" cxnId="{77CC748C-41E1-3948-957A-9407532F3257}">
      <dgm:prSet/>
      <dgm:spPr/>
      <dgm:t>
        <a:bodyPr/>
        <a:lstStyle/>
        <a:p>
          <a:endParaRPr lang="es-ES"/>
        </a:p>
      </dgm:t>
    </dgm:pt>
    <dgm:pt modelId="{95392291-D838-854F-9C93-95EA408352FE}" type="sibTrans" cxnId="{77CC748C-41E1-3948-957A-9407532F3257}">
      <dgm:prSet/>
      <dgm:spPr/>
      <dgm:t>
        <a:bodyPr/>
        <a:lstStyle/>
        <a:p>
          <a:endParaRPr lang="es-ES"/>
        </a:p>
      </dgm:t>
    </dgm:pt>
    <dgm:pt modelId="{E573C0BC-5F60-9D4F-81A0-2D0D01A8A0D8}">
      <dgm:prSet/>
      <dgm:spPr>
        <a:xfrm>
          <a:off x="0" y="1717357"/>
          <a:ext cx="2386964" cy="572452"/>
        </a:xfrm>
        <a:prstGeom prst="trapezoid">
          <a:avLst>
            <a:gd name="adj" fmla="val 49794"/>
          </a:avLst>
        </a:prstGeom>
        <a:gradFill rotWithShape="0">
          <a:gsLst>
            <a:gs pos="0">
              <a:srgbClr val="4F81BD">
                <a:alpha val="90000"/>
                <a:hueOff val="0"/>
                <a:satOff val="0"/>
                <a:lumOff val="0"/>
                <a:alphaOff val="-40000"/>
                <a:tint val="50000"/>
                <a:satMod val="300000"/>
              </a:srgbClr>
            </a:gs>
            <a:gs pos="35000">
              <a:srgbClr val="4F81BD">
                <a:alpha val="90000"/>
                <a:hueOff val="0"/>
                <a:satOff val="0"/>
                <a:lumOff val="0"/>
                <a:alphaOff val="-40000"/>
                <a:tint val="37000"/>
                <a:satMod val="300000"/>
              </a:srgbClr>
            </a:gs>
            <a:gs pos="100000">
              <a:srgbClr val="4F81BD">
                <a:alpha val="90000"/>
                <a:hueOff val="0"/>
                <a:satOff val="0"/>
                <a:lumOff val="0"/>
                <a:alphaOff val="-4000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s-ES">
              <a:solidFill>
                <a:sysClr val="windowText" lastClr="000000">
                  <a:hueOff val="0"/>
                  <a:satOff val="0"/>
                  <a:lumOff val="0"/>
                  <a:alphaOff val="0"/>
                </a:sysClr>
              </a:solidFill>
              <a:latin typeface="Cambria"/>
              <a:ea typeface="+mn-ea"/>
              <a:cs typeface="+mn-cs"/>
            </a:rPr>
            <a:t>8 RM (75% RM)</a:t>
          </a:r>
        </a:p>
      </dgm:t>
    </dgm:pt>
    <dgm:pt modelId="{9E58AC0B-9282-7A4E-8D87-A3ADD916BEDA}" type="parTrans" cxnId="{8A1D9ACE-B562-D84B-B121-85A559217F0E}">
      <dgm:prSet/>
      <dgm:spPr/>
      <dgm:t>
        <a:bodyPr/>
        <a:lstStyle/>
        <a:p>
          <a:endParaRPr lang="es-ES"/>
        </a:p>
      </dgm:t>
    </dgm:pt>
    <dgm:pt modelId="{72C4A76F-8348-DC4E-8FF3-B182765048F3}" type="sibTrans" cxnId="{8A1D9ACE-B562-D84B-B121-85A559217F0E}">
      <dgm:prSet/>
      <dgm:spPr/>
      <dgm:t>
        <a:bodyPr/>
        <a:lstStyle/>
        <a:p>
          <a:endParaRPr lang="es-ES"/>
        </a:p>
      </dgm:t>
    </dgm:pt>
    <dgm:pt modelId="{E07E7DAD-BE23-A847-BFBB-238A446D011C}" type="pres">
      <dgm:prSet presAssocID="{8C0E54F5-39C1-7345-935F-BB8B02842455}" presName="Name0" presStyleCnt="0">
        <dgm:presLayoutVars>
          <dgm:dir/>
          <dgm:animLvl val="lvl"/>
          <dgm:resizeHandles val="exact"/>
        </dgm:presLayoutVars>
      </dgm:prSet>
      <dgm:spPr/>
    </dgm:pt>
    <dgm:pt modelId="{918707A1-1278-5044-95B8-5F98ED00C103}" type="pres">
      <dgm:prSet presAssocID="{803E89F1-8316-3041-B3EE-A36CE1850CDC}" presName="Name8" presStyleCnt="0"/>
      <dgm:spPr/>
    </dgm:pt>
    <dgm:pt modelId="{DD2852C8-A00B-3B47-B19F-17466D9B7D58}" type="pres">
      <dgm:prSet presAssocID="{803E89F1-8316-3041-B3EE-A36CE1850CDC}" presName="level" presStyleLbl="node1" presStyleIdx="0" presStyleCnt="4">
        <dgm:presLayoutVars>
          <dgm:chMax val="1"/>
          <dgm:bulletEnabled val="1"/>
        </dgm:presLayoutVars>
      </dgm:prSet>
      <dgm:spPr>
        <a:prstGeom prst="trapezoid">
          <a:avLst>
            <a:gd name="adj" fmla="val 50000"/>
          </a:avLst>
        </a:prstGeom>
      </dgm:spPr>
    </dgm:pt>
    <dgm:pt modelId="{6A04BEE7-FAF7-EC43-A48D-6CD920B18F8D}" type="pres">
      <dgm:prSet presAssocID="{803E89F1-8316-3041-B3EE-A36CE1850CDC}" presName="levelTx" presStyleLbl="revTx" presStyleIdx="0" presStyleCnt="0">
        <dgm:presLayoutVars>
          <dgm:chMax val="1"/>
          <dgm:bulletEnabled val="1"/>
        </dgm:presLayoutVars>
      </dgm:prSet>
      <dgm:spPr/>
    </dgm:pt>
    <dgm:pt modelId="{311ADDC5-0309-B844-A80E-9965479D99AA}" type="pres">
      <dgm:prSet presAssocID="{5FCF16A2-CA78-2D43-8741-0863DED9825D}" presName="Name8" presStyleCnt="0"/>
      <dgm:spPr/>
    </dgm:pt>
    <dgm:pt modelId="{C6437CD7-C326-8647-8FEC-625B69B5253D}" type="pres">
      <dgm:prSet presAssocID="{5FCF16A2-CA78-2D43-8741-0863DED9825D}" presName="level" presStyleLbl="node1" presStyleIdx="1" presStyleCnt="4">
        <dgm:presLayoutVars>
          <dgm:chMax val="1"/>
          <dgm:bulletEnabled val="1"/>
        </dgm:presLayoutVars>
      </dgm:prSet>
      <dgm:spPr>
        <a:prstGeom prst="trapezoid">
          <a:avLst>
            <a:gd name="adj" fmla="val 49794"/>
          </a:avLst>
        </a:prstGeom>
      </dgm:spPr>
    </dgm:pt>
    <dgm:pt modelId="{AFC9BED0-A61C-384D-85A3-0D4FD80C17FD}" type="pres">
      <dgm:prSet presAssocID="{5FCF16A2-CA78-2D43-8741-0863DED9825D}" presName="levelTx" presStyleLbl="revTx" presStyleIdx="0" presStyleCnt="0">
        <dgm:presLayoutVars>
          <dgm:chMax val="1"/>
          <dgm:bulletEnabled val="1"/>
        </dgm:presLayoutVars>
      </dgm:prSet>
      <dgm:spPr/>
    </dgm:pt>
    <dgm:pt modelId="{7E1BA874-1E46-534E-956F-9C20408D2642}" type="pres">
      <dgm:prSet presAssocID="{907A1F79-E91E-5A4C-8D93-C0DA78E21D85}" presName="Name8" presStyleCnt="0"/>
      <dgm:spPr/>
    </dgm:pt>
    <dgm:pt modelId="{DEF3C29F-E2A7-A944-AEA3-C592AFB8600E}" type="pres">
      <dgm:prSet presAssocID="{907A1F79-E91E-5A4C-8D93-C0DA78E21D85}" presName="level" presStyleLbl="node1" presStyleIdx="2" presStyleCnt="4">
        <dgm:presLayoutVars>
          <dgm:chMax val="1"/>
          <dgm:bulletEnabled val="1"/>
        </dgm:presLayoutVars>
      </dgm:prSet>
      <dgm:spPr>
        <a:prstGeom prst="trapezoid">
          <a:avLst>
            <a:gd name="adj" fmla="val 49794"/>
          </a:avLst>
        </a:prstGeom>
      </dgm:spPr>
    </dgm:pt>
    <dgm:pt modelId="{5C731E00-06F1-444B-B258-3F66E85A7912}" type="pres">
      <dgm:prSet presAssocID="{907A1F79-E91E-5A4C-8D93-C0DA78E21D85}" presName="levelTx" presStyleLbl="revTx" presStyleIdx="0" presStyleCnt="0">
        <dgm:presLayoutVars>
          <dgm:chMax val="1"/>
          <dgm:bulletEnabled val="1"/>
        </dgm:presLayoutVars>
      </dgm:prSet>
      <dgm:spPr/>
    </dgm:pt>
    <dgm:pt modelId="{FB6321FC-55E2-2944-9103-E188DCB98165}" type="pres">
      <dgm:prSet presAssocID="{E573C0BC-5F60-9D4F-81A0-2D0D01A8A0D8}" presName="Name8" presStyleCnt="0"/>
      <dgm:spPr/>
    </dgm:pt>
    <dgm:pt modelId="{7B03B683-DB76-F348-BE10-1E4665C32F56}" type="pres">
      <dgm:prSet presAssocID="{E573C0BC-5F60-9D4F-81A0-2D0D01A8A0D8}" presName="level" presStyleLbl="node1" presStyleIdx="3" presStyleCnt="4">
        <dgm:presLayoutVars>
          <dgm:chMax val="1"/>
          <dgm:bulletEnabled val="1"/>
        </dgm:presLayoutVars>
      </dgm:prSet>
      <dgm:spPr>
        <a:prstGeom prst="trapezoid">
          <a:avLst>
            <a:gd name="adj" fmla="val 49794"/>
          </a:avLst>
        </a:prstGeom>
      </dgm:spPr>
    </dgm:pt>
    <dgm:pt modelId="{0E7B2A56-DAE8-BC40-945C-3B4AA3103026}" type="pres">
      <dgm:prSet presAssocID="{E573C0BC-5F60-9D4F-81A0-2D0D01A8A0D8}" presName="levelTx" presStyleLbl="revTx" presStyleIdx="0" presStyleCnt="0">
        <dgm:presLayoutVars>
          <dgm:chMax val="1"/>
          <dgm:bulletEnabled val="1"/>
        </dgm:presLayoutVars>
      </dgm:prSet>
      <dgm:spPr/>
    </dgm:pt>
  </dgm:ptLst>
  <dgm:cxnLst>
    <dgm:cxn modelId="{759D2703-3F59-F746-BBD2-9ACBA50C2E76}" type="presOf" srcId="{907A1F79-E91E-5A4C-8D93-C0DA78E21D85}" destId="{DEF3C29F-E2A7-A944-AEA3-C592AFB8600E}" srcOrd="0" destOrd="0" presId="urn:microsoft.com/office/officeart/2005/8/layout/pyramid1"/>
    <dgm:cxn modelId="{F59C130D-35DB-7C44-91FC-7B535EB5384B}" type="presOf" srcId="{5FCF16A2-CA78-2D43-8741-0863DED9825D}" destId="{C6437CD7-C326-8647-8FEC-625B69B5253D}" srcOrd="0" destOrd="0" presId="urn:microsoft.com/office/officeart/2005/8/layout/pyramid1"/>
    <dgm:cxn modelId="{C5734E1E-E385-D148-92E4-7DD64F5F5974}" type="presOf" srcId="{E573C0BC-5F60-9D4F-81A0-2D0D01A8A0D8}" destId="{7B03B683-DB76-F348-BE10-1E4665C32F56}" srcOrd="0" destOrd="0" presId="urn:microsoft.com/office/officeart/2005/8/layout/pyramid1"/>
    <dgm:cxn modelId="{B5164167-25B2-A54D-A55C-89F01D66B7B4}" type="presOf" srcId="{803E89F1-8316-3041-B3EE-A36CE1850CDC}" destId="{6A04BEE7-FAF7-EC43-A48D-6CD920B18F8D}" srcOrd="1" destOrd="0" presId="urn:microsoft.com/office/officeart/2005/8/layout/pyramid1"/>
    <dgm:cxn modelId="{77CC748C-41E1-3948-957A-9407532F3257}" srcId="{8C0E54F5-39C1-7345-935F-BB8B02842455}" destId="{907A1F79-E91E-5A4C-8D93-C0DA78E21D85}" srcOrd="2" destOrd="0" parTransId="{02F898DC-3EF4-9C4E-BE24-4C779B301E00}" sibTransId="{95392291-D838-854F-9C93-95EA408352FE}"/>
    <dgm:cxn modelId="{240D8591-F154-F844-8122-7B43F38F2F39}" srcId="{8C0E54F5-39C1-7345-935F-BB8B02842455}" destId="{803E89F1-8316-3041-B3EE-A36CE1850CDC}" srcOrd="0" destOrd="0" parTransId="{8FD2F290-BDC3-DB42-9408-DE2ED06AE3EB}" sibTransId="{E548D788-EAEA-934D-AA05-144F860732F9}"/>
    <dgm:cxn modelId="{B8625597-873C-A64F-9309-F6128A6673DC}" type="presOf" srcId="{E573C0BC-5F60-9D4F-81A0-2D0D01A8A0D8}" destId="{0E7B2A56-DAE8-BC40-945C-3B4AA3103026}" srcOrd="1" destOrd="0" presId="urn:microsoft.com/office/officeart/2005/8/layout/pyramid1"/>
    <dgm:cxn modelId="{A48AE1B7-5229-9E49-911C-C7A43BE4C05F}" type="presOf" srcId="{5FCF16A2-CA78-2D43-8741-0863DED9825D}" destId="{AFC9BED0-A61C-384D-85A3-0D4FD80C17FD}" srcOrd="1" destOrd="0" presId="urn:microsoft.com/office/officeart/2005/8/layout/pyramid1"/>
    <dgm:cxn modelId="{BD0A11BE-BEE1-AA43-AC11-CB24A84570F8}" type="presOf" srcId="{907A1F79-E91E-5A4C-8D93-C0DA78E21D85}" destId="{5C731E00-06F1-444B-B258-3F66E85A7912}" srcOrd="1" destOrd="0" presId="urn:microsoft.com/office/officeart/2005/8/layout/pyramid1"/>
    <dgm:cxn modelId="{CCB49AC1-A24E-2648-9069-36D3F5BA923A}" type="presOf" srcId="{803E89F1-8316-3041-B3EE-A36CE1850CDC}" destId="{DD2852C8-A00B-3B47-B19F-17466D9B7D58}" srcOrd="0" destOrd="0" presId="urn:microsoft.com/office/officeart/2005/8/layout/pyramid1"/>
    <dgm:cxn modelId="{8A1D9ACE-B562-D84B-B121-85A559217F0E}" srcId="{8C0E54F5-39C1-7345-935F-BB8B02842455}" destId="{E573C0BC-5F60-9D4F-81A0-2D0D01A8A0D8}" srcOrd="3" destOrd="0" parTransId="{9E58AC0B-9282-7A4E-8D87-A3ADD916BEDA}" sibTransId="{72C4A76F-8348-DC4E-8FF3-B182765048F3}"/>
    <dgm:cxn modelId="{B7BE08F2-2505-6A4B-99C5-427C0F7B5849}" type="presOf" srcId="{8C0E54F5-39C1-7345-935F-BB8B02842455}" destId="{E07E7DAD-BE23-A847-BFBB-238A446D011C}" srcOrd="0" destOrd="0" presId="urn:microsoft.com/office/officeart/2005/8/layout/pyramid1"/>
    <dgm:cxn modelId="{56C2D4FF-BEA8-354A-B9A4-D3453E4E778A}" srcId="{8C0E54F5-39C1-7345-935F-BB8B02842455}" destId="{5FCF16A2-CA78-2D43-8741-0863DED9825D}" srcOrd="1" destOrd="0" parTransId="{D4D43DD4-752A-A24D-B565-16434A9AD197}" sibTransId="{9392584A-F279-AE42-96C3-D5905E8C6019}"/>
    <dgm:cxn modelId="{74D646C3-4B59-EC42-B7AF-9483D3F86D4A}" type="presParOf" srcId="{E07E7DAD-BE23-A847-BFBB-238A446D011C}" destId="{918707A1-1278-5044-95B8-5F98ED00C103}" srcOrd="0" destOrd="0" presId="urn:microsoft.com/office/officeart/2005/8/layout/pyramid1"/>
    <dgm:cxn modelId="{3B345262-0973-2147-9666-031F78ED8C25}" type="presParOf" srcId="{918707A1-1278-5044-95B8-5F98ED00C103}" destId="{DD2852C8-A00B-3B47-B19F-17466D9B7D58}" srcOrd="0" destOrd="0" presId="urn:microsoft.com/office/officeart/2005/8/layout/pyramid1"/>
    <dgm:cxn modelId="{D10399F8-8CBF-3F44-A38A-55C58391F991}" type="presParOf" srcId="{918707A1-1278-5044-95B8-5F98ED00C103}" destId="{6A04BEE7-FAF7-EC43-A48D-6CD920B18F8D}" srcOrd="1" destOrd="0" presId="urn:microsoft.com/office/officeart/2005/8/layout/pyramid1"/>
    <dgm:cxn modelId="{09FF8912-B03E-3944-8F54-9436F2EF27FF}" type="presParOf" srcId="{E07E7DAD-BE23-A847-BFBB-238A446D011C}" destId="{311ADDC5-0309-B844-A80E-9965479D99AA}" srcOrd="1" destOrd="0" presId="urn:microsoft.com/office/officeart/2005/8/layout/pyramid1"/>
    <dgm:cxn modelId="{1E4DF108-FBD3-C74F-828F-5BCAD43D1EEC}" type="presParOf" srcId="{311ADDC5-0309-B844-A80E-9965479D99AA}" destId="{C6437CD7-C326-8647-8FEC-625B69B5253D}" srcOrd="0" destOrd="0" presId="urn:microsoft.com/office/officeart/2005/8/layout/pyramid1"/>
    <dgm:cxn modelId="{AA56010A-BF97-2A40-8799-F444A3B750F9}" type="presParOf" srcId="{311ADDC5-0309-B844-A80E-9965479D99AA}" destId="{AFC9BED0-A61C-384D-85A3-0D4FD80C17FD}" srcOrd="1" destOrd="0" presId="urn:microsoft.com/office/officeart/2005/8/layout/pyramid1"/>
    <dgm:cxn modelId="{1FA41D84-9802-1841-8114-46B041D5C10D}" type="presParOf" srcId="{E07E7DAD-BE23-A847-BFBB-238A446D011C}" destId="{7E1BA874-1E46-534E-956F-9C20408D2642}" srcOrd="2" destOrd="0" presId="urn:microsoft.com/office/officeart/2005/8/layout/pyramid1"/>
    <dgm:cxn modelId="{DCFE29C8-03B0-2440-8458-8BBBF5BFBA63}" type="presParOf" srcId="{7E1BA874-1E46-534E-956F-9C20408D2642}" destId="{DEF3C29F-E2A7-A944-AEA3-C592AFB8600E}" srcOrd="0" destOrd="0" presId="urn:microsoft.com/office/officeart/2005/8/layout/pyramid1"/>
    <dgm:cxn modelId="{A6EE76FD-C0DB-7E49-B534-1F766178956E}" type="presParOf" srcId="{7E1BA874-1E46-534E-956F-9C20408D2642}" destId="{5C731E00-06F1-444B-B258-3F66E85A7912}" srcOrd="1" destOrd="0" presId="urn:microsoft.com/office/officeart/2005/8/layout/pyramid1"/>
    <dgm:cxn modelId="{BCF66BFC-E911-6645-90F9-0683E8E5E305}" type="presParOf" srcId="{E07E7DAD-BE23-A847-BFBB-238A446D011C}" destId="{FB6321FC-55E2-2944-9103-E188DCB98165}" srcOrd="3" destOrd="0" presId="urn:microsoft.com/office/officeart/2005/8/layout/pyramid1"/>
    <dgm:cxn modelId="{4FA51221-C111-9844-9AFD-9ADBB7A9496B}" type="presParOf" srcId="{FB6321FC-55E2-2944-9103-E188DCB98165}" destId="{7B03B683-DB76-F348-BE10-1E4665C32F56}" srcOrd="0" destOrd="0" presId="urn:microsoft.com/office/officeart/2005/8/layout/pyramid1"/>
    <dgm:cxn modelId="{6498D787-929B-7347-BC7C-F92A576FDF6C}" type="presParOf" srcId="{FB6321FC-55E2-2944-9103-E188DCB98165}" destId="{0E7B2A56-DAE8-BC40-945C-3B4AA3103026}" srcOrd="1" destOrd="0" presId="urn:microsoft.com/office/officeart/2005/8/layout/pyramid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1639D1D-3DEE-4740-B527-CAEA0E992F89}" type="doc">
      <dgm:prSet loTypeId="urn:microsoft.com/office/officeart/2005/8/layout/pyramid3" loCatId="" qsTypeId="urn:microsoft.com/office/officeart/2005/8/quickstyle/simple3" qsCatId="simple" csTypeId="urn:microsoft.com/office/officeart/2005/8/colors/accent1_5" csCatId="accent1" phldr="1"/>
      <dgm:spPr/>
    </dgm:pt>
    <dgm:pt modelId="{24DA1D60-B914-D142-AA80-13EF0EB65186}">
      <dgm:prSet phldrT="[Texto]"/>
      <dgm:spPr>
        <a:xfrm rot="10800000">
          <a:off x="0" y="0"/>
          <a:ext cx="2299334" cy="525938"/>
        </a:xfrm>
        <a:prstGeom prst="trapezoid">
          <a:avLst>
            <a:gd name="adj" fmla="val 50000"/>
          </a:avLst>
        </a:prstGeom>
        <a:gradFill rotWithShape="0">
          <a:gsLst>
            <a:gs pos="0">
              <a:srgbClr val="4F81BD">
                <a:alpha val="90000"/>
                <a:hueOff val="0"/>
                <a:satOff val="0"/>
                <a:lumOff val="0"/>
                <a:alphaOff val="0"/>
                <a:tint val="50000"/>
                <a:satMod val="300000"/>
              </a:srgbClr>
            </a:gs>
            <a:gs pos="35000">
              <a:srgbClr val="4F81BD">
                <a:alpha val="90000"/>
                <a:hueOff val="0"/>
                <a:satOff val="0"/>
                <a:lumOff val="0"/>
                <a:alphaOff val="0"/>
                <a:tint val="37000"/>
                <a:satMod val="300000"/>
              </a:srgbClr>
            </a:gs>
            <a:gs pos="100000">
              <a:srgbClr val="4F81BD">
                <a:alpha val="9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s-ES">
              <a:solidFill>
                <a:sysClr val="windowText" lastClr="000000">
                  <a:hueOff val="0"/>
                  <a:satOff val="0"/>
                  <a:lumOff val="0"/>
                  <a:alphaOff val="0"/>
                </a:sysClr>
              </a:solidFill>
              <a:latin typeface="Cambria"/>
              <a:ea typeface="+mn-ea"/>
              <a:cs typeface="+mn-cs"/>
            </a:rPr>
            <a:t>8 RM (75% RM)</a:t>
          </a:r>
        </a:p>
      </dgm:t>
    </dgm:pt>
    <dgm:pt modelId="{71FA5AF4-352F-7D46-B59D-4FE0B6044EF2}" type="parTrans" cxnId="{7B18FC28-10BF-0B4A-9D1D-D6B1D3F225F0}">
      <dgm:prSet/>
      <dgm:spPr/>
      <dgm:t>
        <a:bodyPr/>
        <a:lstStyle/>
        <a:p>
          <a:endParaRPr lang="es-ES"/>
        </a:p>
      </dgm:t>
    </dgm:pt>
    <dgm:pt modelId="{DFE86BBB-0011-DD46-AAFC-7C4F766077D7}" type="sibTrans" cxnId="{7B18FC28-10BF-0B4A-9D1D-D6B1D3F225F0}">
      <dgm:prSet/>
      <dgm:spPr/>
      <dgm:t>
        <a:bodyPr/>
        <a:lstStyle/>
        <a:p>
          <a:endParaRPr lang="es-ES"/>
        </a:p>
      </dgm:t>
    </dgm:pt>
    <dgm:pt modelId="{2DE28F50-2EB7-2E44-A9CD-FC8C4597E220}">
      <dgm:prSet phldrT="[Texto]"/>
      <dgm:spPr>
        <a:xfrm rot="10800000">
          <a:off x="287416" y="525938"/>
          <a:ext cx="1724501" cy="525938"/>
        </a:xfrm>
        <a:prstGeom prst="trapezoid">
          <a:avLst>
            <a:gd name="adj" fmla="val 50000"/>
          </a:avLst>
        </a:prstGeom>
        <a:gradFill rotWithShape="0">
          <a:gsLst>
            <a:gs pos="0">
              <a:srgbClr val="4F81BD">
                <a:alpha val="90000"/>
                <a:hueOff val="0"/>
                <a:satOff val="0"/>
                <a:lumOff val="0"/>
                <a:alphaOff val="-13333"/>
                <a:tint val="50000"/>
                <a:satMod val="300000"/>
              </a:srgbClr>
            </a:gs>
            <a:gs pos="35000">
              <a:srgbClr val="4F81BD">
                <a:alpha val="90000"/>
                <a:hueOff val="0"/>
                <a:satOff val="0"/>
                <a:lumOff val="0"/>
                <a:alphaOff val="-13333"/>
                <a:tint val="37000"/>
                <a:satMod val="300000"/>
              </a:srgbClr>
            </a:gs>
            <a:gs pos="100000">
              <a:srgbClr val="4F81BD">
                <a:alpha val="90000"/>
                <a:hueOff val="0"/>
                <a:satOff val="0"/>
                <a:lumOff val="0"/>
                <a:alphaOff val="-13333"/>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s-ES">
              <a:solidFill>
                <a:sysClr val="windowText" lastClr="000000">
                  <a:hueOff val="0"/>
                  <a:satOff val="0"/>
                  <a:lumOff val="0"/>
                  <a:alphaOff val="0"/>
                </a:sysClr>
              </a:solidFill>
              <a:latin typeface="Cambria"/>
              <a:ea typeface="+mn-ea"/>
              <a:cs typeface="+mn-cs"/>
            </a:rPr>
            <a:t>6 RM (85% RM)</a:t>
          </a:r>
        </a:p>
      </dgm:t>
    </dgm:pt>
    <dgm:pt modelId="{3E2F28B9-DA9C-6B49-97DE-086F0FDB1F6F}" type="parTrans" cxnId="{108B27D6-AE7B-5841-986F-36F06F108D59}">
      <dgm:prSet/>
      <dgm:spPr/>
      <dgm:t>
        <a:bodyPr/>
        <a:lstStyle/>
        <a:p>
          <a:endParaRPr lang="es-ES"/>
        </a:p>
      </dgm:t>
    </dgm:pt>
    <dgm:pt modelId="{56AAD4DC-BE4A-294E-9A7A-176CA444C55F}" type="sibTrans" cxnId="{108B27D6-AE7B-5841-986F-36F06F108D59}">
      <dgm:prSet/>
      <dgm:spPr/>
      <dgm:t>
        <a:bodyPr/>
        <a:lstStyle/>
        <a:p>
          <a:endParaRPr lang="es-ES"/>
        </a:p>
      </dgm:t>
    </dgm:pt>
    <dgm:pt modelId="{E6AA30AD-3F71-534A-9C0B-A84685A512CC}">
      <dgm:prSet phldrT="[Texto]"/>
      <dgm:spPr>
        <a:xfrm rot="10800000">
          <a:off x="574833" y="1051877"/>
          <a:ext cx="1149667" cy="525938"/>
        </a:xfrm>
        <a:prstGeom prst="trapezoid">
          <a:avLst>
            <a:gd name="adj" fmla="val 50000"/>
          </a:avLst>
        </a:prstGeom>
        <a:gradFill rotWithShape="0">
          <a:gsLst>
            <a:gs pos="0">
              <a:srgbClr val="4F81BD">
                <a:alpha val="90000"/>
                <a:hueOff val="0"/>
                <a:satOff val="0"/>
                <a:lumOff val="0"/>
                <a:alphaOff val="-26667"/>
                <a:tint val="50000"/>
                <a:satMod val="300000"/>
              </a:srgbClr>
            </a:gs>
            <a:gs pos="35000">
              <a:srgbClr val="4F81BD">
                <a:alpha val="90000"/>
                <a:hueOff val="0"/>
                <a:satOff val="0"/>
                <a:lumOff val="0"/>
                <a:alphaOff val="-26667"/>
                <a:tint val="37000"/>
                <a:satMod val="300000"/>
              </a:srgbClr>
            </a:gs>
            <a:gs pos="100000">
              <a:srgbClr val="4F81BD">
                <a:alpha val="90000"/>
                <a:hueOff val="0"/>
                <a:satOff val="0"/>
                <a:lumOff val="0"/>
                <a:alphaOff val="-26667"/>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s-ES">
              <a:solidFill>
                <a:sysClr val="windowText" lastClr="000000">
                  <a:hueOff val="0"/>
                  <a:satOff val="0"/>
                  <a:lumOff val="0"/>
                  <a:alphaOff val="0"/>
                </a:sysClr>
              </a:solidFill>
              <a:latin typeface="Cambria"/>
              <a:ea typeface="+mn-ea"/>
              <a:cs typeface="+mn-cs"/>
            </a:rPr>
            <a:t>4 RM (90% RM)</a:t>
          </a:r>
        </a:p>
      </dgm:t>
    </dgm:pt>
    <dgm:pt modelId="{C3C5C8CE-7E12-294C-99D1-F92759F91BDD}" type="parTrans" cxnId="{A793F20D-2E35-444F-BB1A-13F51D072990}">
      <dgm:prSet/>
      <dgm:spPr/>
      <dgm:t>
        <a:bodyPr/>
        <a:lstStyle/>
        <a:p>
          <a:endParaRPr lang="es-ES"/>
        </a:p>
      </dgm:t>
    </dgm:pt>
    <dgm:pt modelId="{5C7EB7F8-41D5-DE46-BEB2-D00338B89C54}" type="sibTrans" cxnId="{A793F20D-2E35-444F-BB1A-13F51D072990}">
      <dgm:prSet/>
      <dgm:spPr/>
      <dgm:t>
        <a:bodyPr/>
        <a:lstStyle/>
        <a:p>
          <a:endParaRPr lang="es-ES"/>
        </a:p>
      </dgm:t>
    </dgm:pt>
    <dgm:pt modelId="{55944EAB-197F-8A4C-827B-0141ADF554AE}">
      <dgm:prSet phldrT="[Texto]"/>
      <dgm:spPr>
        <a:xfrm rot="10800000">
          <a:off x="862250" y="1577816"/>
          <a:ext cx="574833" cy="525938"/>
        </a:xfrm>
        <a:prstGeom prst="trapezoid">
          <a:avLst>
            <a:gd name="adj" fmla="val 50000"/>
          </a:avLst>
        </a:prstGeom>
        <a:gradFill rotWithShape="0">
          <a:gsLst>
            <a:gs pos="0">
              <a:srgbClr val="4F81BD">
                <a:alpha val="90000"/>
                <a:hueOff val="0"/>
                <a:satOff val="0"/>
                <a:lumOff val="0"/>
                <a:alphaOff val="-40000"/>
                <a:tint val="50000"/>
                <a:satMod val="300000"/>
              </a:srgbClr>
            </a:gs>
            <a:gs pos="35000">
              <a:srgbClr val="4F81BD">
                <a:alpha val="90000"/>
                <a:hueOff val="0"/>
                <a:satOff val="0"/>
                <a:lumOff val="0"/>
                <a:alphaOff val="-40000"/>
                <a:tint val="37000"/>
                <a:satMod val="300000"/>
              </a:srgbClr>
            </a:gs>
            <a:gs pos="100000">
              <a:srgbClr val="4F81BD">
                <a:alpha val="90000"/>
                <a:hueOff val="0"/>
                <a:satOff val="0"/>
                <a:lumOff val="0"/>
                <a:alphaOff val="-4000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s-ES">
              <a:solidFill>
                <a:sysClr val="windowText" lastClr="000000">
                  <a:hueOff val="0"/>
                  <a:satOff val="0"/>
                  <a:lumOff val="0"/>
                  <a:alphaOff val="0"/>
                </a:sysClr>
              </a:solidFill>
              <a:latin typeface="Cambria"/>
              <a:ea typeface="+mn-ea"/>
              <a:cs typeface="+mn-cs"/>
            </a:rPr>
            <a:t>2 RM (95% RM)</a:t>
          </a:r>
        </a:p>
      </dgm:t>
    </dgm:pt>
    <dgm:pt modelId="{046FCF53-B1A0-5E42-815B-06F134153AAB}" type="parTrans" cxnId="{90F3B71C-E070-D848-A731-0043695C99C5}">
      <dgm:prSet/>
      <dgm:spPr/>
      <dgm:t>
        <a:bodyPr/>
        <a:lstStyle/>
        <a:p>
          <a:endParaRPr lang="es-ES"/>
        </a:p>
      </dgm:t>
    </dgm:pt>
    <dgm:pt modelId="{EDB7757D-739F-AD4B-B05F-7D07CF3DA15F}" type="sibTrans" cxnId="{90F3B71C-E070-D848-A731-0043695C99C5}">
      <dgm:prSet/>
      <dgm:spPr/>
      <dgm:t>
        <a:bodyPr/>
        <a:lstStyle/>
        <a:p>
          <a:endParaRPr lang="es-ES"/>
        </a:p>
      </dgm:t>
    </dgm:pt>
    <dgm:pt modelId="{7AB19C63-69CD-0445-B4D9-C36A16578F89}" type="pres">
      <dgm:prSet presAssocID="{D1639D1D-3DEE-4740-B527-CAEA0E992F89}" presName="Name0" presStyleCnt="0">
        <dgm:presLayoutVars>
          <dgm:dir/>
          <dgm:animLvl val="lvl"/>
          <dgm:resizeHandles val="exact"/>
        </dgm:presLayoutVars>
      </dgm:prSet>
      <dgm:spPr/>
    </dgm:pt>
    <dgm:pt modelId="{C21A3E3D-83F1-8949-B1E7-59FF6F8C3972}" type="pres">
      <dgm:prSet presAssocID="{24DA1D60-B914-D142-AA80-13EF0EB65186}" presName="Name8" presStyleCnt="0"/>
      <dgm:spPr/>
    </dgm:pt>
    <dgm:pt modelId="{7FCAFCAB-2DAD-C449-8440-A57107246CA7}" type="pres">
      <dgm:prSet presAssocID="{24DA1D60-B914-D142-AA80-13EF0EB65186}" presName="level" presStyleLbl="node1" presStyleIdx="0" presStyleCnt="4">
        <dgm:presLayoutVars>
          <dgm:chMax val="1"/>
          <dgm:bulletEnabled val="1"/>
        </dgm:presLayoutVars>
      </dgm:prSet>
      <dgm:spPr>
        <a:prstGeom prst="trapezoid">
          <a:avLst>
            <a:gd name="adj" fmla="val 50000"/>
          </a:avLst>
        </a:prstGeom>
      </dgm:spPr>
    </dgm:pt>
    <dgm:pt modelId="{BEE30D38-4FDD-A948-9BBD-70CA3E0251CA}" type="pres">
      <dgm:prSet presAssocID="{24DA1D60-B914-D142-AA80-13EF0EB65186}" presName="levelTx" presStyleLbl="revTx" presStyleIdx="0" presStyleCnt="0">
        <dgm:presLayoutVars>
          <dgm:chMax val="1"/>
          <dgm:bulletEnabled val="1"/>
        </dgm:presLayoutVars>
      </dgm:prSet>
      <dgm:spPr/>
    </dgm:pt>
    <dgm:pt modelId="{E6BEACEB-0CB7-0146-817B-9099F496002F}" type="pres">
      <dgm:prSet presAssocID="{2DE28F50-2EB7-2E44-A9CD-FC8C4597E220}" presName="Name8" presStyleCnt="0"/>
      <dgm:spPr/>
    </dgm:pt>
    <dgm:pt modelId="{44A3173C-4742-9841-9155-218B2B580C9B}" type="pres">
      <dgm:prSet presAssocID="{2DE28F50-2EB7-2E44-A9CD-FC8C4597E220}" presName="level" presStyleLbl="node1" presStyleIdx="1" presStyleCnt="4">
        <dgm:presLayoutVars>
          <dgm:chMax val="1"/>
          <dgm:bulletEnabled val="1"/>
        </dgm:presLayoutVars>
      </dgm:prSet>
      <dgm:spPr>
        <a:prstGeom prst="trapezoid">
          <a:avLst>
            <a:gd name="adj" fmla="val 50000"/>
          </a:avLst>
        </a:prstGeom>
      </dgm:spPr>
    </dgm:pt>
    <dgm:pt modelId="{770CA517-D64B-3D41-9C30-D93CF691C3AD}" type="pres">
      <dgm:prSet presAssocID="{2DE28F50-2EB7-2E44-A9CD-FC8C4597E220}" presName="levelTx" presStyleLbl="revTx" presStyleIdx="0" presStyleCnt="0">
        <dgm:presLayoutVars>
          <dgm:chMax val="1"/>
          <dgm:bulletEnabled val="1"/>
        </dgm:presLayoutVars>
      </dgm:prSet>
      <dgm:spPr/>
    </dgm:pt>
    <dgm:pt modelId="{67629980-D629-FD4D-A0DC-0624A3B61ABF}" type="pres">
      <dgm:prSet presAssocID="{E6AA30AD-3F71-534A-9C0B-A84685A512CC}" presName="Name8" presStyleCnt="0"/>
      <dgm:spPr/>
    </dgm:pt>
    <dgm:pt modelId="{06CBC258-CF8B-8B4F-A187-4F319EE07B9B}" type="pres">
      <dgm:prSet presAssocID="{E6AA30AD-3F71-534A-9C0B-A84685A512CC}" presName="level" presStyleLbl="node1" presStyleIdx="2" presStyleCnt="4">
        <dgm:presLayoutVars>
          <dgm:chMax val="1"/>
          <dgm:bulletEnabled val="1"/>
        </dgm:presLayoutVars>
      </dgm:prSet>
      <dgm:spPr>
        <a:prstGeom prst="trapezoid">
          <a:avLst>
            <a:gd name="adj" fmla="val 50000"/>
          </a:avLst>
        </a:prstGeom>
      </dgm:spPr>
    </dgm:pt>
    <dgm:pt modelId="{FBC1549A-867D-A84A-BDA8-3E3282A55FF2}" type="pres">
      <dgm:prSet presAssocID="{E6AA30AD-3F71-534A-9C0B-A84685A512CC}" presName="levelTx" presStyleLbl="revTx" presStyleIdx="0" presStyleCnt="0">
        <dgm:presLayoutVars>
          <dgm:chMax val="1"/>
          <dgm:bulletEnabled val="1"/>
        </dgm:presLayoutVars>
      </dgm:prSet>
      <dgm:spPr/>
    </dgm:pt>
    <dgm:pt modelId="{0C85A79B-F016-654E-BA18-124C32FA50EA}" type="pres">
      <dgm:prSet presAssocID="{55944EAB-197F-8A4C-827B-0141ADF554AE}" presName="Name8" presStyleCnt="0"/>
      <dgm:spPr/>
    </dgm:pt>
    <dgm:pt modelId="{15CD17FC-FD9A-7D4E-9579-784A73CBD054}" type="pres">
      <dgm:prSet presAssocID="{55944EAB-197F-8A4C-827B-0141ADF554AE}" presName="level" presStyleLbl="node1" presStyleIdx="3" presStyleCnt="4">
        <dgm:presLayoutVars>
          <dgm:chMax val="1"/>
          <dgm:bulletEnabled val="1"/>
        </dgm:presLayoutVars>
      </dgm:prSet>
      <dgm:spPr>
        <a:prstGeom prst="trapezoid">
          <a:avLst>
            <a:gd name="adj" fmla="val 50000"/>
          </a:avLst>
        </a:prstGeom>
      </dgm:spPr>
    </dgm:pt>
    <dgm:pt modelId="{AA29DA58-CFC5-EF4E-83E7-9774DF93ED35}" type="pres">
      <dgm:prSet presAssocID="{55944EAB-197F-8A4C-827B-0141ADF554AE}" presName="levelTx" presStyleLbl="revTx" presStyleIdx="0" presStyleCnt="0">
        <dgm:presLayoutVars>
          <dgm:chMax val="1"/>
          <dgm:bulletEnabled val="1"/>
        </dgm:presLayoutVars>
      </dgm:prSet>
      <dgm:spPr/>
    </dgm:pt>
  </dgm:ptLst>
  <dgm:cxnLst>
    <dgm:cxn modelId="{A793F20D-2E35-444F-BB1A-13F51D072990}" srcId="{D1639D1D-3DEE-4740-B527-CAEA0E992F89}" destId="{E6AA30AD-3F71-534A-9C0B-A84685A512CC}" srcOrd="2" destOrd="0" parTransId="{C3C5C8CE-7E12-294C-99D1-F92759F91BDD}" sibTransId="{5C7EB7F8-41D5-DE46-BEB2-D00338B89C54}"/>
    <dgm:cxn modelId="{DD90ED11-B5A8-E34C-9A8E-322C9F7B2695}" type="presOf" srcId="{24DA1D60-B914-D142-AA80-13EF0EB65186}" destId="{BEE30D38-4FDD-A948-9BBD-70CA3E0251CA}" srcOrd="1" destOrd="0" presId="urn:microsoft.com/office/officeart/2005/8/layout/pyramid3"/>
    <dgm:cxn modelId="{E1BCB41A-51CE-304E-B840-351622064CD8}" type="presOf" srcId="{E6AA30AD-3F71-534A-9C0B-A84685A512CC}" destId="{06CBC258-CF8B-8B4F-A187-4F319EE07B9B}" srcOrd="0" destOrd="0" presId="urn:microsoft.com/office/officeart/2005/8/layout/pyramid3"/>
    <dgm:cxn modelId="{90F3B71C-E070-D848-A731-0043695C99C5}" srcId="{D1639D1D-3DEE-4740-B527-CAEA0E992F89}" destId="{55944EAB-197F-8A4C-827B-0141ADF554AE}" srcOrd="3" destOrd="0" parTransId="{046FCF53-B1A0-5E42-815B-06F134153AAB}" sibTransId="{EDB7757D-739F-AD4B-B05F-7D07CF3DA15F}"/>
    <dgm:cxn modelId="{7B18FC28-10BF-0B4A-9D1D-D6B1D3F225F0}" srcId="{D1639D1D-3DEE-4740-B527-CAEA0E992F89}" destId="{24DA1D60-B914-D142-AA80-13EF0EB65186}" srcOrd="0" destOrd="0" parTransId="{71FA5AF4-352F-7D46-B59D-4FE0B6044EF2}" sibTransId="{DFE86BBB-0011-DD46-AAFC-7C4F766077D7}"/>
    <dgm:cxn modelId="{95D0583E-9918-0A4B-A79B-A717B50F0CEC}" type="presOf" srcId="{55944EAB-197F-8A4C-827B-0141ADF554AE}" destId="{15CD17FC-FD9A-7D4E-9579-784A73CBD054}" srcOrd="0" destOrd="0" presId="urn:microsoft.com/office/officeart/2005/8/layout/pyramid3"/>
    <dgm:cxn modelId="{66EB1F5E-2A6E-DC43-8B4D-988B4C6D30A4}" type="presOf" srcId="{D1639D1D-3DEE-4740-B527-CAEA0E992F89}" destId="{7AB19C63-69CD-0445-B4D9-C36A16578F89}" srcOrd="0" destOrd="0" presId="urn:microsoft.com/office/officeart/2005/8/layout/pyramid3"/>
    <dgm:cxn modelId="{E4008080-9DAB-B640-8F8B-BC9F745B0B46}" type="presOf" srcId="{2DE28F50-2EB7-2E44-A9CD-FC8C4597E220}" destId="{770CA517-D64B-3D41-9C30-D93CF691C3AD}" srcOrd="1" destOrd="0" presId="urn:microsoft.com/office/officeart/2005/8/layout/pyramid3"/>
    <dgm:cxn modelId="{80CA7CC5-AAD5-FA4F-90BC-EB784A62BD9E}" type="presOf" srcId="{2DE28F50-2EB7-2E44-A9CD-FC8C4597E220}" destId="{44A3173C-4742-9841-9155-218B2B580C9B}" srcOrd="0" destOrd="0" presId="urn:microsoft.com/office/officeart/2005/8/layout/pyramid3"/>
    <dgm:cxn modelId="{108B27D6-AE7B-5841-986F-36F06F108D59}" srcId="{D1639D1D-3DEE-4740-B527-CAEA0E992F89}" destId="{2DE28F50-2EB7-2E44-A9CD-FC8C4597E220}" srcOrd="1" destOrd="0" parTransId="{3E2F28B9-DA9C-6B49-97DE-086F0FDB1F6F}" sibTransId="{56AAD4DC-BE4A-294E-9A7A-176CA444C55F}"/>
    <dgm:cxn modelId="{38106ED7-6EBF-4B46-9579-683989A0C26E}" type="presOf" srcId="{E6AA30AD-3F71-534A-9C0B-A84685A512CC}" destId="{FBC1549A-867D-A84A-BDA8-3E3282A55FF2}" srcOrd="1" destOrd="0" presId="urn:microsoft.com/office/officeart/2005/8/layout/pyramid3"/>
    <dgm:cxn modelId="{A945F8F0-3174-814D-B911-98D3406A37CA}" type="presOf" srcId="{55944EAB-197F-8A4C-827B-0141ADF554AE}" destId="{AA29DA58-CFC5-EF4E-83E7-9774DF93ED35}" srcOrd="1" destOrd="0" presId="urn:microsoft.com/office/officeart/2005/8/layout/pyramid3"/>
    <dgm:cxn modelId="{E09D0DFE-9F59-3240-B272-C95F658DBB44}" type="presOf" srcId="{24DA1D60-B914-D142-AA80-13EF0EB65186}" destId="{7FCAFCAB-2DAD-C449-8440-A57107246CA7}" srcOrd="0" destOrd="0" presId="urn:microsoft.com/office/officeart/2005/8/layout/pyramid3"/>
    <dgm:cxn modelId="{13704BC7-EE3F-F248-949C-253CBA9584F1}" type="presParOf" srcId="{7AB19C63-69CD-0445-B4D9-C36A16578F89}" destId="{C21A3E3D-83F1-8949-B1E7-59FF6F8C3972}" srcOrd="0" destOrd="0" presId="urn:microsoft.com/office/officeart/2005/8/layout/pyramid3"/>
    <dgm:cxn modelId="{2A8224F4-7CC4-2D41-B951-0C77FB0D76AE}" type="presParOf" srcId="{C21A3E3D-83F1-8949-B1E7-59FF6F8C3972}" destId="{7FCAFCAB-2DAD-C449-8440-A57107246CA7}" srcOrd="0" destOrd="0" presId="urn:microsoft.com/office/officeart/2005/8/layout/pyramid3"/>
    <dgm:cxn modelId="{4A40D4A7-E0E5-CD45-B2E0-90A64FF7FD57}" type="presParOf" srcId="{C21A3E3D-83F1-8949-B1E7-59FF6F8C3972}" destId="{BEE30D38-4FDD-A948-9BBD-70CA3E0251CA}" srcOrd="1" destOrd="0" presId="urn:microsoft.com/office/officeart/2005/8/layout/pyramid3"/>
    <dgm:cxn modelId="{E49A224D-7032-0342-888F-836B9E0A39FE}" type="presParOf" srcId="{7AB19C63-69CD-0445-B4D9-C36A16578F89}" destId="{E6BEACEB-0CB7-0146-817B-9099F496002F}" srcOrd="1" destOrd="0" presId="urn:microsoft.com/office/officeart/2005/8/layout/pyramid3"/>
    <dgm:cxn modelId="{7BDA3208-4985-0943-A82E-7AC48F5D3A91}" type="presParOf" srcId="{E6BEACEB-0CB7-0146-817B-9099F496002F}" destId="{44A3173C-4742-9841-9155-218B2B580C9B}" srcOrd="0" destOrd="0" presId="urn:microsoft.com/office/officeart/2005/8/layout/pyramid3"/>
    <dgm:cxn modelId="{9539C5A2-5B6C-A749-A40F-3F62BD579D8D}" type="presParOf" srcId="{E6BEACEB-0CB7-0146-817B-9099F496002F}" destId="{770CA517-D64B-3D41-9C30-D93CF691C3AD}" srcOrd="1" destOrd="0" presId="urn:microsoft.com/office/officeart/2005/8/layout/pyramid3"/>
    <dgm:cxn modelId="{101030A7-74AD-7443-A9A5-31D12A74BEB1}" type="presParOf" srcId="{7AB19C63-69CD-0445-B4D9-C36A16578F89}" destId="{67629980-D629-FD4D-A0DC-0624A3B61ABF}" srcOrd="2" destOrd="0" presId="urn:microsoft.com/office/officeart/2005/8/layout/pyramid3"/>
    <dgm:cxn modelId="{A515F4C8-C7AB-CC48-A806-5E6E5DE61F8E}" type="presParOf" srcId="{67629980-D629-FD4D-A0DC-0624A3B61ABF}" destId="{06CBC258-CF8B-8B4F-A187-4F319EE07B9B}" srcOrd="0" destOrd="0" presId="urn:microsoft.com/office/officeart/2005/8/layout/pyramid3"/>
    <dgm:cxn modelId="{5553524A-F930-824E-B7C3-1D0D08F17437}" type="presParOf" srcId="{67629980-D629-FD4D-A0DC-0624A3B61ABF}" destId="{FBC1549A-867D-A84A-BDA8-3E3282A55FF2}" srcOrd="1" destOrd="0" presId="urn:microsoft.com/office/officeart/2005/8/layout/pyramid3"/>
    <dgm:cxn modelId="{2763BB05-B2D5-FE40-B521-7B64130E8965}" type="presParOf" srcId="{7AB19C63-69CD-0445-B4D9-C36A16578F89}" destId="{0C85A79B-F016-654E-BA18-124C32FA50EA}" srcOrd="3" destOrd="0" presId="urn:microsoft.com/office/officeart/2005/8/layout/pyramid3"/>
    <dgm:cxn modelId="{E00083DC-5CE1-D34B-9B9C-0AC6615FF6DA}" type="presParOf" srcId="{0C85A79B-F016-654E-BA18-124C32FA50EA}" destId="{15CD17FC-FD9A-7D4E-9579-784A73CBD054}" srcOrd="0" destOrd="0" presId="urn:microsoft.com/office/officeart/2005/8/layout/pyramid3"/>
    <dgm:cxn modelId="{A710B602-9814-124A-B615-9A48B899BDD9}" type="presParOf" srcId="{0C85A79B-F016-654E-BA18-124C32FA50EA}" destId="{AA29DA58-CFC5-EF4E-83E7-9774DF93ED35}" srcOrd="1" destOrd="0" presId="urn:microsoft.com/office/officeart/2005/8/layout/pyramid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BE6F0E-10CE-EC48-A543-C884317D13E6}">
      <dsp:nvSpPr>
        <dsp:cNvPr id="0" name=""/>
        <dsp:cNvSpPr/>
      </dsp:nvSpPr>
      <dsp:spPr>
        <a:xfrm>
          <a:off x="1094052" y="0"/>
          <a:ext cx="437620" cy="367241"/>
        </a:xfrm>
        <a:prstGeom prst="trapezoid">
          <a:avLst>
            <a:gd name="adj" fmla="val 56797"/>
          </a:avLst>
        </a:prstGeom>
        <a:gradFill rotWithShape="0">
          <a:gsLst>
            <a:gs pos="0">
              <a:srgbClr val="4F81BD">
                <a:shade val="80000"/>
                <a:hueOff val="0"/>
                <a:satOff val="0"/>
                <a:lumOff val="0"/>
                <a:alphaOff val="0"/>
                <a:tint val="50000"/>
                <a:satMod val="300000"/>
              </a:srgbClr>
            </a:gs>
            <a:gs pos="35000">
              <a:srgbClr val="4F81BD">
                <a:shade val="80000"/>
                <a:hueOff val="0"/>
                <a:satOff val="0"/>
                <a:lumOff val="0"/>
                <a:alphaOff val="0"/>
                <a:tint val="37000"/>
                <a:satMod val="300000"/>
              </a:srgbClr>
            </a:gs>
            <a:gs pos="100000">
              <a:srgbClr val="4F81BD">
                <a:shade val="8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 sz="700" kern="1200">
              <a:solidFill>
                <a:sysClr val="windowText" lastClr="000000">
                  <a:hueOff val="0"/>
                  <a:satOff val="0"/>
                  <a:lumOff val="0"/>
                  <a:alphaOff val="0"/>
                </a:sysClr>
              </a:solidFill>
              <a:latin typeface="Cambria"/>
              <a:ea typeface="+mn-ea"/>
              <a:cs typeface="+mn-cs"/>
            </a:rPr>
            <a:t>1 RM       </a:t>
          </a:r>
        </a:p>
      </dsp:txBody>
      <dsp:txXfrm>
        <a:off x="1233107" y="116692"/>
        <a:ext cx="159510" cy="250549"/>
      </dsp:txXfrm>
    </dsp:sp>
    <dsp:sp modelId="{26A2580D-0392-7240-9B92-57F1096ED74A}">
      <dsp:nvSpPr>
        <dsp:cNvPr id="0" name=""/>
        <dsp:cNvSpPr/>
      </dsp:nvSpPr>
      <dsp:spPr>
        <a:xfrm>
          <a:off x="875241" y="367241"/>
          <a:ext cx="875241" cy="367241"/>
        </a:xfrm>
        <a:prstGeom prst="trapezoid">
          <a:avLst>
            <a:gd name="adj" fmla="val 56797"/>
          </a:avLst>
        </a:prstGeom>
        <a:gradFill rotWithShape="0">
          <a:gsLst>
            <a:gs pos="0">
              <a:srgbClr val="4F81BD">
                <a:shade val="80000"/>
                <a:hueOff val="61249"/>
                <a:satOff val="-878"/>
                <a:lumOff val="5123"/>
                <a:alphaOff val="0"/>
                <a:tint val="50000"/>
                <a:satMod val="300000"/>
              </a:srgbClr>
            </a:gs>
            <a:gs pos="35000">
              <a:srgbClr val="4F81BD">
                <a:shade val="80000"/>
                <a:hueOff val="61249"/>
                <a:satOff val="-878"/>
                <a:lumOff val="5123"/>
                <a:alphaOff val="0"/>
                <a:tint val="37000"/>
                <a:satMod val="300000"/>
              </a:srgbClr>
            </a:gs>
            <a:gs pos="100000">
              <a:srgbClr val="4F81BD">
                <a:shade val="80000"/>
                <a:hueOff val="61249"/>
                <a:satOff val="-878"/>
                <a:lumOff val="5123"/>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 sz="700" kern="1200">
              <a:solidFill>
                <a:sysClr val="windowText" lastClr="000000">
                  <a:hueOff val="0"/>
                  <a:satOff val="0"/>
                  <a:lumOff val="0"/>
                  <a:alphaOff val="0"/>
                </a:sysClr>
              </a:solidFill>
              <a:latin typeface="Cambria"/>
              <a:ea typeface="+mn-ea"/>
              <a:cs typeface="+mn-cs"/>
            </a:rPr>
            <a:t>2 RM</a:t>
          </a:r>
        </a:p>
      </dsp:txBody>
      <dsp:txXfrm>
        <a:off x="1167463" y="457004"/>
        <a:ext cx="290797" cy="277478"/>
      </dsp:txXfrm>
    </dsp:sp>
    <dsp:sp modelId="{9A102FCF-683F-7341-84B3-1D7C94C8276E}">
      <dsp:nvSpPr>
        <dsp:cNvPr id="0" name=""/>
        <dsp:cNvSpPr/>
      </dsp:nvSpPr>
      <dsp:spPr>
        <a:xfrm>
          <a:off x="656431" y="734483"/>
          <a:ext cx="1312862" cy="367241"/>
        </a:xfrm>
        <a:prstGeom prst="trapezoid">
          <a:avLst>
            <a:gd name="adj" fmla="val 56797"/>
          </a:avLst>
        </a:prstGeom>
        <a:gradFill rotWithShape="0">
          <a:gsLst>
            <a:gs pos="0">
              <a:srgbClr val="4F81BD">
                <a:shade val="80000"/>
                <a:hueOff val="122499"/>
                <a:satOff val="-1757"/>
                <a:lumOff val="10246"/>
                <a:alphaOff val="0"/>
                <a:tint val="50000"/>
                <a:satMod val="300000"/>
              </a:srgbClr>
            </a:gs>
            <a:gs pos="35000">
              <a:srgbClr val="4F81BD">
                <a:shade val="80000"/>
                <a:hueOff val="122499"/>
                <a:satOff val="-1757"/>
                <a:lumOff val="10246"/>
                <a:alphaOff val="0"/>
                <a:tint val="37000"/>
                <a:satMod val="300000"/>
              </a:srgbClr>
            </a:gs>
            <a:gs pos="100000">
              <a:srgbClr val="4F81BD">
                <a:shade val="80000"/>
                <a:hueOff val="122499"/>
                <a:satOff val="-1757"/>
                <a:lumOff val="10246"/>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 sz="700" kern="1200">
              <a:solidFill>
                <a:sysClr val="windowText" lastClr="000000">
                  <a:hueOff val="0"/>
                  <a:satOff val="0"/>
                  <a:lumOff val="0"/>
                  <a:alphaOff val="0"/>
                </a:sysClr>
              </a:solidFill>
              <a:latin typeface="Cambria"/>
              <a:ea typeface="+mn-ea"/>
              <a:cs typeface="+mn-cs"/>
            </a:rPr>
            <a:t>4 RM</a:t>
          </a:r>
        </a:p>
      </dsp:txBody>
      <dsp:txXfrm>
        <a:off x="1025237" y="794325"/>
        <a:ext cx="575250" cy="307399"/>
      </dsp:txXfrm>
    </dsp:sp>
    <dsp:sp modelId="{C1A67E27-CA68-854A-9E70-FB4D75AF7BAA}">
      <dsp:nvSpPr>
        <dsp:cNvPr id="0" name=""/>
        <dsp:cNvSpPr/>
      </dsp:nvSpPr>
      <dsp:spPr>
        <a:xfrm>
          <a:off x="437620" y="1101725"/>
          <a:ext cx="1750483" cy="367241"/>
        </a:xfrm>
        <a:prstGeom prst="trapezoid">
          <a:avLst>
            <a:gd name="adj" fmla="val 56797"/>
          </a:avLst>
        </a:prstGeom>
        <a:gradFill rotWithShape="0">
          <a:gsLst>
            <a:gs pos="0">
              <a:srgbClr val="4F81BD">
                <a:shade val="80000"/>
                <a:hueOff val="183748"/>
                <a:satOff val="-2635"/>
                <a:lumOff val="15369"/>
                <a:alphaOff val="0"/>
                <a:tint val="50000"/>
                <a:satMod val="300000"/>
              </a:srgbClr>
            </a:gs>
            <a:gs pos="35000">
              <a:srgbClr val="4F81BD">
                <a:shade val="80000"/>
                <a:hueOff val="183748"/>
                <a:satOff val="-2635"/>
                <a:lumOff val="15369"/>
                <a:alphaOff val="0"/>
                <a:tint val="37000"/>
                <a:satMod val="300000"/>
              </a:srgbClr>
            </a:gs>
            <a:gs pos="100000">
              <a:srgbClr val="4F81BD">
                <a:shade val="80000"/>
                <a:hueOff val="183748"/>
                <a:satOff val="-2635"/>
                <a:lumOff val="15369"/>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 sz="700" kern="1200">
              <a:solidFill>
                <a:sysClr val="windowText" lastClr="000000">
                  <a:hueOff val="0"/>
                  <a:satOff val="0"/>
                  <a:lumOff val="0"/>
                  <a:alphaOff val="0"/>
                </a:sysClr>
              </a:solidFill>
              <a:latin typeface="Cambria"/>
              <a:ea typeface="+mn-ea"/>
              <a:cs typeface="+mn-cs"/>
            </a:rPr>
            <a:t>6 RM</a:t>
          </a:r>
        </a:p>
      </dsp:txBody>
      <dsp:txXfrm>
        <a:off x="883010" y="1146606"/>
        <a:ext cx="859704" cy="322360"/>
      </dsp:txXfrm>
    </dsp:sp>
    <dsp:sp modelId="{16CEBF4F-F18F-EA41-8B4B-32758AAB27E8}">
      <dsp:nvSpPr>
        <dsp:cNvPr id="0" name=""/>
        <dsp:cNvSpPr/>
      </dsp:nvSpPr>
      <dsp:spPr>
        <a:xfrm>
          <a:off x="218810" y="1468966"/>
          <a:ext cx="2188104" cy="367241"/>
        </a:xfrm>
        <a:prstGeom prst="trapezoid">
          <a:avLst>
            <a:gd name="adj" fmla="val 56797"/>
          </a:avLst>
        </a:prstGeom>
        <a:gradFill rotWithShape="0">
          <a:gsLst>
            <a:gs pos="0">
              <a:srgbClr val="4F81BD">
                <a:shade val="80000"/>
                <a:hueOff val="244997"/>
                <a:satOff val="-3514"/>
                <a:lumOff val="20492"/>
                <a:alphaOff val="0"/>
                <a:tint val="50000"/>
                <a:satMod val="300000"/>
              </a:srgbClr>
            </a:gs>
            <a:gs pos="35000">
              <a:srgbClr val="4F81BD">
                <a:shade val="80000"/>
                <a:hueOff val="244997"/>
                <a:satOff val="-3514"/>
                <a:lumOff val="20492"/>
                <a:alphaOff val="0"/>
                <a:tint val="37000"/>
                <a:satMod val="300000"/>
              </a:srgbClr>
            </a:gs>
            <a:gs pos="100000">
              <a:srgbClr val="4F81BD">
                <a:shade val="80000"/>
                <a:hueOff val="244997"/>
                <a:satOff val="-3514"/>
                <a:lumOff val="20492"/>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 sz="700" kern="1200">
              <a:solidFill>
                <a:sysClr val="windowText" lastClr="000000">
                  <a:hueOff val="0"/>
                  <a:satOff val="0"/>
                  <a:lumOff val="0"/>
                  <a:alphaOff val="0"/>
                </a:sysClr>
              </a:solidFill>
              <a:latin typeface="Cambria"/>
              <a:ea typeface="+mn-ea"/>
              <a:cs typeface="+mn-cs"/>
            </a:rPr>
            <a:t>8 RM</a:t>
          </a:r>
        </a:p>
      </dsp:txBody>
      <dsp:txXfrm>
        <a:off x="740783" y="1504871"/>
        <a:ext cx="1144157" cy="331336"/>
      </dsp:txXfrm>
    </dsp:sp>
    <dsp:sp modelId="{027C6C16-D1C9-F24C-A9AB-27E49831D77C}">
      <dsp:nvSpPr>
        <dsp:cNvPr id="0" name=""/>
        <dsp:cNvSpPr/>
      </dsp:nvSpPr>
      <dsp:spPr>
        <a:xfrm>
          <a:off x="0" y="1836208"/>
          <a:ext cx="2625725" cy="367241"/>
        </a:xfrm>
        <a:prstGeom prst="trapezoid">
          <a:avLst>
            <a:gd name="adj" fmla="val 56797"/>
          </a:avLst>
        </a:prstGeom>
        <a:gradFill rotWithShape="0">
          <a:gsLst>
            <a:gs pos="0">
              <a:srgbClr val="4F81BD">
                <a:shade val="80000"/>
                <a:hueOff val="306247"/>
                <a:satOff val="-4392"/>
                <a:lumOff val="25615"/>
                <a:alphaOff val="0"/>
                <a:tint val="50000"/>
                <a:satMod val="300000"/>
              </a:srgbClr>
            </a:gs>
            <a:gs pos="35000">
              <a:srgbClr val="4F81BD">
                <a:shade val="80000"/>
                <a:hueOff val="306247"/>
                <a:satOff val="-4392"/>
                <a:lumOff val="25615"/>
                <a:alphaOff val="0"/>
                <a:tint val="37000"/>
                <a:satMod val="300000"/>
              </a:srgbClr>
            </a:gs>
            <a:gs pos="100000">
              <a:srgbClr val="4F81BD">
                <a:shade val="80000"/>
                <a:hueOff val="306247"/>
                <a:satOff val="-4392"/>
                <a:lumOff val="25615"/>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 sz="700" kern="1200">
              <a:solidFill>
                <a:sysClr val="windowText" lastClr="000000">
                  <a:hueOff val="0"/>
                  <a:satOff val="0"/>
                  <a:lumOff val="0"/>
                  <a:alphaOff val="0"/>
                </a:sysClr>
              </a:solidFill>
              <a:latin typeface="Cambria"/>
              <a:ea typeface="+mn-ea"/>
              <a:cs typeface="+mn-cs"/>
            </a:rPr>
            <a:t>10 RM</a:t>
          </a:r>
        </a:p>
      </dsp:txBody>
      <dsp:txXfrm>
        <a:off x="598556" y="1866129"/>
        <a:ext cx="1428611" cy="33732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2852C8-A00B-3B47-B19F-17466D9B7D58}">
      <dsp:nvSpPr>
        <dsp:cNvPr id="0" name=""/>
        <dsp:cNvSpPr/>
      </dsp:nvSpPr>
      <dsp:spPr>
        <a:xfrm>
          <a:off x="894873" y="0"/>
          <a:ext cx="596582" cy="573246"/>
        </a:xfrm>
        <a:prstGeom prst="trapezoid">
          <a:avLst>
            <a:gd name="adj" fmla="val 50000"/>
          </a:avLst>
        </a:prstGeom>
        <a:gradFill rotWithShape="0">
          <a:gsLst>
            <a:gs pos="0">
              <a:srgbClr val="4F81BD">
                <a:alpha val="90000"/>
                <a:hueOff val="0"/>
                <a:satOff val="0"/>
                <a:lumOff val="0"/>
                <a:alphaOff val="0"/>
                <a:tint val="50000"/>
                <a:satMod val="300000"/>
              </a:srgbClr>
            </a:gs>
            <a:gs pos="35000">
              <a:srgbClr val="4F81BD">
                <a:alpha val="90000"/>
                <a:hueOff val="0"/>
                <a:satOff val="0"/>
                <a:lumOff val="0"/>
                <a:alphaOff val="0"/>
                <a:tint val="37000"/>
                <a:satMod val="300000"/>
              </a:srgbClr>
            </a:gs>
            <a:gs pos="100000">
              <a:srgbClr val="4F81BD">
                <a:alpha val="9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ES" sz="600" kern="1200">
              <a:solidFill>
                <a:sysClr val="windowText" lastClr="000000">
                  <a:hueOff val="0"/>
                  <a:satOff val="0"/>
                  <a:lumOff val="0"/>
                  <a:alphaOff val="0"/>
                </a:sysClr>
              </a:solidFill>
              <a:latin typeface="Cambria"/>
              <a:ea typeface="+mn-ea"/>
              <a:cs typeface="+mn-cs"/>
            </a:rPr>
            <a:t>2 (95% RM)</a:t>
          </a:r>
        </a:p>
      </dsp:txBody>
      <dsp:txXfrm>
        <a:off x="1085955" y="183608"/>
        <a:ext cx="214418" cy="389638"/>
      </dsp:txXfrm>
    </dsp:sp>
    <dsp:sp modelId="{C6437CD7-C326-8647-8FEC-625B69B5253D}">
      <dsp:nvSpPr>
        <dsp:cNvPr id="0" name=""/>
        <dsp:cNvSpPr/>
      </dsp:nvSpPr>
      <dsp:spPr>
        <a:xfrm>
          <a:off x="596582" y="573246"/>
          <a:ext cx="1193165" cy="573246"/>
        </a:xfrm>
        <a:prstGeom prst="trapezoid">
          <a:avLst>
            <a:gd name="adj" fmla="val 49794"/>
          </a:avLst>
        </a:prstGeom>
        <a:gradFill rotWithShape="0">
          <a:gsLst>
            <a:gs pos="0">
              <a:srgbClr val="4F81BD">
                <a:alpha val="90000"/>
                <a:hueOff val="0"/>
                <a:satOff val="0"/>
                <a:lumOff val="0"/>
                <a:alphaOff val="-13333"/>
                <a:tint val="50000"/>
                <a:satMod val="300000"/>
              </a:srgbClr>
            </a:gs>
            <a:gs pos="35000">
              <a:srgbClr val="4F81BD">
                <a:alpha val="90000"/>
                <a:hueOff val="0"/>
                <a:satOff val="0"/>
                <a:lumOff val="0"/>
                <a:alphaOff val="-13333"/>
                <a:tint val="37000"/>
                <a:satMod val="300000"/>
              </a:srgbClr>
            </a:gs>
            <a:gs pos="100000">
              <a:srgbClr val="4F81BD">
                <a:alpha val="90000"/>
                <a:hueOff val="0"/>
                <a:satOff val="0"/>
                <a:lumOff val="0"/>
                <a:alphaOff val="-13333"/>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ES" sz="600" kern="1200">
              <a:solidFill>
                <a:sysClr val="windowText" lastClr="000000">
                  <a:hueOff val="0"/>
                  <a:satOff val="0"/>
                  <a:lumOff val="0"/>
                  <a:alphaOff val="0"/>
                </a:sysClr>
              </a:solidFill>
              <a:latin typeface="Cambria"/>
              <a:ea typeface="+mn-ea"/>
              <a:cs typeface="+mn-cs"/>
            </a:rPr>
            <a:t>4 RM (90% RM)</a:t>
          </a:r>
        </a:p>
      </dsp:txBody>
      <dsp:txXfrm>
        <a:off x="995681" y="713901"/>
        <a:ext cx="394967" cy="432591"/>
      </dsp:txXfrm>
    </dsp:sp>
    <dsp:sp modelId="{DEF3C29F-E2A7-A944-AEA3-C592AFB8600E}">
      <dsp:nvSpPr>
        <dsp:cNvPr id="0" name=""/>
        <dsp:cNvSpPr/>
      </dsp:nvSpPr>
      <dsp:spPr>
        <a:xfrm>
          <a:off x="298291" y="1146492"/>
          <a:ext cx="1789747" cy="573246"/>
        </a:xfrm>
        <a:prstGeom prst="trapezoid">
          <a:avLst>
            <a:gd name="adj" fmla="val 49794"/>
          </a:avLst>
        </a:prstGeom>
        <a:gradFill rotWithShape="0">
          <a:gsLst>
            <a:gs pos="0">
              <a:srgbClr val="4F81BD">
                <a:alpha val="90000"/>
                <a:hueOff val="0"/>
                <a:satOff val="0"/>
                <a:lumOff val="0"/>
                <a:alphaOff val="-26667"/>
                <a:tint val="50000"/>
                <a:satMod val="300000"/>
              </a:srgbClr>
            </a:gs>
            <a:gs pos="35000">
              <a:srgbClr val="4F81BD">
                <a:alpha val="90000"/>
                <a:hueOff val="0"/>
                <a:satOff val="0"/>
                <a:lumOff val="0"/>
                <a:alphaOff val="-26667"/>
                <a:tint val="37000"/>
                <a:satMod val="300000"/>
              </a:srgbClr>
            </a:gs>
            <a:gs pos="100000">
              <a:srgbClr val="4F81BD">
                <a:alpha val="90000"/>
                <a:hueOff val="0"/>
                <a:satOff val="0"/>
                <a:lumOff val="0"/>
                <a:alphaOff val="-26667"/>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ES" sz="600" kern="1200">
              <a:solidFill>
                <a:sysClr val="windowText" lastClr="000000">
                  <a:hueOff val="0"/>
                  <a:satOff val="0"/>
                  <a:lumOff val="0"/>
                  <a:alphaOff val="0"/>
                </a:sysClr>
              </a:solidFill>
              <a:latin typeface="Cambria"/>
              <a:ea typeface="+mn-ea"/>
              <a:cs typeface="+mn-cs"/>
            </a:rPr>
            <a:t>6 RM (85% RM)</a:t>
          </a:r>
        </a:p>
      </dsp:txBody>
      <dsp:txXfrm>
        <a:off x="801792" y="1240262"/>
        <a:ext cx="782745" cy="479476"/>
      </dsp:txXfrm>
    </dsp:sp>
    <dsp:sp modelId="{7B03B683-DB76-F348-BE10-1E4665C32F56}">
      <dsp:nvSpPr>
        <dsp:cNvPr id="0" name=""/>
        <dsp:cNvSpPr/>
      </dsp:nvSpPr>
      <dsp:spPr>
        <a:xfrm>
          <a:off x="0" y="1719738"/>
          <a:ext cx="2386330" cy="573246"/>
        </a:xfrm>
        <a:prstGeom prst="trapezoid">
          <a:avLst>
            <a:gd name="adj" fmla="val 49794"/>
          </a:avLst>
        </a:prstGeom>
        <a:gradFill rotWithShape="0">
          <a:gsLst>
            <a:gs pos="0">
              <a:srgbClr val="4F81BD">
                <a:alpha val="90000"/>
                <a:hueOff val="0"/>
                <a:satOff val="0"/>
                <a:lumOff val="0"/>
                <a:alphaOff val="-40000"/>
                <a:tint val="50000"/>
                <a:satMod val="300000"/>
              </a:srgbClr>
            </a:gs>
            <a:gs pos="35000">
              <a:srgbClr val="4F81BD">
                <a:alpha val="90000"/>
                <a:hueOff val="0"/>
                <a:satOff val="0"/>
                <a:lumOff val="0"/>
                <a:alphaOff val="-40000"/>
                <a:tint val="37000"/>
                <a:satMod val="300000"/>
              </a:srgbClr>
            </a:gs>
            <a:gs pos="100000">
              <a:srgbClr val="4F81BD">
                <a:alpha val="90000"/>
                <a:hueOff val="0"/>
                <a:satOff val="0"/>
                <a:lumOff val="0"/>
                <a:alphaOff val="-4000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ES" sz="600" kern="1200">
              <a:solidFill>
                <a:sysClr val="windowText" lastClr="000000">
                  <a:hueOff val="0"/>
                  <a:satOff val="0"/>
                  <a:lumOff val="0"/>
                  <a:alphaOff val="0"/>
                </a:sysClr>
              </a:solidFill>
              <a:latin typeface="Cambria"/>
              <a:ea typeface="+mn-ea"/>
              <a:cs typeface="+mn-cs"/>
            </a:rPr>
            <a:t>8 RM (75% RM)</a:t>
          </a:r>
        </a:p>
      </dsp:txBody>
      <dsp:txXfrm>
        <a:off x="607902" y="1790065"/>
        <a:ext cx="1170524" cy="50291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FCAFCAB-2DAD-C449-8440-A57107246CA7}">
      <dsp:nvSpPr>
        <dsp:cNvPr id="0" name=""/>
        <dsp:cNvSpPr/>
      </dsp:nvSpPr>
      <dsp:spPr>
        <a:xfrm rot="10800000">
          <a:off x="0" y="0"/>
          <a:ext cx="2295525" cy="526415"/>
        </a:xfrm>
        <a:prstGeom prst="trapezoid">
          <a:avLst>
            <a:gd name="adj" fmla="val 50000"/>
          </a:avLst>
        </a:prstGeom>
        <a:gradFill rotWithShape="0">
          <a:gsLst>
            <a:gs pos="0">
              <a:srgbClr val="4F81BD">
                <a:alpha val="90000"/>
                <a:hueOff val="0"/>
                <a:satOff val="0"/>
                <a:lumOff val="0"/>
                <a:alphaOff val="0"/>
                <a:tint val="50000"/>
                <a:satMod val="300000"/>
              </a:srgbClr>
            </a:gs>
            <a:gs pos="35000">
              <a:srgbClr val="4F81BD">
                <a:alpha val="90000"/>
                <a:hueOff val="0"/>
                <a:satOff val="0"/>
                <a:lumOff val="0"/>
                <a:alphaOff val="0"/>
                <a:tint val="37000"/>
                <a:satMod val="300000"/>
              </a:srgbClr>
            </a:gs>
            <a:gs pos="100000">
              <a:srgbClr val="4F81BD">
                <a:alpha val="9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ES" sz="600" kern="1200">
              <a:solidFill>
                <a:sysClr val="windowText" lastClr="000000">
                  <a:hueOff val="0"/>
                  <a:satOff val="0"/>
                  <a:lumOff val="0"/>
                  <a:alphaOff val="0"/>
                </a:sysClr>
              </a:solidFill>
              <a:latin typeface="Cambria"/>
              <a:ea typeface="+mn-ea"/>
              <a:cs typeface="+mn-cs"/>
            </a:rPr>
            <a:t>8 RM (75% RM)</a:t>
          </a:r>
        </a:p>
      </dsp:txBody>
      <dsp:txXfrm rot="-10800000">
        <a:off x="577188" y="61907"/>
        <a:ext cx="1141147" cy="464508"/>
      </dsp:txXfrm>
    </dsp:sp>
    <dsp:sp modelId="{44A3173C-4742-9841-9155-218B2B580C9B}">
      <dsp:nvSpPr>
        <dsp:cNvPr id="0" name=""/>
        <dsp:cNvSpPr/>
      </dsp:nvSpPr>
      <dsp:spPr>
        <a:xfrm rot="10800000">
          <a:off x="286940" y="526414"/>
          <a:ext cx="1721643" cy="526415"/>
        </a:xfrm>
        <a:prstGeom prst="trapezoid">
          <a:avLst>
            <a:gd name="adj" fmla="val 50000"/>
          </a:avLst>
        </a:prstGeom>
        <a:gradFill rotWithShape="0">
          <a:gsLst>
            <a:gs pos="0">
              <a:srgbClr val="4F81BD">
                <a:alpha val="90000"/>
                <a:hueOff val="0"/>
                <a:satOff val="0"/>
                <a:lumOff val="0"/>
                <a:alphaOff val="-13333"/>
                <a:tint val="50000"/>
                <a:satMod val="300000"/>
              </a:srgbClr>
            </a:gs>
            <a:gs pos="35000">
              <a:srgbClr val="4F81BD">
                <a:alpha val="90000"/>
                <a:hueOff val="0"/>
                <a:satOff val="0"/>
                <a:lumOff val="0"/>
                <a:alphaOff val="-13333"/>
                <a:tint val="37000"/>
                <a:satMod val="300000"/>
              </a:srgbClr>
            </a:gs>
            <a:gs pos="100000">
              <a:srgbClr val="4F81BD">
                <a:alpha val="90000"/>
                <a:hueOff val="0"/>
                <a:satOff val="0"/>
                <a:lumOff val="0"/>
                <a:alphaOff val="-13333"/>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ES" sz="600" kern="1200">
              <a:solidFill>
                <a:sysClr val="windowText" lastClr="000000">
                  <a:hueOff val="0"/>
                  <a:satOff val="0"/>
                  <a:lumOff val="0"/>
                  <a:alphaOff val="0"/>
                </a:sysClr>
              </a:solidFill>
              <a:latin typeface="Cambria"/>
              <a:ea typeface="+mn-ea"/>
              <a:cs typeface="+mn-cs"/>
            </a:rPr>
            <a:t>6 RM (85% RM)</a:t>
          </a:r>
        </a:p>
      </dsp:txBody>
      <dsp:txXfrm rot="-10800000">
        <a:off x="763700" y="608957"/>
        <a:ext cx="768124" cy="443872"/>
      </dsp:txXfrm>
    </dsp:sp>
    <dsp:sp modelId="{06CBC258-CF8B-8B4F-A187-4F319EE07B9B}">
      <dsp:nvSpPr>
        <dsp:cNvPr id="0" name=""/>
        <dsp:cNvSpPr/>
      </dsp:nvSpPr>
      <dsp:spPr>
        <a:xfrm rot="10800000">
          <a:off x="573881" y="1052830"/>
          <a:ext cx="1147762" cy="526415"/>
        </a:xfrm>
        <a:prstGeom prst="trapezoid">
          <a:avLst>
            <a:gd name="adj" fmla="val 50000"/>
          </a:avLst>
        </a:prstGeom>
        <a:gradFill rotWithShape="0">
          <a:gsLst>
            <a:gs pos="0">
              <a:srgbClr val="4F81BD">
                <a:alpha val="90000"/>
                <a:hueOff val="0"/>
                <a:satOff val="0"/>
                <a:lumOff val="0"/>
                <a:alphaOff val="-26667"/>
                <a:tint val="50000"/>
                <a:satMod val="300000"/>
              </a:srgbClr>
            </a:gs>
            <a:gs pos="35000">
              <a:srgbClr val="4F81BD">
                <a:alpha val="90000"/>
                <a:hueOff val="0"/>
                <a:satOff val="0"/>
                <a:lumOff val="0"/>
                <a:alphaOff val="-26667"/>
                <a:tint val="37000"/>
                <a:satMod val="300000"/>
              </a:srgbClr>
            </a:gs>
            <a:gs pos="100000">
              <a:srgbClr val="4F81BD">
                <a:alpha val="90000"/>
                <a:hueOff val="0"/>
                <a:satOff val="0"/>
                <a:lumOff val="0"/>
                <a:alphaOff val="-26667"/>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ES" sz="600" kern="1200">
              <a:solidFill>
                <a:sysClr val="windowText" lastClr="000000">
                  <a:hueOff val="0"/>
                  <a:satOff val="0"/>
                  <a:lumOff val="0"/>
                  <a:alphaOff val="0"/>
                </a:sysClr>
              </a:solidFill>
              <a:latin typeface="Cambria"/>
              <a:ea typeface="+mn-ea"/>
              <a:cs typeface="+mn-cs"/>
            </a:rPr>
            <a:t>4 RM (90% RM)</a:t>
          </a:r>
        </a:p>
      </dsp:txBody>
      <dsp:txXfrm rot="-10800000">
        <a:off x="950211" y="1176644"/>
        <a:ext cx="395101" cy="402601"/>
      </dsp:txXfrm>
    </dsp:sp>
    <dsp:sp modelId="{15CD17FC-FD9A-7D4E-9579-784A73CBD054}">
      <dsp:nvSpPr>
        <dsp:cNvPr id="0" name=""/>
        <dsp:cNvSpPr/>
      </dsp:nvSpPr>
      <dsp:spPr>
        <a:xfrm rot="10800000">
          <a:off x="860821" y="1579245"/>
          <a:ext cx="573881" cy="526415"/>
        </a:xfrm>
        <a:prstGeom prst="trapezoid">
          <a:avLst>
            <a:gd name="adj" fmla="val 50000"/>
          </a:avLst>
        </a:prstGeom>
        <a:gradFill rotWithShape="0">
          <a:gsLst>
            <a:gs pos="0">
              <a:srgbClr val="4F81BD">
                <a:alpha val="90000"/>
                <a:hueOff val="0"/>
                <a:satOff val="0"/>
                <a:lumOff val="0"/>
                <a:alphaOff val="-40000"/>
                <a:tint val="50000"/>
                <a:satMod val="300000"/>
              </a:srgbClr>
            </a:gs>
            <a:gs pos="35000">
              <a:srgbClr val="4F81BD">
                <a:alpha val="90000"/>
                <a:hueOff val="0"/>
                <a:satOff val="0"/>
                <a:lumOff val="0"/>
                <a:alphaOff val="-40000"/>
                <a:tint val="37000"/>
                <a:satMod val="300000"/>
              </a:srgbClr>
            </a:gs>
            <a:gs pos="100000">
              <a:srgbClr val="4F81BD">
                <a:alpha val="90000"/>
                <a:hueOff val="0"/>
                <a:satOff val="0"/>
                <a:lumOff val="0"/>
                <a:alphaOff val="-4000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ES" sz="600" kern="1200">
              <a:solidFill>
                <a:sysClr val="windowText" lastClr="000000">
                  <a:hueOff val="0"/>
                  <a:satOff val="0"/>
                  <a:lumOff val="0"/>
                  <a:alphaOff val="0"/>
                </a:sysClr>
              </a:solidFill>
              <a:latin typeface="Cambria"/>
              <a:ea typeface="+mn-ea"/>
              <a:cs typeface="+mn-cs"/>
            </a:rPr>
            <a:t>2 RM (95% RM)</a:t>
          </a:r>
        </a:p>
      </dsp:txBody>
      <dsp:txXfrm rot="-10800000">
        <a:off x="1036293" y="1740203"/>
        <a:ext cx="222937" cy="365457"/>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3.xml><?xml version="1.0" encoding="utf-8"?>
<dgm:layoutDef xmlns:dgm="http://schemas.openxmlformats.org/drawingml/2006/diagram" xmlns:a="http://schemas.openxmlformats.org/drawingml/2006/main" uniqueId="urn:microsoft.com/office/officeart/2005/8/layout/pyramid3">
  <dgm:title val=""/>
  <dgm:desc val=""/>
  <dgm:catLst>
    <dgm:cat type="pyramid" pri="2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T"/>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T"/>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rev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t"/>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50677</Words>
  <Characters>278724</Characters>
  <Application>Microsoft Office Word</Application>
  <DocSecurity>0</DocSecurity>
  <Lines>2322</Lines>
  <Paragraphs>657</Paragraphs>
  <ScaleCrop>false</ScaleCrop>
  <Company/>
  <LinksUpToDate>false</LinksUpToDate>
  <CharactersWithSpaces>328744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Lara Garcia</dc:creator>
  <cp:keywords/>
  <dc:description/>
  <cp:lastModifiedBy>Javier Lara Garcia</cp:lastModifiedBy>
  <cp:revision>1</cp:revision>
  <dcterms:created xsi:type="dcterms:W3CDTF">2020-03-24T09:45:00Z</dcterms:created>
  <dcterms:modified xsi:type="dcterms:W3CDTF">2020-03-24T09:45:00Z</dcterms:modified>
</cp:coreProperties>
</file>