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48"/>
          <w:szCs w:val="48"/>
        </w:rPr>
        <w:t xml:space="preserve">📋 INFORME FINAL</w:t>
      </w:r>
    </w:p>
    <w:p>
      <w:pPr>
        <w:spacing w:before="0" w:after="160"/>
        <w:jc w:val="center"/>
      </w:pPr>
      <w:r>
        <w:rPr>
          <w:rFonts w:ascii="Arial" w:cs="Arial" w:eastAsia="Arial" w:hAnsi="Arial"/>
          <w:b/>
          <w:bCs/>
          <w:color w:val="2E86AB"/>
          <w:sz w:val="36"/>
          <w:szCs w:val="36"/>
        </w:rPr>
        <w:t xml:space="preserve">Predicción Inteligente de Gasto en Clientes E-commerce</w:t>
      </w:r>
    </w:p>
    <w:p>
      <w:pPr>
        <w:spacing w:before="80" w:after="80"/>
        <w:jc w:val="center"/>
      </w:pPr>
      <w:r>
        <w:rPr>
          <w:rFonts w:ascii="Arial" w:cs="Arial" w:eastAsia="Arial" w:hAnsi="Arial"/>
          <w:color w:val="555555"/>
          <w:sz w:val="24"/>
          <w:szCs w:val="24"/>
        </w:rPr>
        <w:t xml:space="preserve">Módulo 6: Aprendizaje de Máquina Supervisado  |  Alkemy</w:t>
      </w:r>
    </w:p>
    <w:p>
      <w:pPr>
        <w:spacing w:before="80" w:after="2880"/>
        <w:jc w:val="center"/>
      </w:pPr>
      <w:r>
        <w:rPr>
          <w:rFonts w:ascii="Arial" w:cs="Arial" w:eastAsia="Arial" w:hAnsi="Arial"/>
          <w:color w:val="777777"/>
          <w:sz w:val="22"/>
          <w:szCs w:val="22"/>
        </w:rPr>
        <w:t xml:space="preserve">Marzo 2026</w:t>
      </w:r>
    </w:p>
    <w:p>
      <w:r>
        <w:br w:type="page"/>
      </w:r>
    </w:p>
    <w:p>
      <w:pPr>
        <w:pStyle w:val="Heading1"/>
        <w:spacing w:before="320" w:after="160"/>
      </w:pPr>
      <w:r>
        <w:rPr>
          <w:rFonts w:ascii="Arial" w:cs="Arial" w:eastAsia="Arial" w:hAnsi="Arial"/>
          <w:b/>
          <w:bCs/>
          <w:color w:val="1F4E79"/>
          <w:sz w:val="32"/>
          <w:szCs w:val="32"/>
        </w:rPr>
        <w:t xml:space="preserve">1. Resumen Ejecutivo</w:t>
      </w:r>
    </w:p>
    <w:p>
      <w:pPr>
        <w:spacing w:before="80" w:after="80"/>
      </w:pPr>
      <w:r>
        <w:rPr>
          <w:rFonts w:ascii="Arial" w:cs="Arial" w:eastAsia="Arial" w:hAnsi="Arial"/>
          <w:sz w:val="22"/>
          <w:szCs w:val="22"/>
        </w:rPr>
        <w:t xml:space="preserve">Se desarrolló un modelo de regresión supervisada para predecir el monto promedio de compra de clientes en una plataforma e-commerce. A partir de un dataset de 1.000 registros con 15 variables de comportamiento y demografía, se entrenaron y compararon 6 algoritmos.</w:t>
      </w:r>
    </w:p>
    <w:p>
      <w:pPr>
        <w:spacing w:before="80" w:after="80"/>
      </w:pPr>
    </w:p>
    <w:p>
      <w:pPr>
        <w:spacing w:before="80" w:after="80"/>
      </w:pPr>
      <w:r>
        <w:rPr>
          <w:rFonts w:ascii="Arial" w:cs="Arial" w:eastAsia="Arial" w:hAnsi="Arial"/>
          <w:sz w:val="22"/>
          <w:szCs w:val="22"/>
        </w:rPr>
        <w:t xml:space="preserve">El modelo final seleccionado fue el </w:t>
      </w:r>
    </w:p>
    <w:p>
      <w:pPr>
        <w:spacing w:before="80" w:after="80"/>
      </w:pPr>
      <w:r>
        <w:rPr>
          <w:rFonts w:ascii="Arial" w:cs="Arial" w:eastAsia="Arial" w:hAnsi="Arial"/>
          <w:b/>
          <w:bCs/>
          <w:sz w:val="22"/>
          <w:szCs w:val="22"/>
        </w:rPr>
        <w:t xml:space="preserve">Gradient Boosting Regressor</w:t>
      </w:r>
      <w:r>
        <w:rPr>
          <w:rFonts w:ascii="Arial" w:cs="Arial" w:eastAsia="Arial" w:hAnsi="Arial"/>
          <w:sz w:val="22"/>
          <w:szCs w:val="22"/>
        </w:rPr>
        <w:t xml:space="preserve">, que alcanzó un </w:t>
      </w:r>
      <w:r>
        <w:rPr>
          <w:rFonts w:ascii="Arial" w:cs="Arial" w:eastAsia="Arial" w:hAnsi="Arial"/>
          <w:b/>
          <w:bCs/>
          <w:sz w:val="22"/>
          <w:szCs w:val="22"/>
        </w:rPr>
        <w:t xml:space="preserve">R² = 0.7956</w:t>
      </w:r>
      <w:r>
        <w:rPr>
          <w:rFonts w:ascii="Arial" w:cs="Arial" w:eastAsia="Arial" w:hAnsi="Arial"/>
          <w:sz w:val="22"/>
          <w:szCs w:val="22"/>
        </w:rPr>
        <w:t xml:space="preserve">, un </w:t>
      </w:r>
      <w:r>
        <w:rPr>
          <w:rFonts w:ascii="Arial" w:cs="Arial" w:eastAsia="Arial" w:hAnsi="Arial"/>
          <w:b/>
          <w:bCs/>
          <w:sz w:val="22"/>
          <w:szCs w:val="22"/>
        </w:rPr>
        <w:t xml:space="preserve">MAE = $20.70</w:t>
      </w:r>
      <w:r>
        <w:rPr>
          <w:rFonts w:ascii="Arial" w:cs="Arial" w:eastAsia="Arial" w:hAnsi="Arial"/>
          <w:sz w:val="22"/>
          <w:szCs w:val="22"/>
        </w:rPr>
        <w:t xml:space="preserve"> y un </w:t>
      </w:r>
      <w:r>
        <w:rPr>
          <w:rFonts w:ascii="Arial" w:cs="Arial" w:eastAsia="Arial" w:hAnsi="Arial"/>
          <w:b/>
          <w:bCs/>
          <w:sz w:val="22"/>
          <w:szCs w:val="22"/>
        </w:rPr>
        <w:t xml:space="preserve">RMSE = $26.08</w:t>
      </w:r>
      <w:r>
        <w:rPr>
          <w:rFonts w:ascii="Arial" w:cs="Arial" w:eastAsia="Arial" w:hAnsi="Arial"/>
          <w:sz w:val="22"/>
          <w:szCs w:val="22"/>
        </w:rPr>
        <w:t xml:space="preserve"> en el conjunto de prueba.</w:t>
      </w:r>
    </w:p>
    <w:p>
      <w:pPr>
        <w:spacing w:before="80" w:after="80"/>
      </w:pPr>
    </w:p>
    <w:p>
      <w:pPr>
        <w:pStyle w:val="Heading1"/>
        <w:spacing w:before="320" w:after="160"/>
      </w:pPr>
      <w:r>
        <w:rPr>
          <w:rFonts w:ascii="Arial" w:cs="Arial" w:eastAsia="Arial" w:hAnsi="Arial"/>
          <w:b/>
          <w:bCs/>
          <w:color w:val="1F4E79"/>
          <w:sz w:val="32"/>
          <w:szCs w:val="32"/>
        </w:rPr>
        <w:t xml:space="preserve">2. Definición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Atributo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Tipo de problema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Regresión supervisada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Variable objetivo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monto_compra_promedio (continua,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Unidad solicitante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Departamento de Analítica Comercial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Contexto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Personalizar ofertas según el perfil de gasto esperado del cliente</w:t>
            </w:r>
          </w:p>
        </w:tc>
      </w:tr>
    </w:tbl>
    <w:p>
      <w:pPr>
        <w:spacing w:before="80" w:after="80"/>
      </w:pPr>
    </w:p>
    <w:p>
      <w:pPr>
        <w:pStyle w:val="Heading1"/>
        <w:spacing w:before="320" w:after="160"/>
      </w:pPr>
      <w:r>
        <w:rPr>
          <w:rFonts w:ascii="Arial" w:cs="Arial" w:eastAsia="Arial" w:hAnsi="Arial"/>
          <w:b/>
          <w:bCs/>
          <w:color w:val="1F4E79"/>
          <w:sz w:val="32"/>
          <w:szCs w:val="32"/>
        </w:rPr>
        <w:t xml:space="preserve">3. Descripción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Atributo</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Registros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clientes simulados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Total de variables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16 (15 features + 1 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Variables categóricas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(genero, region, dispositivo, categoria_preferida, nivel_membresia)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Variables numéricas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Valores nulos (antes de imputación)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(~3%)</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Outliers eliminados en target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r>
    </w:tbl>
    <w:p>
      <w:pPr>
        <w:spacing w:before="80" w:after="80"/>
      </w:pPr>
    </w:p>
    <w:p>
      <w:pPr>
        <w:pStyle w:val="Heading1"/>
        <w:spacing w:before="320" w:after="160"/>
      </w:pPr>
      <w:r>
        <w:rPr>
          <w:rFonts w:ascii="Arial" w:cs="Arial" w:eastAsia="Arial" w:hAnsi="Arial"/>
          <w:b/>
          <w:bCs/>
          <w:color w:val="1F4E79"/>
          <w:sz w:val="32"/>
          <w:szCs w:val="32"/>
        </w:rPr>
        <w:t xml:space="preserve">4. Preprocesamiento</w:t>
      </w:r>
    </w:p>
    <w:p>
      <w:pPr>
        <w:pStyle w:val="Heading2"/>
        <w:spacing w:before="240" w:after="120"/>
      </w:pPr>
      <w:r>
        <w:rPr>
          <w:rFonts w:ascii="Arial" w:cs="Arial" w:eastAsia="Arial" w:hAnsi="Arial"/>
          <w:b/>
          <w:bCs/>
          <w:color w:val="2E86AB"/>
          <w:sz w:val="26"/>
          <w:szCs w:val="26"/>
        </w:rPr>
        <w:t xml:space="preserve">4.1 Tratamiento de Valores Nulos</w:t>
      </w:r>
    </w:p>
    <w:p>
      <w:pPr>
        <w:spacing w:before="80" w:after="80"/>
      </w:pPr>
      <w:r>
        <w:rPr>
          <w:rFonts w:ascii="Arial" w:cs="Arial" w:eastAsia="Arial" w:hAnsi="Arial"/>
          <w:sz w:val="22"/>
          <w:szCs w:val="22"/>
        </w:rPr>
        <w:t xml:space="preserve">Se aplicó imputación por mediana en las columnas con valores faltantes:</w:t>
      </w:r>
    </w:p>
    <w:p>
      <w:pPr>
        <w:pStyle w:val="ListParagraph"/>
        <w:numPr>
          <w:ilvl w:val="0"/>
          <w:numId w:val="2"/>
        </w:numPr>
        <w:spacing w:before="60" w:after="60"/>
      </w:pPr>
      <w:r>
        <w:rPr>
          <w:rFonts w:ascii="Arial" w:cs="Arial" w:eastAsia="Arial" w:hAnsi="Arial"/>
          <w:sz w:val="22"/>
          <w:szCs w:val="22"/>
        </w:rPr>
        <w:t xml:space="preserve">tiempo_promedio_sesion_min</w:t>
      </w:r>
    </w:p>
    <w:p>
      <w:pPr>
        <w:pStyle w:val="ListParagraph"/>
        <w:numPr>
          <w:ilvl w:val="0"/>
          <w:numId w:val="2"/>
        </w:numPr>
        <w:spacing w:before="60" w:after="60"/>
      </w:pPr>
      <w:r>
        <w:rPr>
          <w:rFonts w:ascii="Arial" w:cs="Arial" w:eastAsia="Arial" w:hAnsi="Arial"/>
          <w:sz w:val="22"/>
          <w:szCs w:val="22"/>
        </w:rPr>
        <w:t xml:space="preserve">calificacion_promedio_dada</w:t>
      </w:r>
    </w:p>
    <w:p>
      <w:pPr>
        <w:pStyle w:val="ListParagraph"/>
        <w:numPr>
          <w:ilvl w:val="0"/>
          <w:numId w:val="2"/>
        </w:numPr>
        <w:spacing w:before="60" w:after="60"/>
      </w:pPr>
      <w:r>
        <w:rPr>
          <w:rFonts w:ascii="Arial" w:cs="Arial" w:eastAsia="Arial" w:hAnsi="Arial"/>
          <w:sz w:val="22"/>
          <w:szCs w:val="22"/>
        </w:rPr>
        <w:t xml:space="preserve">dias_desde_ultima_compra</w:t>
      </w:r>
    </w:p>
    <w:p>
      <w:pPr>
        <w:spacing w:before="80" w:after="80"/>
      </w:pPr>
    </w:p>
    <w:p>
      <w:pPr>
        <w:pStyle w:val="Heading2"/>
        <w:spacing w:before="240" w:after="120"/>
      </w:pPr>
      <w:r>
        <w:rPr>
          <w:rFonts w:ascii="Arial" w:cs="Arial" w:eastAsia="Arial" w:hAnsi="Arial"/>
          <w:b/>
          <w:bCs/>
          <w:color w:val="2E86AB"/>
          <w:sz w:val="26"/>
          <w:szCs w:val="26"/>
        </w:rPr>
        <w:t xml:space="preserve">4.2 Outliers</w:t>
      </w:r>
    </w:p>
    <w:p>
      <w:pPr>
        <w:spacing w:before="80" w:after="80"/>
      </w:pPr>
      <w:r>
        <w:rPr>
          <w:rFonts w:ascii="Arial" w:cs="Arial" w:eastAsia="Arial" w:hAnsi="Arial"/>
          <w:sz w:val="22"/>
          <w:szCs w:val="22"/>
        </w:rPr>
        <w:t xml:space="preserve">Se utilizó el método IQR (Rango Intercuartílico) sobre la variable objetivo monto_compra_promedio, eliminando 2 registros extremos.</w:t>
      </w:r>
    </w:p>
    <w:p>
      <w:pPr>
        <w:spacing w:before="80" w:after="80"/>
      </w:pPr>
    </w:p>
    <w:p>
      <w:pPr>
        <w:pStyle w:val="Heading2"/>
        <w:spacing w:before="240" w:after="120"/>
      </w:pPr>
      <w:r>
        <w:rPr>
          <w:rFonts w:ascii="Arial" w:cs="Arial" w:eastAsia="Arial" w:hAnsi="Arial"/>
          <w:b/>
          <w:bCs/>
          <w:color w:val="2E86AB"/>
          <w:sz w:val="26"/>
          <w:szCs w:val="26"/>
        </w:rPr>
        <w:t xml:space="preserve">4.3 Codificación y Escalamiento</w:t>
      </w:r>
    </w:p>
    <w:p>
      <w:pPr>
        <w:pStyle w:val="ListParagraph"/>
        <w:numPr>
          <w:ilvl w:val="0"/>
          <w:numId w:val="2"/>
        </w:numPr>
        <w:spacing w:before="60" w:after="60"/>
      </w:pPr>
      <w:r>
        <w:rPr>
          <w:rFonts w:ascii="Arial" w:cs="Arial" w:eastAsia="Arial" w:hAnsi="Arial"/>
          <w:sz w:val="22"/>
          <w:szCs w:val="22"/>
        </w:rPr>
        <w:t xml:space="preserve">Codificación: Label Encoding para variables categóricas (genero, region, dispositivo, categoria_preferida, nivel_membresia).</w:t>
      </w:r>
    </w:p>
    <w:p>
      <w:pPr>
        <w:pStyle w:val="ListParagraph"/>
        <w:numPr>
          <w:ilvl w:val="0"/>
          <w:numId w:val="2"/>
        </w:numPr>
        <w:spacing w:before="60" w:after="60"/>
      </w:pPr>
      <w:r>
        <w:rPr>
          <w:rFonts w:ascii="Arial" w:cs="Arial" w:eastAsia="Arial" w:hAnsi="Arial"/>
          <w:sz w:val="22"/>
          <w:szCs w:val="22"/>
        </w:rPr>
        <w:t xml:space="preserve">Escalamiento: StandardScaler (media = 0, desvío estándar = 1) sobre el conjunto de entrenamiento, aplicado al de prueba sin re-ajuste.</w:t>
      </w:r>
    </w:p>
    <w:p>
      <w:pPr>
        <w:pStyle w:val="ListParagraph"/>
        <w:numPr>
          <w:ilvl w:val="0"/>
          <w:numId w:val="2"/>
        </w:numPr>
        <w:spacing w:before="60" w:after="60"/>
      </w:pPr>
      <w:r>
        <w:rPr>
          <w:rFonts w:ascii="Arial" w:cs="Arial" w:eastAsia="Arial" w:hAnsi="Arial"/>
          <w:sz w:val="22"/>
          <w:szCs w:val="22"/>
        </w:rPr>
        <w:t xml:space="preserve">División: 80% entrenamiento / 20% prueba (random_state=42).</w:t>
      </w:r>
    </w:p>
    <w:p>
      <w:pPr>
        <w:spacing w:before="80" w:after="80"/>
      </w:pPr>
    </w:p>
    <w:p>
      <w:pPr>
        <w:pStyle w:val="Heading1"/>
        <w:spacing w:before="320" w:after="160"/>
      </w:pPr>
      <w:r>
        <w:rPr>
          <w:rFonts w:ascii="Arial" w:cs="Arial" w:eastAsia="Arial" w:hAnsi="Arial"/>
          <w:b/>
          <w:bCs/>
          <w:color w:val="1F4E79"/>
          <w:sz w:val="32"/>
          <w:szCs w:val="32"/>
        </w:rPr>
        <w:t xml:space="preserve">5. Modelos Entrenados y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0"/>
        <w:gridCol w:w="1780"/>
        <w:gridCol w:w="1800"/>
      </w:tblGrid>
      <w:tr>
        <w:trPr>
          <w:tblHeader/>
        </w:trPr>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Modelo</w:t>
            </w:r>
          </w:p>
        </w:tc>
        <w:tc>
          <w:tcPr>
            <w:tcW w:type="dxa" w:w="17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MAE ($)</w:t>
            </w:r>
          </w:p>
        </w:tc>
        <w:tc>
          <w:tcPr>
            <w:tcW w:type="dxa" w:w="17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RMSE ($)</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R²</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Regresión Lineal</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22.15</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0.7618</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Regresión Polinomial (g=2)</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25.60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31.12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0.7090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KNN Regressor (k=7)</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30.64</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0.5674</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Ridge (alpha=10)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22.09</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28.12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0.7624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Lasso (alpha=0.1)</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22.11</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0.7622</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Gradient Boosting ✅</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20.70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26.08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0.7956</w:t>
            </w:r>
          </w:p>
        </w:tc>
      </w:tr>
    </w:tbl>
    <w:p>
      <w:pPr>
        <w:spacing w:before="80" w:after="80"/>
      </w:pPr>
    </w:p>
    <w:p>
      <w:pPr>
        <w:spacing w:before="80" w:after="80"/>
      </w:pPr>
      <w:r>
        <w:rPr>
          <w:rFonts w:ascii="Arial" w:cs="Arial" w:eastAsia="Arial" w:hAnsi="Arial"/>
          <w:sz w:val="22"/>
          <w:szCs w:val="22"/>
        </w:rPr>
        <w:t xml:space="preserve">Nota: R² mide la proporción de varianza explicada (mayor = mejor). MAE y RMSE expresan el error en dólares (menor = mejor).</w:t>
      </w:r>
    </w:p>
    <w:p>
      <w:pPr>
        <w:spacing w:before="80" w:after="80"/>
      </w:pPr>
    </w:p>
    <w:p>
      <w:pPr>
        <w:pStyle w:val="Heading2"/>
        <w:spacing w:before="240" w:after="120"/>
      </w:pPr>
      <w:r>
        <w:rPr>
          <w:rFonts w:ascii="Arial" w:cs="Arial" w:eastAsia="Arial" w:hAnsi="Arial"/>
          <w:b/>
          <w:bCs/>
          <w:color w:val="2E86AB"/>
          <w:sz w:val="26"/>
          <w:szCs w:val="26"/>
        </w:rPr>
        <w:t xml:space="preserve">5.1 Validación Cruzada K-Folds (k=5)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Modelo</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CV R² (media ± desvío)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Regresión Lineal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0.7002 ± 0.0545</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KNN Regressor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0.4467 ± 0.0321</w:t>
            </w:r>
          </w:p>
        </w:tc>
      </w:tr>
    </w:tbl>
    <w:p>
      <w:pPr>
        <w:spacing w:before="80" w:after="80"/>
      </w:pPr>
    </w:p>
    <w:p>
      <w:pPr>
        <w:pStyle w:val="Heading1"/>
        <w:spacing w:before="320" w:after="160"/>
      </w:pPr>
      <w:r>
        <w:rPr>
          <w:rFonts w:ascii="Arial" w:cs="Arial" w:eastAsia="Arial" w:hAnsi="Arial"/>
          <w:b/>
          <w:bCs/>
          <w:color w:val="1F4E79"/>
          <w:sz w:val="32"/>
          <w:szCs w:val="32"/>
        </w:rPr>
        <w:t xml:space="preserve">6. Modelo Final: Gradient Boosting Regressor</w:t>
      </w:r>
    </w:p>
    <w:p>
      <w:pPr>
        <w:pStyle w:val="Heading2"/>
        <w:spacing w:before="240" w:after="120"/>
      </w:pPr>
      <w:r>
        <w:rPr>
          <w:rFonts w:ascii="Arial" w:cs="Arial" w:eastAsia="Arial" w:hAnsi="Arial"/>
          <w:b/>
          <w:bCs/>
          <w:color w:val="2E86AB"/>
          <w:sz w:val="26"/>
          <w:szCs w:val="26"/>
        </w:rPr>
        <w:t xml:space="preserve">6.1 Hiperparámetros Óptimos (GridSearchCV)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Hiperparámetro</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Valor Óptimo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n_estimators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learning_rate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max_depth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r>
    </w:tbl>
    <w:p>
      <w:pPr>
        <w:spacing w:before="80" w:after="80"/>
      </w:pPr>
    </w:p>
    <w:p>
      <w:pPr>
        <w:pStyle w:val="Heading2"/>
        <w:spacing w:before="240" w:after="120"/>
      </w:pPr>
      <w:r>
        <w:rPr>
          <w:rFonts w:ascii="Arial" w:cs="Arial" w:eastAsia="Arial" w:hAnsi="Arial"/>
          <w:b/>
          <w:bCs/>
          <w:color w:val="2E86AB"/>
          <w:sz w:val="26"/>
          <w:szCs w:val="26"/>
        </w:rPr>
        <w:t xml:space="preserve">6.2 Variables Más Importantes</w:t>
      </w:r>
    </w:p>
    <w:p>
      <w:pPr>
        <w:pStyle w:val="ListParagraph"/>
        <w:numPr>
          <w:ilvl w:val="0"/>
          <w:numId w:val="2"/>
        </w:numPr>
        <w:spacing w:before="60" w:after="60"/>
      </w:pPr>
      <w:r>
        <w:rPr>
          <w:rFonts w:ascii="Arial" w:cs="Arial" w:eastAsia="Arial" w:hAnsi="Arial"/>
          <w:sz w:val="22"/>
          <w:szCs w:val="22"/>
        </w:rPr>
        <w:t xml:space="preserve">nivel_membresia — clientes Platino gastan ~$90 más que Bronce</w:t>
      </w:r>
    </w:p>
    <w:p>
      <w:pPr>
        <w:pStyle w:val="ListParagraph"/>
        <w:numPr>
          <w:ilvl w:val="0"/>
          <w:numId w:val="2"/>
        </w:numPr>
        <w:spacing w:before="60" w:after="60"/>
      </w:pPr>
      <w:r>
        <w:rPr>
          <w:rFonts w:ascii="Arial" w:cs="Arial" w:eastAsia="Arial" w:hAnsi="Arial"/>
          <w:sz w:val="22"/>
          <w:szCs w:val="22"/>
        </w:rPr>
        <w:t xml:space="preserve">items_en_carrito — cada ítem adicional suma ~$12 al monto</w:t>
      </w:r>
    </w:p>
    <w:p>
      <w:pPr>
        <w:pStyle w:val="ListParagraph"/>
        <w:numPr>
          <w:ilvl w:val="0"/>
          <w:numId w:val="2"/>
        </w:numPr>
        <w:spacing w:before="60" w:after="60"/>
      </w:pPr>
      <w:r>
        <w:rPr>
          <w:rFonts w:ascii="Arial" w:cs="Arial" w:eastAsia="Arial" w:hAnsi="Arial"/>
          <w:sz w:val="22"/>
          <w:szCs w:val="22"/>
        </w:rPr>
        <w:t xml:space="preserve">paginas_vistas_sesion — refleja intención de compra</w:t>
      </w:r>
    </w:p>
    <w:p>
      <w:pPr>
        <w:pStyle w:val="ListParagraph"/>
        <w:numPr>
          <w:ilvl w:val="0"/>
          <w:numId w:val="2"/>
        </w:numPr>
        <w:spacing w:before="60" w:after="60"/>
      </w:pPr>
      <w:r>
        <w:rPr>
          <w:rFonts w:ascii="Arial" w:cs="Arial" w:eastAsia="Arial" w:hAnsi="Arial"/>
          <w:sz w:val="22"/>
          <w:szCs w:val="22"/>
        </w:rPr>
        <w:t xml:space="preserve">tiempo_promedio_sesion_min — mayor tiempo = mayor engagement</w:t>
      </w:r>
    </w:p>
    <w:p>
      <w:pPr>
        <w:pStyle w:val="ListParagraph"/>
        <w:numPr>
          <w:ilvl w:val="0"/>
          <w:numId w:val="2"/>
        </w:numPr>
        <w:spacing w:before="60" w:after="60"/>
      </w:pPr>
      <w:r>
        <w:rPr>
          <w:rFonts w:ascii="Arial" w:cs="Arial" w:eastAsia="Arial" w:hAnsi="Arial"/>
          <w:sz w:val="22"/>
          <w:szCs w:val="22"/>
        </w:rPr>
        <w:t xml:space="preserve">frecuencia_visitas_mes — clientes recurrentes compran más</w:t>
      </w:r>
    </w:p>
    <w:p>
      <w:pPr>
        <w:spacing w:before="80" w:after="80"/>
      </w:pPr>
    </w:p>
    <w:p>
      <w:pPr>
        <w:pStyle w:val="Heading1"/>
        <w:spacing w:before="320" w:after="160"/>
      </w:pPr>
      <w:r>
        <w:rPr>
          <w:rFonts w:ascii="Arial" w:cs="Arial" w:eastAsia="Arial" w:hAnsi="Arial"/>
          <w:b/>
          <w:bCs/>
          <w:color w:val="1F4E79"/>
          <w:sz w:val="32"/>
          <w:szCs w:val="32"/>
        </w:rPr>
        <w:t xml:space="preserve">7. Análisis de Residuos</w:t>
      </w:r>
    </w:p>
    <w:p>
      <w:pPr>
        <w:spacing w:before="80" w:after="80"/>
      </w:pPr>
      <w:r>
        <w:rPr>
          <w:rFonts w:ascii="Arial" w:cs="Arial" w:eastAsia="Arial" w:hAnsi="Arial"/>
          <w:sz w:val="22"/>
          <w:szCs w:val="22"/>
        </w:rPr>
        <w:t xml:space="preserve">Los residuos del modelo Gradient Boosting presentan distribución aproximadamente normal centrada en 0, indicando buen ajuste sin sesgo sistemático. No se observan patrones heterocedásticos relevantes, lo que valida la confiabilidad del modelo.</w:t>
      </w:r>
    </w:p>
    <w:p>
      <w:pPr>
        <w:spacing w:before="80" w:after="80"/>
      </w:pPr>
    </w:p>
    <w:p>
      <w:pPr>
        <w:pStyle w:val="Heading1"/>
        <w:spacing w:before="320" w:after="160"/>
      </w:pPr>
      <w:r>
        <w:rPr>
          <w:rFonts w:ascii="Arial" w:cs="Arial" w:eastAsia="Arial" w:hAnsi="Arial"/>
          <w:b/>
          <w:bCs/>
          <w:color w:val="1F4E79"/>
          <w:sz w:val="32"/>
          <w:szCs w:val="32"/>
        </w:rPr>
        <w:t xml:space="preserve">8. Conclusiones</w:t>
      </w:r>
    </w:p>
    <w:p>
      <w:pPr>
        <w:pStyle w:val="ListParagraph"/>
        <w:numPr>
          <w:ilvl w:val="0"/>
          <w:numId w:val="2"/>
        </w:numPr>
        <w:spacing w:before="80" w:after="80"/>
      </w:pPr>
      <w:r>
        <w:rPr>
          <w:rFonts w:ascii="Arial" w:cs="Arial" w:eastAsia="Arial" w:hAnsi="Arial"/>
          <w:sz w:val="22"/>
          <w:szCs w:val="22"/>
        </w:rPr>
        <w:t xml:space="preserve">El problema es de regresión supervisada: la variable objetivo es continua; usar clasificación implicaría pérdida de información y precisión.</w:t>
      </w:r>
    </w:p>
    <w:p>
      <w:pPr>
        <w:pStyle w:val="ListParagraph"/>
        <w:numPr>
          <w:ilvl w:val="0"/>
          <w:numId w:val="2"/>
        </w:numPr>
        <w:spacing w:before="80" w:after="80"/>
      </w:pPr>
      <w:r>
        <w:rPr>
          <w:rFonts w:ascii="Arial" w:cs="Arial" w:eastAsia="Arial" w:hAnsi="Arial"/>
          <w:sz w:val="22"/>
          <w:szCs w:val="22"/>
        </w:rPr>
        <w:t xml:space="preserve">Gradient Boosting supera a la regresión lineal en R² (+3.4 p.p.) y MAE (-$1.45), justificando su elección como modelo final.</w:t>
      </w:r>
    </w:p>
    <w:p>
      <w:pPr>
        <w:pStyle w:val="ListParagraph"/>
        <w:numPr>
          <w:ilvl w:val="0"/>
          <w:numId w:val="2"/>
        </w:numPr>
        <w:spacing w:before="80" w:after="80"/>
      </w:pPr>
      <w:r>
        <w:rPr>
          <w:rFonts w:ascii="Arial" w:cs="Arial" w:eastAsia="Arial" w:hAnsi="Arial"/>
          <w:sz w:val="22"/>
          <w:szCs w:val="22"/>
        </w:rPr>
        <w:t xml:space="preserve">La regularización (Ridge/Lasso) no mejoró significativamente respecto a la regresión lineal base, indicando baja multicolinealidad en el dataset.</w:t>
      </w:r>
    </w:p>
    <w:p>
      <w:pPr>
        <w:pStyle w:val="ListParagraph"/>
        <w:numPr>
          <w:ilvl w:val="0"/>
          <w:numId w:val="2"/>
        </w:numPr>
        <w:spacing w:before="80" w:after="80"/>
      </w:pPr>
      <w:r>
        <w:rPr>
          <w:rFonts w:ascii="Arial" w:cs="Arial" w:eastAsia="Arial" w:hAnsi="Arial"/>
          <w:sz w:val="22"/>
          <w:szCs w:val="22"/>
        </w:rPr>
        <w:t xml:space="preserve">KNN Regressor tuvo el peor desempeño, confirmando la sensibilidad de este algoritmo a la alta dimensionalidad.</w:t>
      </w:r>
    </w:p>
    <w:p>
      <w:pPr>
        <w:pStyle w:val="ListParagraph"/>
        <w:numPr>
          <w:ilvl w:val="0"/>
          <w:numId w:val="2"/>
        </w:numPr>
        <w:spacing w:before="80" w:after="80"/>
      </w:pPr>
      <w:r>
        <w:rPr>
          <w:rFonts w:ascii="Arial" w:cs="Arial" w:eastAsia="Arial" w:hAnsi="Arial"/>
          <w:sz w:val="22"/>
          <w:szCs w:val="22"/>
        </w:rPr>
        <w:t xml:space="preserve">Las variables de comportamiento en el sitio y el nivel de membresía son los predictores más potentes del gasto esperado.</w:t>
      </w:r>
    </w:p>
    <w:p>
      <w:pPr>
        <w:spacing w:before="80" w:after="80"/>
      </w:pPr>
    </w:p>
    <w:p>
      <w:pPr>
        <w:pStyle w:val="Heading1"/>
        <w:spacing w:before="320" w:after="160"/>
      </w:pPr>
      <w:r>
        <w:rPr>
          <w:rFonts w:ascii="Arial" w:cs="Arial" w:eastAsia="Arial" w:hAnsi="Arial"/>
          <w:b/>
          <w:bCs/>
          <w:color w:val="1F4E79"/>
          <w:sz w:val="32"/>
          <w:szCs w:val="32"/>
        </w:rPr>
        <w:t xml:space="preserve">9.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6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Recomendación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rFonts w:ascii="Arial" w:cs="Arial" w:eastAsia="Arial" w:hAnsi="Arial"/>
                <w:b/>
                <w:bCs/>
                <w:sz w:val="20"/>
                <w:szCs w:val="20"/>
              </w:rPr>
              <w:t xml:space="preserve">Impacto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Probar XGBoost o LightGBM como alternativas de boosting más eficientes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Incorporar datos reales de transacciones con más meses de historial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Aplicar One-Hot Encoding para variables nominales (en vez de Label Encoding)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4</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Explorar ingeniería de features: ratio gasto/visitas, métricas RFM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Monitorear el modelo en producción con métricas en ventana deslizante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6</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Segmentar por cluster de clientes y entrenar modelos específicos por grupo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Reentrenar el modelo mensualmente con nuevas transacciones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Alto</w:t>
            </w:r>
          </w:p>
        </w:tc>
      </w:tr>
    </w:tbl>
    <w:p>
      <w:pPr>
        <w:spacing w:before="80" w:after="80"/>
      </w:pPr>
    </w:p>
    <w:p>
      <w:pPr>
        <w:pStyle w:val="Heading1"/>
        <w:spacing w:before="320" w:after="160"/>
      </w:pPr>
      <w:r>
        <w:rPr>
          <w:rFonts w:ascii="Arial" w:cs="Arial" w:eastAsia="Arial" w:hAnsi="Arial"/>
          <w:b/>
          <w:bCs/>
          <w:color w:val="1F4E79"/>
          <w:sz w:val="32"/>
          <w:szCs w:val="32"/>
        </w:rPr>
        <w:t xml:space="preserve">10. Valor para el Negocio</w:t>
      </w:r>
    </w:p>
    <w:p>
      <w:pPr>
        <w:spacing w:before="80" w:after="80"/>
      </w:pPr>
      <w:r>
        <w:rPr>
          <w:rFonts w:ascii="Arial" w:cs="Arial" w:eastAsia="Arial" w:hAnsi="Arial"/>
          <w:sz w:val="22"/>
          <w:szCs w:val="22"/>
        </w:rPr>
        <w:t xml:space="preserve">Con un error promedio de $20.70 por predicción, el modelo permite:</w:t>
      </w:r>
    </w:p>
    <w:p>
      <w:pPr>
        <w:pStyle w:val="ListParagraph"/>
        <w:numPr>
          <w:ilvl w:val="0"/>
          <w:numId w:val="2"/>
        </w:numPr>
        <w:spacing w:before="60" w:after="60"/>
      </w:pPr>
      <w:r>
        <w:rPr>
          <w:rFonts w:ascii="Arial" w:cs="Arial" w:eastAsia="Arial" w:hAnsi="Arial"/>
          <w:sz w:val="22"/>
          <w:szCs w:val="22"/>
        </w:rPr>
        <w:t xml:space="preserve">Personalizar descuentos y cupones según el perfil de gasto esperado por cliente.</w:t>
      </w:r>
    </w:p>
    <w:p>
      <w:pPr>
        <w:pStyle w:val="ListParagraph"/>
        <w:numPr>
          <w:ilvl w:val="0"/>
          <w:numId w:val="2"/>
        </w:numPr>
        <w:spacing w:before="60" w:after="60"/>
      </w:pPr>
      <w:r>
        <w:rPr>
          <w:rFonts w:ascii="Arial" w:cs="Arial" w:eastAsia="Arial" w:hAnsi="Arial"/>
          <w:sz w:val="22"/>
          <w:szCs w:val="22"/>
        </w:rPr>
        <w:t xml:space="preserve">Priorizar clientes con alto potencial de compra en campañas de marketing paid.</w:t>
      </w:r>
    </w:p>
    <w:p>
      <w:pPr>
        <w:pStyle w:val="ListParagraph"/>
        <w:numPr>
          <w:ilvl w:val="0"/>
          <w:numId w:val="2"/>
        </w:numPr>
        <w:spacing w:before="60" w:after="60"/>
      </w:pPr>
      <w:r>
        <w:rPr>
          <w:rFonts w:ascii="Arial" w:cs="Arial" w:eastAsia="Arial" w:hAnsi="Arial"/>
          <w:sz w:val="22"/>
          <w:szCs w:val="22"/>
        </w:rPr>
        <w:t xml:space="preserve">Detectar clientes en riesgo de churn: alta inactividad combinada con predicción de gasto bajo.</w:t>
      </w:r>
    </w:p>
    <w:p>
      <w:pPr>
        <w:pStyle w:val="ListParagraph"/>
        <w:numPr>
          <w:ilvl w:val="0"/>
          <w:numId w:val="2"/>
        </w:numPr>
        <w:spacing w:before="60" w:after="60"/>
      </w:pPr>
      <w:r>
        <w:rPr>
          <w:rFonts w:ascii="Arial" w:cs="Arial" w:eastAsia="Arial" w:hAnsi="Arial"/>
          <w:sz w:val="22"/>
          <w:szCs w:val="22"/>
        </w:rPr>
        <w:t xml:space="preserve">Optimizar el inventory planning anticipando demanda por segmento de clientes.</w:t>
      </w:r>
    </w:p>
    <w:p>
      <w:pPr>
        <w:spacing w:before="80" w:after="80"/>
      </w:pPr>
    </w:p>
    <w:p>
      <w:pPr>
        <w:spacing w:before="80" w:after="80"/>
      </w:pPr>
    </w:p>
    <w:p>
      <w:pPr>
        <w:pBdr>
          <w:top w:val="single" w:color="2E86AB" w:sz="4" w:space="1"/>
        </w:pBdr>
        <w:spacing w:before="480"/>
        <w:jc w:val="center"/>
      </w:pPr>
      <w:r>
        <w:rPr>
          <w:rFonts w:ascii="Arial" w:cs="Arial" w:eastAsia="Arial" w:hAnsi="Arial"/>
          <w:i/>
          <w:iCs/>
          <w:color w:val="888888"/>
          <w:sz w:val="18"/>
          <w:szCs w:val="18"/>
        </w:rPr>
        <w:t xml:space="preserve">Informe generado — Módulo 6, Alkemy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1"/>
      </w:pBdr>
      <w:spacing w:before="120"/>
      <w:jc w:val="center"/>
    </w:pPr>
    <w:r>
      <w:rPr>
        <w:rFonts w:ascii="Arial" w:cs="Arial" w:eastAsia="Arial" w:hAnsi="Arial"/>
        <w:color w:val="666666"/>
        <w:sz w:val="18"/>
        <w:szCs w:val="18"/>
      </w:rPr>
      <w:t xml:space="preserve">Marzo 2026  |  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spacing w:after="120"/>
    </w:pPr>
    <w:r>
      <w:rPr>
        <w:rFonts w:ascii="Arial" w:cs="Arial" w:eastAsia="Arial" w:hAnsi="Arial"/>
        <w:color w:val="666666"/>
        <w:sz w:val="18"/>
        <w:szCs w:val="18"/>
      </w:rPr>
      <w:t xml:space="preserve">Predicción de Gasto en Clientes E-commerce  |  Módulo 6 — Alkemy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2026-03-13T17:57:12.491Z</dcterms:created>
  <dcterms:modified xsi:type="dcterms:W3CDTF">2026-03-13T17:57:12.492Z</dcterms:modified>
</cp:coreProperties>
</file>

<file path=docProps/custom.xml><?xml version="1.0" encoding="utf-8"?>
<Properties xmlns="http://schemas.openxmlformats.org/officeDocument/2006/custom-properties" xmlns:vt="http://schemas.openxmlformats.org/officeDocument/2006/docPropsVTypes"/>
</file>