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200" w:after="100"/>
        <w:jc w:val="center"/>
      </w:pPr>
      <w:r>
        <w:rPr>
          <w:rFonts w:ascii="Arial" w:cs="Arial" w:eastAsia="Arial" w:hAnsi="Arial"/>
          <w:b/>
          <w:bCs/>
          <w:color w:val="1F4E79"/>
          <w:sz w:val="56"/>
          <w:szCs w:val="56"/>
        </w:rPr>
        <w:t xml:space="preserve">DATANOVA</w:t>
      </w:r>
    </w:p>
    <w:p>
      <w:pPr>
        <w:spacing w:before="0" w:after="80"/>
        <w:jc w:val="center"/>
      </w:pPr>
      <w:r>
        <w:rPr>
          <w:rFonts w:ascii="Arial" w:cs="Arial" w:eastAsia="Arial" w:hAnsi="Arial"/>
          <w:i/>
          <w:iCs/>
          <w:color w:val="2E75B6"/>
          <w:sz w:val="26"/>
          <w:szCs w:val="26"/>
        </w:rPr>
        <w:t xml:space="preserve">Investigación de Mercados &amp; Análisis de Datos</w:t>
      </w:r>
    </w:p>
    <w:p>
      <w:pPr>
        <w:pBdr>
          <w:bottom w:val="single" w:color="2E75B6" w:sz="12" w:space="4"/>
        </w:pBdr>
        <w:spacing w:before="0" w:after="400"/>
        <w:jc w:val="center"/>
      </w:pPr>
    </w:p>
    <w:p>
      <w:pPr>
        <w:spacing w:before="400" w:after="200"/>
        <w:jc w:val="center"/>
      </w:pPr>
      <w:r>
        <w:rPr>
          <w:rFonts w:ascii="Arial" w:cs="Arial" w:eastAsia="Arial" w:hAnsi="Arial"/>
          <w:b/>
          <w:bCs/>
          <w:color w:val="1F4E79"/>
          <w:sz w:val="36"/>
          <w:szCs w:val="36"/>
        </w:rPr>
        <w:t xml:space="preserve">INFORME DE ANÁLISIS ESTADÍSTICO</w:t>
      </w:r>
    </w:p>
    <w:p>
      <w:pPr>
        <w:spacing w:before="0" w:after="120"/>
        <w:jc w:val="center"/>
      </w:pPr>
      <w:r>
        <w:rPr>
          <w:rFonts w:ascii="Arial" w:cs="Arial" w:eastAsia="Arial" w:hAnsi="Arial"/>
          <w:b/>
          <w:bCs/>
          <w:color w:val="2E75B6"/>
          <w:sz w:val="30"/>
          <w:szCs w:val="30"/>
        </w:rPr>
        <w:t xml:space="preserve">Inferencia e Intervalos de Confianza para la Media</w:t>
      </w:r>
    </w:p>
    <w:p>
      <w:pPr>
        <w:spacing w:before="6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Cliente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Cadena de Supermercados</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Analista</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DataNova Analytics Team</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Objetivo</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Estimación del gasto medio semanal</w:t>
            </w:r>
          </w:p>
        </w:tc>
      </w:tr>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Confianza requerida</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95% (con extensión al 99%)</w:t>
            </w:r>
          </w:p>
        </w:tc>
      </w:tr>
    </w:tbl>
    <w:p>
      <w:r>
        <w:br w:type="page"/>
      </w:r>
    </w:p>
    <w:p>
      <w:pPr>
        <w:pStyle w:val="Heading1"/>
        <w:pBdr>
          <w:bottom w:val="single" w:color="2E75B6" w:sz="8" w:space="4"/>
        </w:pBdr>
        <w:spacing w:before="300" w:after="150"/>
      </w:pPr>
      <w:r>
        <w:rPr>
          <w:rFonts w:ascii="Arial" w:cs="Arial" w:eastAsia="Arial" w:hAnsi="Arial"/>
          <w:b/>
          <w:bCs/>
          <w:color w:val="1F4E79"/>
          <w:sz w:val="32"/>
          <w:szCs w:val="32"/>
        </w:rPr>
        <w:t xml:space="preserve">1. Identificación de Datos Clave</w:t>
      </w:r>
    </w:p>
    <w:p>
      <w:pPr>
        <w:spacing w:before="80" w:after="80"/>
        <w:jc w:val="both"/>
      </w:pPr>
      <w:r>
        <w:rPr>
          <w:rFonts w:ascii="Arial" w:cs="Arial" w:eastAsia="Arial" w:hAnsi="Arial"/>
          <w:b w:val="false"/>
          <w:bCs w:val="false"/>
          <w:i w:val="false"/>
          <w:iCs w:val="false"/>
          <w:color w:val="000000"/>
          <w:sz w:val="22"/>
          <w:szCs w:val="22"/>
        </w:rPr>
        <w:t xml:space="preserve">Se cuenta con la siguiente muestra recolectada aleatoriamente por el equipo de DataNova sobre el gasto semanal en productos de consumo masivo:</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Parámetro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Valor</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Tamaño de muestra (n)</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60 clientes</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Gasto medio muestral (x̄)</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$132.50 USD</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Desviación estándar muestral (s)</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15.40 USD</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Desviación estándar poblacional (σ)</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DESCONOCIDA</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Nivel de confianza principal</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95%</w:t>
            </w:r>
          </w:p>
        </w:tc>
      </w:tr>
      <w:tr>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sz w:val="22"/>
                <w:szCs w:val="22"/>
              </w:rPr>
              <w:t xml:space="preserve">Grados de libertad (gl = n − 1)</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59</w:t>
            </w:r>
          </w:p>
        </w:tc>
      </w:tr>
    </w:tbl>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2. Elección de Distribución Estadística</w:t>
      </w:r>
    </w:p>
    <w:p>
      <w:pPr>
        <w:spacing w:before="80" w:after="80"/>
        <w:jc w:val="both"/>
      </w:pPr>
      <w:r>
        <w:rPr>
          <w:rFonts w:ascii="Arial" w:cs="Arial" w:eastAsia="Arial" w:hAnsi="Arial"/>
          <w:b w:val="false"/>
          <w:bCs w:val="false"/>
          <w:i w:val="false"/>
          <w:iCs w:val="false"/>
          <w:color w:val="000000"/>
          <w:sz w:val="22"/>
          <w:szCs w:val="22"/>
        </w:rPr>
        <w:t xml:space="preserve">La selección de la distribución correcta es fundamental para garantizar la validez del intervalo de confianza. Se analizaron los siguientes criterios: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Criterio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Evaluación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Tamaño de muestra (n ≥ 30)</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2"/>
                <w:szCs w:val="22"/>
              </w:rPr>
              <w:t xml:space="preserve">✔ n = 60 (cumple TCL)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Desviación estándar poblacional (σ)</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 DESCONOCIDA → se usa 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Distribución seleccionada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2"/>
                <w:szCs w:val="22"/>
              </w:rPr>
              <w:t xml:space="preserve">t-Student con 59 gl</w:t>
            </w:r>
          </w:p>
        </w:tc>
      </w:tr>
    </w:tbl>
    <w:p>
      <w:pPr>
        <w:spacing w:before="120"/>
      </w:pPr>
    </w:p>
    <w:p>
      <w:pPr>
        <w:spacing w:before="80" w:after="80"/>
        <w:jc w:val="both"/>
      </w:pPr>
      <w:r>
        <w:rPr>
          <w:rFonts w:ascii="Arial" w:cs="Arial" w:eastAsia="Arial" w:hAnsi="Arial"/>
          <w:b/>
          <w:bCs/>
          <w:i w:val="false"/>
          <w:iCs w:val="false"/>
          <w:color w:val="000000"/>
          <w:sz w:val="22"/>
          <w:szCs w:val="22"/>
        </w:rPr>
        <w:t xml:space="preserve">Justificación: </w:t>
      </w:r>
      <w:r>
        <w:rPr>
          <w:rFonts w:ascii="Arial" w:cs="Arial" w:eastAsia="Arial" w:hAnsi="Arial"/>
          <w:b w:val="false"/>
          <w:bCs w:val="false"/>
          <w:i w:val="false"/>
          <w:iCs w:val="false"/>
          <w:color w:val="000000"/>
          <w:sz w:val="22"/>
          <w:szCs w:val="22"/>
        </w:rPr>
        <w:t xml:space="preserve">Aunque n = 60 ≥ 30 permite invocar el Teorema Central del Límite, la buena práctica estadística establece que cuando la desviación estándar poblacional (σ) es </w:t>
      </w:r>
      <w:r>
        <w:rPr>
          <w:rFonts w:ascii="Arial" w:cs="Arial" w:eastAsia="Arial" w:hAnsi="Arial"/>
          <w:b/>
          <w:bCs/>
          <w:i w:val="false"/>
          <w:iCs w:val="false"/>
          <w:color w:val="000000"/>
          <w:sz w:val="22"/>
          <w:szCs w:val="22"/>
        </w:rPr>
        <w:t xml:space="preserve">desconocida</w:t>
      </w:r>
      <w:r>
        <w:rPr>
          <w:rFonts w:ascii="Arial" w:cs="Arial" w:eastAsia="Arial" w:hAnsi="Arial"/>
          <w:b w:val="false"/>
          <w:bCs w:val="false"/>
          <w:i w:val="false"/>
          <w:iCs w:val="false"/>
          <w:color w:val="000000"/>
          <w:sz w:val="22"/>
          <w:szCs w:val="22"/>
        </w:rPr>
        <w:t xml:space="preserve"> y debe estimarse con la desviación muestral (s), se debe utilizar la distribución </w:t>
      </w:r>
      <w:r>
        <w:rPr>
          <w:rFonts w:ascii="Arial" w:cs="Arial" w:eastAsia="Arial" w:hAnsi="Arial"/>
          <w:b/>
          <w:bCs/>
          <w:i w:val="false"/>
          <w:iCs w:val="false"/>
          <w:color w:val="1F4E79"/>
          <w:sz w:val="22"/>
          <w:szCs w:val="22"/>
        </w:rPr>
        <w:t xml:space="preserve">t-Student</w:t>
      </w:r>
      <w:r>
        <w:rPr>
          <w:rFonts w:ascii="Arial" w:cs="Arial" w:eastAsia="Arial" w:hAnsi="Arial"/>
          <w:b w:val="false"/>
          <w:bCs w:val="false"/>
          <w:i w:val="false"/>
          <w:iCs w:val="false"/>
          <w:color w:val="000000"/>
          <w:sz w:val="22"/>
          <w:szCs w:val="22"/>
        </w:rPr>
        <w:t xml:space="preserve">. Esta distribución tiene colas más pesadas que la normal, lo que proporciona mayor cobertura de incertidumbre al estimar σ desde la muestra.</w:t>
      </w:r>
    </w:p>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3. Cálculo del Intervalo de Confianza al 95%</w:t>
      </w:r>
    </w:p>
    <w:p>
      <w:pPr>
        <w:pStyle w:val="Heading2"/>
        <w:spacing w:before="220" w:after="100"/>
      </w:pPr>
      <w:r>
        <w:rPr>
          <w:rFonts w:ascii="Arial" w:cs="Arial" w:eastAsia="Arial" w:hAnsi="Arial"/>
          <w:b/>
          <w:bCs/>
          <w:color w:val="2E75B6"/>
          <w:sz w:val="26"/>
          <w:szCs w:val="26"/>
        </w:rPr>
        <w:t xml:space="preserve">3.1 Fórmula aplicada</w:t>
      </w:r>
    </w:p>
    <w:p>
      <w:pPr>
        <w:spacing w:before="80" w:after="80"/>
        <w:jc w:val="both"/>
      </w:pPr>
      <w:r>
        <w:rPr>
          <w:rFonts w:ascii="Arial" w:cs="Arial" w:eastAsia="Arial" w:hAnsi="Arial"/>
          <w:b w:val="false"/>
          <w:bCs w:val="false"/>
          <w:i w:val="false"/>
          <w:iCs w:val="false"/>
          <w:color w:val="000000"/>
          <w:sz w:val="22"/>
          <w:szCs w:val="22"/>
        </w:rPr>
        <w:t xml:space="preserve">Con desviación estándar desconocida, se aplica la siguiente fórmula:</w:t>
      </w:r>
    </w:p>
    <w:p>
      <w:pPr>
        <w:spacing w:before="120" w:after="120"/>
        <w:jc w:val="center"/>
      </w:pPr>
      <w:r>
        <w:rPr>
          <w:rFonts w:ascii="Courier New" w:cs="Courier New" w:eastAsia="Courier New" w:hAnsi="Courier New"/>
          <w:b/>
          <w:bCs/>
          <w:color w:val="1F4E79"/>
          <w:sz w:val="28"/>
          <w:szCs w:val="28"/>
        </w:rPr>
        <w:t xml:space="preserve">IC = x̄  ±  t(α/2, gl)  ×  (s / √n)</w:t>
      </w:r>
    </w:p>
    <w:p>
      <w:pPr>
        <w:pStyle w:val="Heading2"/>
        <w:spacing w:before="220" w:after="100"/>
      </w:pPr>
      <w:r>
        <w:rPr>
          <w:rFonts w:ascii="Arial" w:cs="Arial" w:eastAsia="Arial" w:hAnsi="Arial"/>
          <w:b/>
          <w:bCs/>
          <w:color w:val="2E75B6"/>
          <w:sz w:val="26"/>
          <w:szCs w:val="26"/>
        </w:rPr>
        <w:t xml:space="preserve">3.2 Cálculo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Resultado</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Error estándar (SE)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SE = 15.40 / √60 = 1.9881 USD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 Nivel α y α/2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α = 0.05  →  α/2 = 0.025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Valor crítico 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22"/>
                <w:szCs w:val="22"/>
              </w:rPr>
              <w:t xml:space="preserve">t(0.025, 59) = 2.0010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 Margen de error (E)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2"/>
                <w:szCs w:val="22"/>
              </w:rPr>
              <w:t xml:space="preserve">E = 2.0010 × 1.9881 = 3.9782 USD</w:t>
            </w:r>
          </w:p>
        </w:tc>
      </w:tr>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5. Intervalo de Confianza 95%</w:t>
            </w:r>
          </w:p>
        </w:tc>
        <w:tc>
          <w:tcPr>
            <w:tcW w:type="dxa" w:w="58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Courier New" w:cs="Courier New" w:eastAsia="Courier New" w:hAnsi="Courier New"/>
                <w:b/>
                <w:bCs/>
                <w:color w:val="1A5C2C"/>
                <w:sz w:val="24"/>
                <w:szCs w:val="24"/>
              </w:rPr>
              <w:t xml:space="preserve">IC = [ $128.52  ,  $136.48 ]  USD</w:t>
            </w:r>
          </w:p>
        </w:tc>
      </w:tr>
    </w:tbl>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4. Interpretación del Intervalo de Confianza</w:t>
      </w:r>
    </w:p>
    <w:p>
      <w:pPr>
        <w:spacing w:before="80" w:after="80"/>
        <w:jc w:val="both"/>
      </w:pPr>
      <w:r>
        <w:rPr>
          <w:rFonts w:ascii="Arial" w:cs="Arial" w:eastAsia="Arial" w:hAnsi="Arial"/>
          <w:b w:val="false"/>
          <w:bCs w:val="false"/>
          <w:i w:val="false"/>
          <w:iCs w:val="false"/>
          <w:color w:val="000000"/>
          <w:sz w:val="22"/>
          <w:szCs w:val="22"/>
        </w:rPr>
        <w:t xml:space="preserve">Con un </w:t>
      </w:r>
      <w:r>
        <w:rPr>
          <w:rFonts w:ascii="Arial" w:cs="Arial" w:eastAsia="Arial" w:hAnsi="Arial"/>
          <w:b/>
          <w:bCs/>
          <w:i w:val="false"/>
          <w:iCs w:val="false"/>
          <w:color w:val="1F4E79"/>
          <w:sz w:val="22"/>
          <w:szCs w:val="22"/>
        </w:rPr>
        <w:t xml:space="preserve">95% de confianza</w:t>
      </w:r>
      <w:r>
        <w:rPr>
          <w:rFonts w:ascii="Arial" w:cs="Arial" w:eastAsia="Arial" w:hAnsi="Arial"/>
          <w:b w:val="false"/>
          <w:bCs w:val="false"/>
          <w:i w:val="false"/>
          <w:iCs w:val="false"/>
          <w:color w:val="000000"/>
          <w:sz w:val="22"/>
          <w:szCs w:val="22"/>
        </w:rPr>
        <w:t xml:space="preserve">, se estima que el gasto medio semanal </w:t>
      </w:r>
      <w:r>
        <w:rPr>
          <w:rFonts w:ascii="Arial" w:cs="Arial" w:eastAsia="Arial" w:hAnsi="Arial"/>
          <w:b/>
          <w:bCs/>
          <w:i w:val="false"/>
          <w:iCs w:val="false"/>
          <w:color w:val="000000"/>
          <w:sz w:val="22"/>
          <w:szCs w:val="22"/>
        </w:rPr>
        <w:t xml:space="preserve">real</w:t>
      </w:r>
      <w:r>
        <w:rPr>
          <w:rFonts w:ascii="Arial" w:cs="Arial" w:eastAsia="Arial" w:hAnsi="Arial"/>
          <w:b w:val="false"/>
          <w:bCs w:val="false"/>
          <w:i w:val="false"/>
          <w:iCs w:val="false"/>
          <w:color w:val="000000"/>
          <w:sz w:val="22"/>
          <w:szCs w:val="22"/>
        </w:rPr>
        <w:t xml:space="preserve"> de todos los clientes frecuentes de la cadena de supermercados se encuentra entre </w:t>
      </w:r>
      <w:r>
        <w:rPr>
          <w:rFonts w:ascii="Arial" w:cs="Arial" w:eastAsia="Arial" w:hAnsi="Arial"/>
          <w:b/>
          <w:bCs/>
          <w:i w:val="false"/>
          <w:iCs w:val="false"/>
          <w:color w:val="1F4E79"/>
          <w:sz w:val="22"/>
          <w:szCs w:val="22"/>
        </w:rPr>
        <w:t xml:space="preserve">$128.52 y $136.48 USD</w:t>
      </w:r>
      <w:r>
        <w:rPr>
          <w:rFonts w:ascii="Arial" w:cs="Arial" w:eastAsia="Arial" w:hAnsi="Arial"/>
          <w:b w:val="false"/>
          <w:bCs w:val="false"/>
          <w:i w:val="false"/>
          <w:iCs w:val="false"/>
          <w:color w:val="000000"/>
          <w:sz w:val="22"/>
          <w:szCs w:val="22"/>
        </w:rPr>
        <w:t xml:space="preserve">.</w:t>
      </w:r>
    </w:p>
    <w:p>
      <w:pPr>
        <w:spacing w:before="120"/>
      </w:pPr>
    </w:p>
    <w:p>
      <w:pPr>
        <w:spacing w:before="80" w:after="80"/>
        <w:jc w:val="both"/>
      </w:pPr>
      <w:r>
        <w:rPr>
          <w:rFonts w:ascii="Arial" w:cs="Arial" w:eastAsia="Arial" w:hAnsi="Arial"/>
          <w:b w:val="false"/>
          <w:bCs w:val="false"/>
          <w:i w:val="false"/>
          <w:iCs w:val="false"/>
          <w:color w:val="000000"/>
          <w:sz w:val="22"/>
          <w:szCs w:val="22"/>
        </w:rPr>
        <w:t xml:space="preserve">Esto significa que:</w:t>
      </w:r>
    </w:p>
    <w:p>
      <w:pPr>
        <w:pStyle w:val="ListParagraph"/>
        <w:numPr>
          <w:ilvl w:val="0"/>
          <w:numId w:val="2"/>
        </w:numPr>
        <w:spacing w:before="60" w:after="60"/>
      </w:pPr>
      <w:r>
        <w:rPr>
          <w:rFonts w:ascii="Arial" w:cs="Arial" w:eastAsia="Arial" w:hAnsi="Arial"/>
          <w:b w:val="false"/>
          <w:bCs w:val="false"/>
          <w:color w:val="000000"/>
          <w:sz w:val="22"/>
          <w:szCs w:val="22"/>
        </w:rPr>
        <w:t xml:space="preserve">Si el proceso de muestreo se repitiera 100 veces con muestras de n = 60, en 95 de esos casos el intervalo calculado contendría la verdadera media poblacional.</w:t>
      </w:r>
    </w:p>
    <w:p>
      <w:pPr>
        <w:pStyle w:val="ListParagraph"/>
        <w:numPr>
          <w:ilvl w:val="0"/>
          <w:numId w:val="2"/>
        </w:numPr>
        <w:spacing w:before="60" w:after="60"/>
      </w:pPr>
      <w:r>
        <w:rPr>
          <w:rFonts w:ascii="Arial" w:cs="Arial" w:eastAsia="Arial" w:hAnsi="Arial"/>
          <w:b w:val="false"/>
          <w:bCs w:val="false"/>
          <w:color w:val="000000"/>
          <w:sz w:val="22"/>
          <w:szCs w:val="22"/>
        </w:rPr>
        <w:t xml:space="preserve">No significa que hay un 95% de probabilidad de que la media esté en ESTE intervalo específico; la media poblacional es un valor fijo desconocido.</w:t>
      </w:r>
    </w:p>
    <w:p>
      <w:pPr>
        <w:pStyle w:val="ListParagraph"/>
        <w:numPr>
          <w:ilvl w:val="0"/>
          <w:numId w:val="2"/>
        </w:numPr>
        <w:spacing w:before="60" w:after="60"/>
      </w:pPr>
      <w:r>
        <w:rPr>
          <w:rFonts w:ascii="Arial" w:cs="Arial" w:eastAsia="Arial" w:hAnsi="Arial"/>
          <w:b w:val="false"/>
          <w:bCs w:val="false"/>
          <w:color w:val="000000"/>
          <w:sz w:val="22"/>
          <w:szCs w:val="22"/>
        </w:rPr>
        <w:t xml:space="preserve">El margen de error de ±$3.98 USD refleja la incertidumbre derivada de estimar σ con s en una muestra finita.</w:t>
      </w:r>
    </w:p>
    <w:p>
      <w:pPr>
        <w:spacing w:before="160"/>
      </w:pPr>
    </w:p>
    <w:p>
      <w:pPr>
        <w:pStyle w:val="Heading2"/>
        <w:spacing w:before="220" w:after="100"/>
      </w:pPr>
      <w:r>
        <w:rPr>
          <w:rFonts w:ascii="Arial" w:cs="Arial" w:eastAsia="Arial" w:hAnsi="Arial"/>
          <w:b/>
          <w:bCs/>
          <w:color w:val="2E75B6"/>
          <w:sz w:val="26"/>
          <w:szCs w:val="26"/>
        </w:rPr>
        <w:t xml:space="preserve">Implicaciones para la gerencia:</w:t>
      </w:r>
    </w:p>
    <w:p>
      <w:pPr>
        <w:pStyle w:val="ListParagraph"/>
        <w:numPr>
          <w:ilvl w:val="0"/>
          <w:numId w:val="2"/>
        </w:numPr>
        <w:spacing w:before="60" w:after="60"/>
      </w:pPr>
      <w:r>
        <w:rPr>
          <w:rFonts w:ascii="Arial" w:cs="Arial" w:eastAsia="Arial" w:hAnsi="Arial"/>
          <w:b w:val="false"/>
          <w:bCs w:val="false"/>
          <w:color w:val="000000"/>
          <w:sz w:val="22"/>
          <w:szCs w:val="22"/>
        </w:rPr>
        <w:t xml:space="preserve">La estimación puntual ($132.50) es el mejor estimador del gasto promedio real.</w:t>
      </w:r>
    </w:p>
    <w:p>
      <w:pPr>
        <w:pStyle w:val="ListParagraph"/>
        <w:numPr>
          <w:ilvl w:val="0"/>
          <w:numId w:val="2"/>
        </w:numPr>
        <w:spacing w:before="60" w:after="60"/>
      </w:pPr>
      <w:r>
        <w:rPr>
          <w:rFonts w:ascii="Arial" w:cs="Arial" w:eastAsia="Arial" w:hAnsi="Arial"/>
          <w:b w:val="false"/>
          <w:bCs w:val="false"/>
          <w:color w:val="000000"/>
          <w:sz w:val="22"/>
          <w:szCs w:val="22"/>
        </w:rPr>
        <w:t xml:space="preserve">El límite inferior ($128.52) representa el escenario más conservador para planificación de stock.</w:t>
      </w:r>
    </w:p>
    <w:p>
      <w:pPr>
        <w:pStyle w:val="ListParagraph"/>
        <w:numPr>
          <w:ilvl w:val="0"/>
          <w:numId w:val="2"/>
        </w:numPr>
        <w:spacing w:before="60" w:after="60"/>
      </w:pPr>
      <w:r>
        <w:rPr>
          <w:rFonts w:ascii="Arial" w:cs="Arial" w:eastAsia="Arial" w:hAnsi="Arial"/>
          <w:b w:val="false"/>
          <w:bCs w:val="false"/>
          <w:color w:val="000000"/>
          <w:sz w:val="22"/>
          <w:szCs w:val="22"/>
        </w:rPr>
        <w:t xml:space="preserve">El límite superior ($136.48) puede usarse para proyectar escenarios optimistas de ingresos.</w:t>
      </w:r>
    </w:p>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5. Extensión: Intervalo de Confianza al 99%</w:t>
      </w:r>
    </w:p>
    <w:p>
      <w:pPr>
        <w:spacing w:before="80" w:after="80"/>
        <w:jc w:val="both"/>
      </w:pPr>
      <w:r>
        <w:rPr>
          <w:rFonts w:ascii="Arial" w:cs="Arial" w:eastAsia="Arial" w:hAnsi="Arial"/>
          <w:b w:val="false"/>
          <w:bCs w:val="false"/>
          <w:i w:val="false"/>
          <w:iCs w:val="false"/>
          <w:color w:val="000000"/>
          <w:sz w:val="22"/>
          <w:szCs w:val="22"/>
        </w:rPr>
        <w:t xml:space="preserve">Repitiendo el cálculo con un nivel de confianza del 99%:</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Indicador</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IC al 95%</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IC al 99%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Valor crítico t</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t = 2.0010</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t = 2.6618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Margen de error</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±$3.98 USD</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±$5.29 USD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Límite inferior</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$128.52 USD</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$127.21 USD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Límite superior</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$136.48 USD</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$137.79 USD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2"/>
                <w:szCs w:val="22"/>
              </w:rPr>
              <w:t xml:space="preserve">Amplitud total</w:t>
            </w:r>
          </w:p>
        </w:tc>
        <w:tc>
          <w:tcPr>
            <w:tcW w:type="dxa" w:w="31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$7.96 USD</w:t>
            </w:r>
          </w:p>
        </w:tc>
        <w:tc>
          <w:tcPr>
            <w:tcW w:type="dxa" w:w="31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$10.58 USD</w:t>
            </w:r>
          </w:p>
        </w:tc>
      </w:tr>
    </w:tbl>
    <w:p>
      <w:pPr>
        <w:spacing w:before="140"/>
      </w:pPr>
    </w:p>
    <w:p>
      <w:pPr>
        <w:pStyle w:val="Heading2"/>
        <w:spacing w:before="220" w:after="100"/>
      </w:pPr>
      <w:r>
        <w:rPr>
          <w:rFonts w:ascii="Arial" w:cs="Arial" w:eastAsia="Arial" w:hAnsi="Arial"/>
          <w:b/>
          <w:bCs/>
          <w:color w:val="2E75B6"/>
          <w:sz w:val="26"/>
          <w:szCs w:val="26"/>
        </w:rPr>
        <w:t xml:space="preserve">Análisis comparativo:</w:t>
      </w:r>
    </w:p>
    <w:p>
      <w:pPr>
        <w:spacing w:before="80" w:after="80"/>
        <w:jc w:val="both"/>
      </w:pPr>
      <w:r>
        <w:rPr>
          <w:rFonts w:ascii="Arial" w:cs="Arial" w:eastAsia="Arial" w:hAnsi="Arial"/>
          <w:b w:val="false"/>
          <w:bCs w:val="false"/>
          <w:i w:val="false"/>
          <w:iCs w:val="false"/>
          <w:color w:val="000000"/>
          <w:sz w:val="22"/>
          <w:szCs w:val="22"/>
        </w:rPr>
        <w:t xml:space="preserve">Al aumentar el nivel de confianza del 95% al 99%, el intervalo se amplía en </w:t>
      </w:r>
      <w:r>
        <w:rPr>
          <w:rFonts w:ascii="Arial" w:cs="Arial" w:eastAsia="Arial" w:hAnsi="Arial"/>
          <w:b/>
          <w:bCs/>
          <w:i w:val="false"/>
          <w:iCs w:val="false"/>
          <w:color w:val="000000"/>
          <w:sz w:val="22"/>
          <w:szCs w:val="22"/>
        </w:rPr>
        <w:t xml:space="preserve">$2.63 USD</w:t>
      </w:r>
      <w:r>
        <w:rPr>
          <w:rFonts w:ascii="Arial" w:cs="Arial" w:eastAsia="Arial" w:hAnsi="Arial"/>
          <w:b w:val="false"/>
          <w:bCs w:val="false"/>
          <w:i w:val="false"/>
          <w:iCs w:val="false"/>
          <w:color w:val="000000"/>
          <w:sz w:val="22"/>
          <w:szCs w:val="22"/>
        </w:rPr>
        <w:t xml:space="preserve"> (de una amplitud de $7.96 a $10.58). Esto ilustra el trade-off fundamental de la inferencia estadística: </w:t>
      </w:r>
      <w:r>
        <w:rPr>
          <w:rFonts w:ascii="Arial" w:cs="Arial" w:eastAsia="Arial" w:hAnsi="Arial"/>
          <w:b/>
          <w:bCs/>
          <w:i w:val="false"/>
          <w:iCs w:val="false"/>
          <w:color w:val="1F4E79"/>
          <w:sz w:val="22"/>
          <w:szCs w:val="22"/>
        </w:rPr>
        <w:t xml:space="preserve">mayor confianza implica menor precisión</w:t>
      </w:r>
      <w:r>
        <w:rPr>
          <w:rFonts w:ascii="Arial" w:cs="Arial" w:eastAsia="Arial" w:hAnsi="Arial"/>
          <w:b w:val="false"/>
          <w:bCs w:val="false"/>
          <w:i w:val="false"/>
          <w:iCs w:val="false"/>
          <w:color w:val="000000"/>
          <w:sz w:val="22"/>
          <w:szCs w:val="22"/>
        </w:rPr>
        <w:t xml:space="preserve">. Para decisiones comerciales de rutina, el IC al 95% ofrece un balance adecuado entre confianza y precisión.</w:t>
      </w:r>
    </w:p>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6. Recomendación Ejecutiva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jc w:val="center"/>
            </w:pPr>
            <w:r>
              <w:rPr>
                <w:rFonts w:ascii="Arial" w:cs="Arial" w:eastAsia="Arial" w:hAnsi="Arial"/>
                <w:b/>
                <w:bCs/>
                <w:color w:val="1F4E79"/>
                <w:sz w:val="26"/>
                <w:szCs w:val="26"/>
              </w:rPr>
              <w:t xml:space="preserve">RESUMEN EJECUTIVO</w:t>
            </w:r>
          </w:p>
          <w:p>
            <w:pPr>
              <w:spacing w:before="100"/>
            </w:pPr>
            <w:r>
              <w:rPr>
                <w:rFonts w:ascii="Arial" w:cs="Arial" w:eastAsia="Arial" w:hAnsi="Arial"/>
                <w:sz w:val="22"/>
                <w:szCs w:val="22"/>
              </w:rPr>
              <w:t xml:space="preserve">Con un 95% de confianza, el gasto medio semanal de los clientes frecuentes se estima entre $128.52 y $136.48 USD, con una media puntual de $132.50 USD.</w:t>
            </w:r>
          </w:p>
        </w:tc>
      </w:tr>
    </w:tbl>
    <w:p>
      <w:pPr>
        <w:spacing w:before="160"/>
      </w:pPr>
    </w:p>
    <w:p>
      <w:pPr>
        <w:spacing w:before="80" w:after="80"/>
        <w:jc w:val="both"/>
      </w:pPr>
      <w:r>
        <w:rPr>
          <w:rFonts w:ascii="Arial" w:cs="Arial" w:eastAsia="Arial" w:hAnsi="Arial"/>
          <w:b/>
          <w:bCs/>
          <w:i w:val="false"/>
          <w:iCs w:val="false"/>
          <w:color w:val="000000"/>
          <w:sz w:val="22"/>
          <w:szCs w:val="22"/>
        </w:rPr>
        <w:t xml:space="preserve">Decisiones comerciales recomendadas basadas en este análisis:</w:t>
      </w:r>
    </w:p>
    <w:p>
      <w:pPr>
        <w:pStyle w:val="ListParagraph"/>
        <w:numPr>
          <w:ilvl w:val="0"/>
          <w:numId w:val="2"/>
        </w:numPr>
        <w:spacing w:before="60" w:after="60"/>
      </w:pPr>
      <w:r>
        <w:rPr>
          <w:rFonts w:ascii="Arial" w:cs="Arial" w:eastAsia="Arial" w:hAnsi="Arial"/>
          <w:b w:val="false"/>
          <w:bCs w:val="false"/>
          <w:color w:val="000000"/>
          <w:sz w:val="22"/>
          <w:szCs w:val="22"/>
        </w:rPr>
        <w:t xml:space="preserve">Planificación de inventario: Proyectar las compras considerando un gasto promedio de $132.50/semana por cliente frecuente, con sensibilidad en el rango [$128.52, $136.48].</w:t>
      </w:r>
    </w:p>
    <w:p>
      <w:pPr>
        <w:pStyle w:val="ListParagraph"/>
        <w:numPr>
          <w:ilvl w:val="0"/>
          <w:numId w:val="2"/>
        </w:numPr>
        <w:spacing w:before="60" w:after="60"/>
      </w:pPr>
      <w:r>
        <w:rPr>
          <w:rFonts w:ascii="Arial" w:cs="Arial" w:eastAsia="Arial" w:hAnsi="Arial"/>
          <w:b w:val="false"/>
          <w:bCs w:val="false"/>
          <w:color w:val="000000"/>
          <w:sz w:val="22"/>
          <w:szCs w:val="22"/>
        </w:rPr>
        <w:t xml:space="preserve">Estrategia de promociones: Diseñar ofertas segmentadas para clientes cuyo gasto esté por debajo del límite inferior ($128.52), incentivando mayor ticket de compra.</w:t>
      </w:r>
    </w:p>
    <w:p>
      <w:pPr>
        <w:pStyle w:val="ListParagraph"/>
        <w:numPr>
          <w:ilvl w:val="0"/>
          <w:numId w:val="2"/>
        </w:numPr>
        <w:spacing w:before="60" w:after="60"/>
      </w:pPr>
      <w:r>
        <w:rPr>
          <w:rFonts w:ascii="Arial" w:cs="Arial" w:eastAsia="Arial" w:hAnsi="Arial"/>
          <w:b w:val="false"/>
          <w:bCs w:val="false"/>
          <w:color w:val="000000"/>
          <w:sz w:val="22"/>
          <w:szCs w:val="22"/>
        </w:rPr>
        <w:t xml:space="preserve">Programa de fidelización: Reconocer a clientes con gasto superior al límite superior ($136.48) como clientes premium y ofrecer beneficios diferenciados.</w:t>
      </w:r>
    </w:p>
    <w:p>
      <w:pPr>
        <w:pStyle w:val="ListParagraph"/>
        <w:numPr>
          <w:ilvl w:val="0"/>
          <w:numId w:val="2"/>
        </w:numPr>
        <w:spacing w:before="60" w:after="60"/>
      </w:pPr>
      <w:r>
        <w:rPr>
          <w:rFonts w:ascii="Arial" w:cs="Arial" w:eastAsia="Arial" w:hAnsi="Arial"/>
          <w:b w:val="false"/>
          <w:bCs w:val="false"/>
          <w:color w:val="000000"/>
          <w:sz w:val="22"/>
          <w:szCs w:val="22"/>
        </w:rPr>
        <w:t xml:space="preserve">Presupuesto de operaciones: Considerar un margen de error de ±$3.98 USD en la planificación financiera semanal por cliente.</w:t>
      </w:r>
    </w:p>
    <w:p>
      <w:pPr>
        <w:pStyle w:val="ListParagraph"/>
        <w:numPr>
          <w:ilvl w:val="0"/>
          <w:numId w:val="2"/>
        </w:numPr>
        <w:spacing w:before="60" w:after="60"/>
      </w:pPr>
      <w:r>
        <w:rPr>
          <w:rFonts w:ascii="Arial" w:cs="Arial" w:eastAsia="Arial" w:hAnsi="Arial"/>
          <w:b w:val="false"/>
          <w:bCs w:val="false"/>
          <w:color w:val="000000"/>
          <w:sz w:val="22"/>
          <w:szCs w:val="22"/>
        </w:rPr>
        <w:t xml:space="preserve">Seguimiento trimestral: Repetir el muestreo cada trimestre para detectar cambios en el comportamiento de compra y actualizar el intervalo de confianza.</w:t>
      </w:r>
    </w:p>
    <w:p>
      <w:pPr>
        <w:spacing w:before="300"/>
      </w:pPr>
    </w:p>
    <w:p>
      <w:pPr>
        <w:pStyle w:val="Heading1"/>
        <w:pBdr>
          <w:bottom w:val="single" w:color="2E75B6" w:sz="8" w:space="4"/>
        </w:pBdr>
        <w:spacing w:before="300" w:after="150"/>
      </w:pPr>
      <w:r>
        <w:rPr>
          <w:rFonts w:ascii="Arial" w:cs="Arial" w:eastAsia="Arial" w:hAnsi="Arial"/>
          <w:b/>
          <w:bCs/>
          <w:color w:val="1F4E79"/>
          <w:sz w:val="32"/>
          <w:szCs w:val="32"/>
        </w:rPr>
        <w:t xml:space="preserve">7. Reflexión: Utilidad de los Intervalos de Confianza</w:t>
      </w:r>
    </w:p>
    <w:p>
      <w:pPr>
        <w:spacing w:before="80" w:after="80"/>
        <w:jc w:val="both"/>
      </w:pPr>
      <w:r>
        <w:rPr>
          <w:rFonts w:ascii="Arial" w:cs="Arial" w:eastAsia="Arial" w:hAnsi="Arial"/>
          <w:b w:val="false"/>
          <w:bCs w:val="false"/>
          <w:i w:val="false"/>
          <w:iCs w:val="false"/>
          <w:color w:val="000000"/>
          <w:sz w:val="22"/>
          <w:szCs w:val="22"/>
        </w:rPr>
        <w:t xml:space="preserve">Los intervalos de confianza son herramientas fundamentales en el análisis de datos comerciales porque permiten cuantificar la incertidumbre inherente a cualquier estimación basada en muestras. A diferencia de una estimación puntual (como la media muestral), un intervalo de confianza comunica explícitamente el rango de valores plausibles para el parámetro real, lo cual es crucial para la toma de decisiones bajo incertidumbre.</w:t>
      </w:r>
    </w:p>
    <w:p>
      <w:pPr>
        <w:spacing w:before="80"/>
      </w:pPr>
    </w:p>
    <w:p>
      <w:pPr>
        <w:spacing w:before="80" w:after="80"/>
        <w:jc w:val="both"/>
      </w:pPr>
      <w:r>
        <w:rPr>
          <w:rFonts w:ascii="Arial" w:cs="Arial" w:eastAsia="Arial" w:hAnsi="Arial"/>
          <w:b w:val="false"/>
          <w:bCs w:val="false"/>
          <w:i w:val="false"/>
          <w:iCs w:val="false"/>
          <w:color w:val="000000"/>
          <w:sz w:val="22"/>
          <w:szCs w:val="22"/>
        </w:rPr>
        <w:t xml:space="preserve">En el contexto de DataNova y la cadena de supermercados, este tipo de estimaciones permite: planificar con base en rangos realistas en lugar de valores exactos irrealistas; comparar el gasto entre diferentes segmentos de clientes con rigor estadístico; evaluar el impacto de campañas promocionales midiendo si el nuevo gasto medio sale del intervalo anterior; y comunicar a la gerencia la confiabilidad de las estimaciones de manera transparente y comprensible.</w:t>
      </w:r>
    </w:p>
    <w:p>
      <w:pPr>
        <w:spacing w:before="200"/>
      </w:pPr>
    </w:p>
    <w:p>
      <w:pPr>
        <w:pBdr>
          <w:top w:val="single" w:color="2E75B6" w:sz="4" w:space="4"/>
        </w:pBdr>
        <w:spacing w:before="200"/>
        <w:jc w:val="center"/>
      </w:pPr>
      <w:r>
        <w:rPr>
          <w:rFonts w:ascii="Arial" w:cs="Arial" w:eastAsia="Arial" w:hAnsi="Arial"/>
          <w:i/>
          <w:iCs/>
          <w:color w:val="888888"/>
          <w:sz w:val="18"/>
          <w:szCs w:val="18"/>
        </w:rPr>
        <w:t xml:space="preserve">DataNova Analytics Team  |  Análisis completado con Python (scipy, numpy)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Arial" w:cs="Arial" w:eastAsia="Arial" w:hAnsi="Arial"/>
      <w:b/>
      <w:bCs/>
      <w:color w:val="1F4E79"/>
      <w:sz w:val="32"/>
      <w:szCs w:val="32"/>
    </w:rPr>
  </w:style>
  <w:style w:type="paragraph" w:styleId="Heading2">
    <w:name w:val="Heading 2"/>
    <w:basedOn w:val="Normal"/>
    <w:next w:val="Normal"/>
    <w:pPr>
      <w:spacing w:before="22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2026-02-25T12:06:25.843Z</dcterms:created>
  <dcterms:modified xsi:type="dcterms:W3CDTF">2026-02-25T12:06:25.844Z</dcterms:modified>
</cp:coreProperties>
</file>

<file path=docProps/custom.xml><?xml version="1.0" encoding="utf-8"?>
<Properties xmlns="http://schemas.openxmlformats.org/officeDocument/2006/custom-properties" xmlns:vt="http://schemas.openxmlformats.org/officeDocument/2006/docPropsVTypes"/>
</file>