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Technical Annex A: Earth Observation Service</w:t>
      </w:r>
    </w:p>
    <w:p>
      <w:pPr>
        <w:pStyle w:val="Subtitle"/>
      </w:pPr>
      <w:r>
        <w:t xml:space="preserve">Issue 2, September 2026. Synthetic sample for import testing.</w:t>
      </w:r>
    </w:p>
    <w:p>
      <w:pPr>
        <w:pStyle w:val="Heading1"/>
      </w:pPr>
      <w:r>
        <w:t xml:space="preserve">Imaging</w:t>
      </w:r>
    </w:p>
    <w:p>
      <w:r>
        <w:t xml:space="preserve">The contractor </w:t>
      </w:r>
      <w:r>
        <w:rPr>
          <w:b/>
        </w:rPr>
        <w:t xml:space="preserve">shall</w:t>
      </w:r>
      <w:r>
        <w:t xml:space="preserve"> provide imagery of all land between 82° S and 82° N.</w:t>
      </w:r>
    </w:p>
    <w:p>
      <w:r>
        <w:t xml:space="preserve">Each location </w:t>
      </w:r>
      <w:r>
        <w:rPr>
          <w:b/>
        </w:rPr>
        <w:t xml:space="preserve">shall</w:t>
      </w:r>
      <w:r>
        <w:t xml:space="preserve"> be revisited at least once every five days.</w:t>
      </w:r>
    </w:p>
    <w:p>
      <w:pPr>
        <w:pStyle w:val="Heading2"/>
      </w:pPr>
      <w:r>
        <w:t xml:space="preserve">Spectral bands</w:t>
      </w:r>
    </w:p>
    <w:p>
      <w:r>
        <w:t xml:space="preserve">The imagery </w:t>
      </w:r>
      <w:r>
        <w:rPr>
          <w:b/>
        </w:rPr>
        <w:t xml:space="preserve">shall</w:t>
      </w:r>
      <w:r>
        <w:t xml:space="preserve"> contain the following bands: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Band</w:t>
            </w:r>
          </w:p>
        </w:tc>
        <w:tc>
          <w:tcPr>
            <w:tcW w:w="3000" w:type="dxa"/>
          </w:tcPr>
          <w:p>
            <w:r>
              <w:t xml:space="preserve">From (nm)</w:t>
            </w:r>
          </w:p>
        </w:tc>
        <w:tc>
          <w:tcPr>
            <w:tcW w:w="3000" w:type="dxa"/>
          </w:tcPr>
          <w:p>
            <w:r>
              <w:t xml:space="preserve">To (nm)</w:t>
            </w:r>
          </w:p>
        </w:tc>
      </w:tr>
      <w:tr>
        <w:tc>
          <w:tcPr>
            <w:tcW w:w="3000" w:type="dxa"/>
          </w:tcPr>
          <w:p>
            <w:r>
              <w:t xml:space="preserve">Blue</w:t>
            </w:r>
          </w:p>
        </w:tc>
        <w:tc>
          <w:tcPr>
            <w:tcW w:w="3000" w:type="dxa"/>
          </w:tcPr>
          <w:p>
            <w:r>
              <w:t xml:space="preserve">450</w:t>
            </w:r>
          </w:p>
        </w:tc>
        <w:tc>
          <w:tcPr>
            <w:tcW w:w="3000" w:type="dxa"/>
          </w:tcPr>
          <w:p>
            <w:r>
              <w:t xml:space="preserve">520</w:t>
            </w:r>
          </w:p>
        </w:tc>
      </w:tr>
      <w:tr>
        <w:tc>
          <w:tcPr>
            <w:tcW w:w="3000" w:type="dxa"/>
          </w:tcPr>
          <w:p>
            <w:r>
              <w:t xml:space="preserve">Green</w:t>
            </w:r>
          </w:p>
        </w:tc>
        <w:tc>
          <w:tcPr>
            <w:tcW w:w="3000" w:type="dxa"/>
          </w:tcPr>
          <w:p>
            <w:r>
              <w:t xml:space="preserve">520</w:t>
            </w:r>
          </w:p>
        </w:tc>
        <w:tc>
          <w:tcPr>
            <w:tcW w:w="3000" w:type="dxa"/>
          </w:tcPr>
          <w:p>
            <w:r>
              <w:t xml:space="preserve">600</w:t>
            </w:r>
          </w:p>
        </w:tc>
      </w:tr>
      <w:tr>
        <w:tc>
          <w:tcPr>
            <w:tcW w:w="3000" w:type="dxa"/>
          </w:tcPr>
          <w:p>
            <w:r>
              <w:t xml:space="preserve">Red</w:t>
            </w:r>
          </w:p>
        </w:tc>
        <w:tc>
          <w:tcPr>
            <w:tcW w:w="3000" w:type="dxa"/>
          </w:tcPr>
          <w:p>
            <w:r>
              <w:t xml:space="preserve">630</w:t>
            </w:r>
          </w:p>
        </w:tc>
        <w:tc>
          <w:tcPr>
            <w:tcW w:w="3000" w:type="dxa"/>
          </w:tcPr>
          <w:p>
            <w:r>
              <w:t xml:space="preserve">690</w:t>
            </w:r>
          </w:p>
        </w:tc>
      </w:tr>
      <w:tr>
        <w:tc>
          <w:tcPr>
            <w:tcW w:w="3000" w:type="dxa"/>
          </w:tcPr>
          <w:p>
            <w:r>
              <w:t xml:space="preserve">Near infrared</w:t>
            </w:r>
          </w:p>
        </w:tc>
        <w:tc>
          <w:tcPr>
            <w:tcW w:w="3000" w:type="dxa"/>
          </w:tcPr>
          <w:p>
            <w:r>
              <w:t xml:space="preserve">770</w:t>
            </w:r>
          </w:p>
        </w:tc>
        <w:tc>
          <w:tcPr>
            <w:tcW w:w="3000" w:type="dxa"/>
          </w:tcPr>
          <w:p>
            <w:r>
              <w:t xml:space="preserve">900</w:t>
            </w:r>
          </w:p>
        </w:tc>
      </w:tr>
    </w:tbl>
    <w:p>
      <w:pPr>
        <w:pStyle w:val="Heading2"/>
      </w:pPr>
      <w:r>
        <w:t xml:space="preserve">Image quality</w:t>
      </w:r>
    </w:p>
    <w:p>
      <w:r>
        <w:t xml:space="preserve">The ground sampling distance </w:t>
      </w:r>
      <w:r>
        <w:rPr>
          <w:b/>
        </w:rPr>
        <w:t xml:space="preserve">shall</w:t>
      </w:r>
      <w:r>
        <w:t xml:space="preserve"> be 4 m or better at nadir.</w:t>
      </w:r>
    </w:p>
    <w:p>
      <w:r>
        <w:t xml:space="preserve">The signal-to-noise ratio </w:t>
      </w:r>
      <w:r>
        <w:rPr>
          <w:b/>
        </w:rPr>
        <w:t xml:space="preserve">shall</w:t>
      </w:r>
      <w:r>
        <w:t xml:space="preserve"> be at least 100 for a 30 % reflectance target.</w:t>
      </w:r>
    </w:p>
    <w:p>
      <w:pPr>
        <w:pStyle w:val="Heading1"/>
      </w:pPr>
      <w:r>
        <w:t xml:space="preserve">Delivery</w:t>
      </w:r>
    </w:p>
    <w:p>
      <w:r>
        <w:t xml:space="preserve">Products </w:t>
      </w:r>
      <w:r>
        <w:rPr>
          <w:b/>
        </w:rPr>
        <w:t xml:space="preserve">shall</w:t>
      </w:r>
      <w:r>
        <w:t xml:space="preserve"> be delivered in these formats:</w:t>
      </w:r>
    </w:p>
    <w:p>
      <w:pPr>
        <w:pStyle w:val="ListParagraph"/>
        <w:numPr>
          <w:ilvl w:val="0"/>
          <w:numId w:val="1"/>
        </w:numPr>
      </w:pPr>
      <w:r>
        <w:t>GeoTIFF</w:t>
      </w:r>
    </w:p>
    <w:p>
      <w:pPr>
        <w:pStyle w:val="ListParagraph"/>
        <w:numPr>
          <w:ilvl w:val="0"/>
          <w:numId w:val="1"/>
        </w:numPr>
      </w:pPr>
      <w:r>
        <w:t>Cloud-optimised GeoTIFF</w:t>
      </w:r>
    </w:p>
    <w:p>
      <w:r>
        <w:t xml:space="preserve">90 % of products </w:t>
      </w:r>
      <w:r>
        <w:rPr>
          <w:b/>
        </w:rPr>
        <w:t xml:space="preserve">shall</w:t>
      </w:r>
      <w:r>
        <w:t xml:space="preserve"> reach the customer within 6 hours of acquisition.</w:t>
      </w:r>
    </w:p>
    <w:p>
      <w:pPr>
        <w:pStyle w:val="Heading1"/>
      </w:pPr>
      <w:r>
        <w:t xml:space="preserve">Security</w:t>
      </w:r>
    </w:p>
    <w:p>
      <w:r>
        <w:t xml:space="preserve">Images of sites on the customer's restricted list </w:t>
      </w:r>
      <w:r>
        <w:rPr>
          <w:b/>
        </w:rPr>
        <w:t xml:space="preserve">shall</w:t>
      </w:r>
      <w:r>
        <w:t xml:space="preserve"> be encrypted end to end.</w:t>
      </w:r>
    </w:p>
    <w:p>
      <w:r>
        <w:t xml:space="preserve">The contractor </w:t>
      </w:r>
      <w:r>
        <w:rPr>
          <w:b/>
        </w:rPr>
        <w:t xml:space="preserve">shall</w:t>
      </w:r>
      <w:r>
        <w:t xml:space="preserve"> report any security incident within 24 hours.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</w:style>
  <w:style w:type="paragraph" w:styleId="Subtitle">
    <w:name w:val="Sub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