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F3A8A"/>
          <w:sz w:val="36"/>
          <w:szCs w:val="36"/>
        </w:rPr>
        <w:t xml:space="preserve">BANXICO PLUS LLC</w:t>
      </w:r>
    </w:p>
    <w:p>
      <w:pPr>
        <w:spacing w:after="40" w:before="0"/>
      </w:pPr>
      <w:r>
        <w:rPr>
          <w:rFonts w:ascii="Arial" w:cs="Arial" w:eastAsia="Arial" w:hAnsi="Arial"/>
          <w:color w:val="555555"/>
          <w:sz w:val="18"/>
          <w:szCs w:val="18"/>
        </w:rPr>
        <w:t xml:space="preserve">7652 Sawmill Road, Suite 341  |  Dublin, Ohio 43016  |  United States</w:t>
      </w:r>
    </w:p>
    <w:p>
      <w:pPr>
        <w:spacing w:after="200" w:before="0"/>
      </w:pPr>
      <w:r>
        <w:rPr>
          <w:rFonts w:ascii="Arial" w:cs="Arial" w:eastAsia="Arial" w:hAnsi="Arial"/>
          <w:color w:val="555555"/>
          <w:sz w:val="18"/>
          <w:szCs w:val="18"/>
        </w:rPr>
        <w:t xml:space="preserve">The Landmark GDL  |  Guadalajara, Jalisco, Mexico</w:t>
      </w:r>
    </w:p>
    <w:p>
      <w:pPr>
        <w:pBdr>
          <w:bottom w:val="single" w:color="1F3A8A" w:sz="12" w:space="1"/>
        </w:pBdr>
        <w:spacing w:after="240" w:before="0"/>
      </w:pPr>
      <w:r>
        <w:t xml:space="preserve"/>
      </w:r>
    </w:p>
    <w:p>
      <w:pPr>
        <w:spacing w:after="80" w:before="0"/>
        <w:jc w:val="center"/>
      </w:pPr>
      <w:r>
        <w:rPr>
          <w:rFonts w:ascii="Arial" w:cs="Arial" w:eastAsia="Arial" w:hAnsi="Arial"/>
          <w:b/>
          <w:bCs/>
          <w:color w:val="1F3A8A"/>
          <w:sz w:val="34"/>
          <w:szCs w:val="34"/>
        </w:rPr>
        <w:t xml:space="preserve">NON-DISCLOSURE AGREEMENT</w:t>
      </w:r>
    </w:p>
    <w:p>
      <w:pPr>
        <w:spacing w:after="80" w:before="0"/>
        <w:jc w:val="center"/>
      </w:pPr>
      <w:r>
        <w:rPr>
          <w:rFonts w:ascii="Arial" w:cs="Arial" w:eastAsia="Arial" w:hAnsi="Arial"/>
          <w:b/>
          <w:bCs/>
          <w:color w:val="555555"/>
          <w:sz w:val="24"/>
          <w:szCs w:val="24"/>
        </w:rPr>
        <w:t xml:space="preserve">ACUERDO DE CONFIDENCIALIDAD</w:t>
      </w:r>
    </w:p>
    <w:p>
      <w:pPr>
        <w:spacing w:after="280" w:before="0"/>
        <w:jc w:val="center"/>
      </w:pPr>
      <w:r>
        <w:rPr>
          <w:rFonts w:ascii="Arial" w:cs="Arial" w:eastAsia="Arial" w:hAnsi="Arial"/>
          <w:color w:val="555555"/>
          <w:sz w:val="18"/>
          <w:szCs w:val="18"/>
        </w:rPr>
        <w:t xml:space="preserve">Effective Date: 07/14/2026  |  Between: Banxico Plus LLC  &amp;  Eduardo</w:t>
      </w:r>
    </w:p>
    <w:p>
      <w:pPr>
        <w:spacing w:after="0" w:before="80"/>
      </w:pPr>
      <w:r>
        <w:t xml:space="preserve"/>
      </w:r>
    </w:p>
    <w:p>
      <w:pPr>
        <w:pBdr>
          <w:bottom w:val="single" w:color="1F3A8A" w:sz="6" w:space="1"/>
        </w:pBdr>
        <w:spacing w:after="160" w:before="360"/>
      </w:pPr>
      <w:r>
        <w:rPr>
          <w:rFonts w:ascii="Arial" w:cs="Arial" w:eastAsia="Arial" w:hAnsi="Arial"/>
          <w:b/>
          <w:bCs/>
          <w:color w:val="1F3A8A"/>
          <w:sz w:val="28"/>
          <w:szCs w:val="28"/>
        </w:rPr>
        <w:t xml:space="preserve">Parties / Partes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Disclosing Party (Parte Divulgadora)</w:t>
            </w:r>
          </w:p>
        </w:tc>
        <w:tc>
          <w:tcPr>
            <w:tcW w:type="dxa" w:w="486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Receiving Party (Parte Receptora)</w:t>
            </w:r>
          </w:p>
        </w:tc>
      </w:tr>
      <w:tr>
        <w:tc>
          <w:tcPr>
            <w:tcW w:type="dxa" w:w="48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Banxico Plus LLC</w:t>
            </w:r>
          </w:p>
        </w:tc>
        <w:tc>
          <w:tcPr>
            <w:tcW w:type="dxa" w:w="48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Eduardo</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7652 Sawmill Road, Suite 341
Dublin, Ohio 43016, U.S.</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Full Name: Eduardo
_______________________</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The Landmark GDL
Guadalajara, Jalisco, Mexico</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Email: ____________________</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Rep.: José Luis Barrientos Terreros
Title: Founder</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Phone: ____________________</w:t>
            </w:r>
          </w:p>
        </w:tc>
      </w:tr>
    </w:tbl>
    <w:p>
      <w:pPr>
        <w:spacing w:after="0" w:before="200"/>
      </w:pPr>
      <w:r>
        <w:t xml:space="preserve"/>
      </w:r>
    </w:p>
    <w:p>
      <w:pPr>
        <w:pBdr>
          <w:bottom w:val="single" w:color="1F3A8A" w:sz="6" w:space="1"/>
        </w:pBdr>
        <w:spacing w:after="160" w:before="360"/>
      </w:pPr>
      <w:r>
        <w:rPr>
          <w:rFonts w:ascii="Arial" w:cs="Arial" w:eastAsia="Arial" w:hAnsi="Arial"/>
          <w:b/>
          <w:bCs/>
          <w:color w:val="1F3A8A"/>
          <w:sz w:val="28"/>
          <w:szCs w:val="28"/>
        </w:rPr>
        <w:t xml:space="preserve">Recitals / Antecedentes</w:t>
      </w:r>
    </w:p>
    <w:p>
      <w:pPr>
        <w:spacing w:after="80" w:before="80"/>
        <w:jc w:val="both"/>
      </w:pPr>
      <w:r>
        <w:rPr>
          <w:rFonts w:ascii="Arial" w:cs="Arial" w:eastAsia="Arial" w:hAnsi="Arial"/>
          <w:color w:val="000000"/>
          <w:sz w:val="20"/>
          <w:szCs w:val="20"/>
        </w:rPr>
        <w:t xml:space="preserve">WHEREAS, Banxico Plus LLC (the "Disclosing Party") and Eduardo (the "Receiving Party") (collectively, the "Parties") desire to explore a potential business relationship in connection with the financial technology platform and services operated by Banxico Plus LLC, including but not limited to fund dispersion, virtual POS management, banking protocols, and fintech operations (the "Purpose");</w:t>
      </w:r>
    </w:p>
    <w:p>
      <w:pPr>
        <w:spacing w:after="0" w:before="60"/>
      </w:pPr>
      <w:r>
        <w:t xml:space="preserve"/>
      </w:r>
    </w:p>
    <w:p>
      <w:pPr>
        <w:spacing w:after="80" w:before="80"/>
        <w:jc w:val="both"/>
      </w:pPr>
      <w:r>
        <w:rPr>
          <w:rFonts w:ascii="Arial" w:cs="Arial" w:eastAsia="Arial" w:hAnsi="Arial"/>
          <w:color w:val="000000"/>
          <w:sz w:val="20"/>
          <w:szCs w:val="20"/>
        </w:rPr>
        <w:t xml:space="preserve">WHEREAS, in connection with the Purpose, the Disclosing Party may share certain Confidential Information (as defined herein) with the Receiving Party;</w:t>
      </w:r>
    </w:p>
    <w:p>
      <w:pPr>
        <w:spacing w:after="0" w:before="60"/>
      </w:pPr>
      <w:r>
        <w:t xml:space="preserve"/>
      </w:r>
    </w:p>
    <w:p>
      <w:pPr>
        <w:spacing w:after="80" w:before="80"/>
        <w:jc w:val="both"/>
      </w:pPr>
      <w:r>
        <w:rPr>
          <w:rFonts w:ascii="Arial" w:cs="Arial" w:eastAsia="Arial" w:hAnsi="Arial"/>
          <w:color w:val="000000"/>
          <w:sz w:val="20"/>
          <w:szCs w:val="20"/>
        </w:rPr>
        <w:t xml:space="preserve">NOW, THEREFORE, in consideration of the mutual covenants and agreements set forth herein, and for other good and valuable consideration, the receipt and sufficiency of which are hereby acknowledged, the Parties agree as follows:</w:t>
      </w:r>
    </w:p>
    <w:p>
      <w:pPr>
        <w:spacing w:after="0" w:before="80"/>
      </w:pPr>
      <w:r>
        <w:t xml:space="preserve"/>
      </w:r>
    </w:p>
    <w:p>
      <w:pPr>
        <w:pBdr>
          <w:bottom w:val="single" w:color="1F3A8A" w:sz="6" w:space="1"/>
        </w:pBdr>
        <w:spacing w:after="160" w:before="360"/>
      </w:pPr>
      <w:r>
        <w:rPr>
          <w:rFonts w:ascii="Arial" w:cs="Arial" w:eastAsia="Arial" w:hAnsi="Arial"/>
          <w:b/>
          <w:bCs/>
          <w:color w:val="1F3A8A"/>
          <w:sz w:val="28"/>
          <w:szCs w:val="28"/>
        </w:rPr>
        <w:t xml:space="preserve">Terms and Conditions / Términos y Condiciones</w:t>
      </w:r>
    </w:p>
    <w:p>
      <w:pPr>
        <w:spacing w:after="100" w:before="260"/>
      </w:pPr>
      <w:r>
        <w:rPr>
          <w:rFonts w:ascii="Arial" w:cs="Arial" w:eastAsia="Arial" w:hAnsi="Arial"/>
          <w:b/>
          <w:bCs/>
          <w:color w:val="1F3A8A"/>
          <w:sz w:val="24"/>
          <w:szCs w:val="24"/>
        </w:rPr>
        <w:t xml:space="preserve">1. Definition of Confidential Information</w:t>
      </w:r>
    </w:p>
    <w:p>
      <w:pPr>
        <w:spacing w:after="80" w:before="80"/>
        <w:jc w:val="both"/>
      </w:pPr>
      <w:r>
        <w:rPr>
          <w:rFonts w:ascii="Arial" w:cs="Arial" w:eastAsia="Arial" w:hAnsi="Arial"/>
          <w:color w:val="000000"/>
          <w:sz w:val="20"/>
          <w:szCs w:val="20"/>
        </w:rPr>
        <w:t xml:space="preserve">"Confidential Information" means any and all non-public information disclosed by the Disclosing Party to the Receiving Party, whether orally, in writing, electronically, or by any other means, including but not limited to:</w:t>
      </w:r>
    </w:p>
    <w:p>
      <w:pPr>
        <w:pStyle w:val="ListParagraph"/>
        <w:numPr>
          <w:ilvl w:val="0"/>
          <w:numId w:val="2"/>
        </w:numPr>
        <w:spacing w:after="40" w:before="40"/>
      </w:pPr>
      <w:r>
        <w:rPr>
          <w:rFonts w:ascii="Arial" w:cs="Arial" w:eastAsia="Arial" w:hAnsi="Arial"/>
          <w:sz w:val="20"/>
          <w:szCs w:val="20"/>
        </w:rPr>
        <w:t xml:space="preserve">Business plans, strategies, financial projections, and revenue models of Banxico Plus LLC.</w:t>
      </w:r>
    </w:p>
    <w:p>
      <w:pPr>
        <w:pStyle w:val="ListParagraph"/>
        <w:numPr>
          <w:ilvl w:val="0"/>
          <w:numId w:val="2"/>
        </w:numPr>
        <w:spacing w:after="40" w:before="40"/>
      </w:pPr>
      <w:r>
        <w:rPr>
          <w:rFonts w:ascii="Arial" w:cs="Arial" w:eastAsia="Arial" w:hAnsi="Arial"/>
          <w:sz w:val="20"/>
          <w:szCs w:val="20"/>
        </w:rPr>
        <w:t xml:space="preserve">Technical architecture, software systems, APIs, integrations (including Stripe, MercadoPago, and banking protocols), and platform infrastructure.</w:t>
      </w:r>
    </w:p>
    <w:p>
      <w:pPr>
        <w:pStyle w:val="ListParagraph"/>
        <w:numPr>
          <w:ilvl w:val="0"/>
          <w:numId w:val="2"/>
        </w:numPr>
        <w:spacing w:after="40" w:before="40"/>
      </w:pPr>
      <w:r>
        <w:rPr>
          <w:rFonts w:ascii="Arial" w:cs="Arial" w:eastAsia="Arial" w:hAnsi="Arial"/>
          <w:sz w:val="20"/>
          <w:szCs w:val="20"/>
        </w:rPr>
        <w:t xml:space="preserve">Client lists, user data, transaction records, and operational procedures.</w:t>
      </w:r>
    </w:p>
    <w:p>
      <w:pPr>
        <w:pStyle w:val="ListParagraph"/>
        <w:numPr>
          <w:ilvl w:val="0"/>
          <w:numId w:val="2"/>
        </w:numPr>
        <w:spacing w:after="40" w:before="40"/>
      </w:pPr>
      <w:r>
        <w:rPr>
          <w:rFonts w:ascii="Arial" w:cs="Arial" w:eastAsia="Arial" w:hAnsi="Arial"/>
          <w:sz w:val="20"/>
          <w:szCs w:val="20"/>
        </w:rPr>
        <w:t xml:space="preserve">Pricing structures, commission rates, dispersion models, and return distribution agreements.</w:t>
      </w:r>
    </w:p>
    <w:p>
      <w:pPr>
        <w:pStyle w:val="ListParagraph"/>
        <w:numPr>
          <w:ilvl w:val="0"/>
          <w:numId w:val="2"/>
        </w:numPr>
        <w:spacing w:after="40" w:before="40"/>
      </w:pPr>
      <w:r>
        <w:rPr>
          <w:rFonts w:ascii="Arial" w:cs="Arial" w:eastAsia="Arial" w:hAnsi="Arial"/>
          <w:sz w:val="20"/>
          <w:szCs w:val="20"/>
        </w:rPr>
        <w:t xml:space="preserve">Proprietary processes, trade secrets, know-how, and intellectual property.</w:t>
      </w:r>
    </w:p>
    <w:p>
      <w:pPr>
        <w:pStyle w:val="ListParagraph"/>
        <w:numPr>
          <w:ilvl w:val="0"/>
          <w:numId w:val="2"/>
        </w:numPr>
        <w:spacing w:after="40" w:before="40"/>
      </w:pPr>
      <w:r>
        <w:rPr>
          <w:rFonts w:ascii="Arial" w:cs="Arial" w:eastAsia="Arial" w:hAnsi="Arial"/>
          <w:sz w:val="20"/>
          <w:szCs w:val="20"/>
        </w:rPr>
        <w:t xml:space="preserve">Any information designated as confidential or that a reasonable person would understand to be confidential given the nature of the information and the circumstances of disclosure.</w:t>
      </w:r>
    </w:p>
    <w:p>
      <w:pPr>
        <w:spacing w:after="100" w:before="260"/>
      </w:pPr>
      <w:r>
        <w:rPr>
          <w:rFonts w:ascii="Arial" w:cs="Arial" w:eastAsia="Arial" w:hAnsi="Arial"/>
          <w:b/>
          <w:bCs/>
          <w:color w:val="1F3A8A"/>
          <w:sz w:val="24"/>
          <w:szCs w:val="24"/>
        </w:rPr>
        <w:t xml:space="preserve">2. Exclusions from Confidential Information</w:t>
      </w:r>
    </w:p>
    <w:p>
      <w:pPr>
        <w:spacing w:after="80" w:before="80"/>
        <w:jc w:val="both"/>
      </w:pPr>
      <w:r>
        <w:rPr>
          <w:rFonts w:ascii="Arial" w:cs="Arial" w:eastAsia="Arial" w:hAnsi="Arial"/>
          <w:color w:val="000000"/>
          <w:sz w:val="20"/>
          <w:szCs w:val="20"/>
        </w:rPr>
        <w:t xml:space="preserve">The obligations of confidentiality under this Agreement do not apply to information that:</w:t>
      </w:r>
    </w:p>
    <w:p>
      <w:pPr>
        <w:pStyle w:val="ListParagraph"/>
        <w:numPr>
          <w:ilvl w:val="0"/>
          <w:numId w:val="2"/>
        </w:numPr>
        <w:spacing w:after="40" w:before="40"/>
      </w:pPr>
      <w:r>
        <w:rPr>
          <w:rFonts w:ascii="Arial" w:cs="Arial" w:eastAsia="Arial" w:hAnsi="Arial"/>
          <w:sz w:val="20"/>
          <w:szCs w:val="20"/>
        </w:rPr>
        <w:t xml:space="preserve">Is or becomes publicly available through no fault or breach by the Receiving Party.</w:t>
      </w:r>
    </w:p>
    <w:p>
      <w:pPr>
        <w:pStyle w:val="ListParagraph"/>
        <w:numPr>
          <w:ilvl w:val="0"/>
          <w:numId w:val="2"/>
        </w:numPr>
        <w:spacing w:after="40" w:before="40"/>
      </w:pPr>
      <w:r>
        <w:rPr>
          <w:rFonts w:ascii="Arial" w:cs="Arial" w:eastAsia="Arial" w:hAnsi="Arial"/>
          <w:sz w:val="20"/>
          <w:szCs w:val="20"/>
        </w:rPr>
        <w:t xml:space="preserve">Was rightfully known to the Receiving Party prior to disclosure without any obligation of confidentiality.</w:t>
      </w:r>
    </w:p>
    <w:p>
      <w:pPr>
        <w:pStyle w:val="ListParagraph"/>
        <w:numPr>
          <w:ilvl w:val="0"/>
          <w:numId w:val="2"/>
        </w:numPr>
        <w:spacing w:after="40" w:before="40"/>
      </w:pPr>
      <w:r>
        <w:rPr>
          <w:rFonts w:ascii="Arial" w:cs="Arial" w:eastAsia="Arial" w:hAnsi="Arial"/>
          <w:sz w:val="20"/>
          <w:szCs w:val="20"/>
        </w:rPr>
        <w:t xml:space="preserve">Is rightfully obtained by the Receiving Party from a third party without restriction on disclosure.</w:t>
      </w:r>
    </w:p>
    <w:p>
      <w:pPr>
        <w:pStyle w:val="ListParagraph"/>
        <w:numPr>
          <w:ilvl w:val="0"/>
          <w:numId w:val="2"/>
        </w:numPr>
        <w:spacing w:after="40" w:before="40"/>
      </w:pPr>
      <w:r>
        <w:rPr>
          <w:rFonts w:ascii="Arial" w:cs="Arial" w:eastAsia="Arial" w:hAnsi="Arial"/>
          <w:sz w:val="20"/>
          <w:szCs w:val="20"/>
        </w:rPr>
        <w:t xml:space="preserve">Is independently developed by the Receiving Party without use of or reference to the Confidential Information.</w:t>
      </w:r>
    </w:p>
    <w:p>
      <w:pPr>
        <w:pStyle w:val="ListParagraph"/>
        <w:numPr>
          <w:ilvl w:val="0"/>
          <w:numId w:val="2"/>
        </w:numPr>
        <w:spacing w:after="40" w:before="40"/>
      </w:pPr>
      <w:r>
        <w:rPr>
          <w:rFonts w:ascii="Arial" w:cs="Arial" w:eastAsia="Arial" w:hAnsi="Arial"/>
          <w:sz w:val="20"/>
          <w:szCs w:val="20"/>
        </w:rPr>
        <w:t xml:space="preserve">Is required to be disclosed by applicable law, court order, or governmental authority, provided the Receiving Party gives the Disclosing Party prompt written notice and cooperates in seeking a protective order.</w:t>
      </w:r>
    </w:p>
    <w:p>
      <w:pPr>
        <w:spacing w:after="100" w:before="260"/>
      </w:pPr>
      <w:r>
        <w:rPr>
          <w:rFonts w:ascii="Arial" w:cs="Arial" w:eastAsia="Arial" w:hAnsi="Arial"/>
          <w:b/>
          <w:bCs/>
          <w:color w:val="1F3A8A"/>
          <w:sz w:val="24"/>
          <w:szCs w:val="24"/>
        </w:rPr>
        <w:t xml:space="preserve">3. Obligations of the Receiving Party</w:t>
      </w:r>
    </w:p>
    <w:p>
      <w:pPr>
        <w:spacing w:after="80" w:before="80"/>
        <w:jc w:val="both"/>
      </w:pPr>
      <w:r>
        <w:rPr>
          <w:rFonts w:ascii="Arial" w:cs="Arial" w:eastAsia="Arial" w:hAnsi="Arial"/>
          <w:color w:val="000000"/>
          <w:sz w:val="20"/>
          <w:szCs w:val="20"/>
        </w:rPr>
        <w:t xml:space="preserve">The Receiving Party agrees to:</w:t>
      </w:r>
    </w:p>
    <w:p>
      <w:pPr>
        <w:pStyle w:val="ListParagraph"/>
        <w:numPr>
          <w:ilvl w:val="0"/>
          <w:numId w:val="2"/>
        </w:numPr>
        <w:spacing w:after="40" w:before="40"/>
      </w:pPr>
      <w:r>
        <w:rPr>
          <w:rFonts w:ascii="Arial" w:cs="Arial" w:eastAsia="Arial" w:hAnsi="Arial"/>
          <w:sz w:val="20"/>
          <w:szCs w:val="20"/>
        </w:rPr>
        <w:t xml:space="preserve">Hold all Confidential Information in strict confidence and not disclose it to any third party without the prior written consent of the Disclosing Party.</w:t>
      </w:r>
    </w:p>
    <w:p>
      <w:pPr>
        <w:pStyle w:val="ListParagraph"/>
        <w:numPr>
          <w:ilvl w:val="0"/>
          <w:numId w:val="2"/>
        </w:numPr>
        <w:spacing w:after="40" w:before="40"/>
      </w:pPr>
      <w:r>
        <w:rPr>
          <w:rFonts w:ascii="Arial" w:cs="Arial" w:eastAsia="Arial" w:hAnsi="Arial"/>
          <w:sz w:val="20"/>
          <w:szCs w:val="20"/>
        </w:rPr>
        <w:t xml:space="preserve">Use the Confidential Information solely for the Purpose defined in this Agreement and for no other purpose.</w:t>
      </w:r>
    </w:p>
    <w:p>
      <w:pPr>
        <w:pStyle w:val="ListParagraph"/>
        <w:numPr>
          <w:ilvl w:val="0"/>
          <w:numId w:val="2"/>
        </w:numPr>
        <w:spacing w:after="40" w:before="40"/>
      </w:pPr>
      <w:r>
        <w:rPr>
          <w:rFonts w:ascii="Arial" w:cs="Arial" w:eastAsia="Arial" w:hAnsi="Arial"/>
          <w:sz w:val="20"/>
          <w:szCs w:val="20"/>
        </w:rPr>
        <w:t xml:space="preserve">Limit access to Confidential Information to those of its employees, officers, agents, or advisors who have a need to know for the Purpose and who are bound by confidentiality obligations at least as protective as those set forth herein.</w:t>
      </w:r>
    </w:p>
    <w:p>
      <w:pPr>
        <w:pStyle w:val="ListParagraph"/>
        <w:numPr>
          <w:ilvl w:val="0"/>
          <w:numId w:val="2"/>
        </w:numPr>
        <w:spacing w:after="40" w:before="40"/>
      </w:pPr>
      <w:r>
        <w:rPr>
          <w:rFonts w:ascii="Arial" w:cs="Arial" w:eastAsia="Arial" w:hAnsi="Arial"/>
          <w:sz w:val="20"/>
          <w:szCs w:val="20"/>
        </w:rPr>
        <w:t xml:space="preserve">Promptly notify the Disclosing Party upon discovery of any unauthorized use or disclosure of Confidential Information and cooperate to regain possession and prevent further unauthorized use.</w:t>
      </w:r>
    </w:p>
    <w:p>
      <w:pPr>
        <w:pStyle w:val="ListParagraph"/>
        <w:numPr>
          <w:ilvl w:val="0"/>
          <w:numId w:val="2"/>
        </w:numPr>
        <w:spacing w:after="40" w:before="40"/>
      </w:pPr>
      <w:r>
        <w:rPr>
          <w:rFonts w:ascii="Arial" w:cs="Arial" w:eastAsia="Arial" w:hAnsi="Arial"/>
          <w:sz w:val="20"/>
          <w:szCs w:val="20"/>
        </w:rPr>
        <w:t xml:space="preserve">Take all reasonable measures to protect the confidentiality of the Confidential Information, using at least the same degree of care it uses to protect its own confidential information, but in no event less than reasonable care.</w:t>
      </w:r>
    </w:p>
    <w:p>
      <w:pPr>
        <w:spacing w:after="100" w:before="260"/>
      </w:pPr>
      <w:r>
        <w:rPr>
          <w:rFonts w:ascii="Arial" w:cs="Arial" w:eastAsia="Arial" w:hAnsi="Arial"/>
          <w:b/>
          <w:bCs/>
          <w:color w:val="1F3A8A"/>
          <w:sz w:val="24"/>
          <w:szCs w:val="24"/>
        </w:rPr>
        <w:t xml:space="preserve">4. Prohibition on Reverse Engineering and Competitive Use</w:t>
      </w:r>
    </w:p>
    <w:p>
      <w:pPr>
        <w:spacing w:after="80" w:before="80"/>
        <w:jc w:val="both"/>
      </w:pPr>
      <w:r>
        <w:rPr>
          <w:rFonts w:ascii="Arial" w:cs="Arial" w:eastAsia="Arial" w:hAnsi="Arial"/>
          <w:color w:val="000000"/>
          <w:sz w:val="20"/>
          <w:szCs w:val="20"/>
        </w:rPr>
        <w:t xml:space="preserve">The Receiving Party agrees not to reverse engineer, decompile, disassemble, or otherwise attempt to derive the source code, structure, or underlying technology of any software, system, or product of Banxico Plus LLC. Furthermore, the Receiving Party shall not use any Confidential Information to compete, directly or indirectly, with Banxico Plus LLC, or to solicit clients, employees, or partners of Banxico Plus LLC during the term of this Agreement and for a period of two (2) years thereafter.</w:t>
      </w:r>
    </w:p>
    <w:p>
      <w:pPr>
        <w:spacing w:after="100" w:before="260"/>
      </w:pPr>
      <w:r>
        <w:rPr>
          <w:rFonts w:ascii="Arial" w:cs="Arial" w:eastAsia="Arial" w:hAnsi="Arial"/>
          <w:b/>
          <w:bCs/>
          <w:color w:val="1F3A8A"/>
          <w:sz w:val="24"/>
          <w:szCs w:val="24"/>
        </w:rPr>
        <w:t xml:space="preserve">5. Intellectual Property</w:t>
      </w:r>
    </w:p>
    <w:p>
      <w:pPr>
        <w:spacing w:after="80" w:before="80"/>
        <w:jc w:val="both"/>
      </w:pPr>
      <w:r>
        <w:rPr>
          <w:rFonts w:ascii="Arial" w:cs="Arial" w:eastAsia="Arial" w:hAnsi="Arial"/>
          <w:color w:val="000000"/>
          <w:sz w:val="20"/>
          <w:szCs w:val="20"/>
        </w:rPr>
        <w:t xml:space="preserve">All Confidential Information disclosed under this Agreement remains the exclusive property of the Disclosing Party. Nothing in this Agreement grants the Receiving Party any license, right, title, or interest in or to the Confidential Information or any intellectual property of the Disclosing Party, whether by implication, estoppel, or otherwise. Any improvements, developments, or inventions derived from or based on the Confidential Information shall belong exclusively to Banxico Plus LLC.</w:t>
      </w:r>
    </w:p>
    <w:p>
      <w:pPr>
        <w:spacing w:after="100" w:before="260"/>
      </w:pPr>
      <w:r>
        <w:rPr>
          <w:rFonts w:ascii="Arial" w:cs="Arial" w:eastAsia="Arial" w:hAnsi="Arial"/>
          <w:b/>
          <w:bCs/>
          <w:color w:val="1F3A8A"/>
          <w:sz w:val="24"/>
          <w:szCs w:val="24"/>
        </w:rPr>
        <w:t xml:space="preserve">6. Term and Termination</w:t>
      </w:r>
    </w:p>
    <w:p>
      <w:pPr>
        <w:spacing w:after="80" w:before="80"/>
        <w:jc w:val="both"/>
      </w:pPr>
      <w:r>
        <w:rPr>
          <w:rFonts w:ascii="Arial" w:cs="Arial" w:eastAsia="Arial" w:hAnsi="Arial"/>
          <w:color w:val="000000"/>
          <w:sz w:val="20"/>
          <w:szCs w:val="20"/>
        </w:rPr>
        <w:t xml:space="preserve">This Agreement shall commence on the Effective Date and shall remain in full force and effect for a period of three (3) years, unless earlier terminated by mutual written agreement of the Parties. The confidentiality obligations set forth in this Agreement shall survive any termination or expiration of this Agreement for an additional period of five (5) years with respect to trade secrets, and two (2) years with respect to all other Confidential Information.</w:t>
      </w:r>
    </w:p>
    <w:p>
      <w:pPr>
        <w:spacing w:after="100" w:before="260"/>
      </w:pPr>
      <w:r>
        <w:rPr>
          <w:rFonts w:ascii="Arial" w:cs="Arial" w:eastAsia="Arial" w:hAnsi="Arial"/>
          <w:b/>
          <w:bCs/>
          <w:color w:val="1F3A8A"/>
          <w:sz w:val="24"/>
          <w:szCs w:val="24"/>
        </w:rPr>
        <w:t xml:space="preserve">7. Return or Destruction of Confidential Information</w:t>
      </w:r>
    </w:p>
    <w:p>
      <w:pPr>
        <w:spacing w:after="80" w:before="80"/>
        <w:jc w:val="both"/>
      </w:pPr>
      <w:r>
        <w:rPr>
          <w:rFonts w:ascii="Arial" w:cs="Arial" w:eastAsia="Arial" w:hAnsi="Arial"/>
          <w:color w:val="000000"/>
          <w:sz w:val="20"/>
          <w:szCs w:val="20"/>
        </w:rPr>
        <w:t xml:space="preserve">Upon the written request of the Disclosing Party, or upon termination of this Agreement, the Receiving Party shall promptly return or destroy (and certify such destruction in writing) all Confidential Information in its possession or control, including all copies, notes, summaries, and derivatives thereof, regardless of the medium in which they are stored.</w:t>
      </w:r>
    </w:p>
    <w:p>
      <w:pPr>
        <w:spacing w:after="100" w:before="260"/>
      </w:pPr>
      <w:r>
        <w:rPr>
          <w:rFonts w:ascii="Arial" w:cs="Arial" w:eastAsia="Arial" w:hAnsi="Arial"/>
          <w:b/>
          <w:bCs/>
          <w:color w:val="1F3A8A"/>
          <w:sz w:val="24"/>
          <w:szCs w:val="24"/>
        </w:rPr>
        <w:t xml:space="preserve">8. No Warranty</w:t>
      </w:r>
    </w:p>
    <w:p>
      <w:pPr>
        <w:spacing w:after="80" w:before="80"/>
        <w:jc w:val="both"/>
      </w:pPr>
      <w:r>
        <w:rPr>
          <w:rFonts w:ascii="Arial" w:cs="Arial" w:eastAsia="Arial" w:hAnsi="Arial"/>
          <w:color w:val="000000"/>
          <w:sz w:val="20"/>
          <w:szCs w:val="20"/>
        </w:rPr>
        <w:t xml:space="preserve">The Disclosing Party makes no representation or warranty, express or implied, as to the accuracy, completeness, or fitness for any particular purpose of the Confidential Information. The Receiving Party acknowledges that the Confidential Information is provided "as is" and that the Disclosing Party shall not be liable for any damages resulting from the Receiving Party's use of or reliance on the Confidential Information.</w:t>
      </w:r>
    </w:p>
    <w:p>
      <w:pPr>
        <w:spacing w:after="100" w:before="260"/>
      </w:pPr>
      <w:r>
        <w:rPr>
          <w:rFonts w:ascii="Arial" w:cs="Arial" w:eastAsia="Arial" w:hAnsi="Arial"/>
          <w:b/>
          <w:bCs/>
          <w:color w:val="1F3A8A"/>
          <w:sz w:val="24"/>
          <w:szCs w:val="24"/>
        </w:rPr>
        <w:t xml:space="preserve">9. Remedies</w:t>
      </w:r>
    </w:p>
    <w:p>
      <w:pPr>
        <w:spacing w:after="80" w:before="80"/>
        <w:jc w:val="both"/>
      </w:pPr>
      <w:r>
        <w:rPr>
          <w:rFonts w:ascii="Arial" w:cs="Arial" w:eastAsia="Arial" w:hAnsi="Arial"/>
          <w:color w:val="000000"/>
          <w:sz w:val="20"/>
          <w:szCs w:val="20"/>
        </w:rPr>
        <w:t xml:space="preserve">The Receiving Party acknowledges that any breach of this Agreement may cause irreparable harm to the Disclosing Party for which monetary damages alone would be an inadequate remedy. Accordingly, the Disclosing Party shall be entitled to seek equitable relief, including injunction and specific performance, in addition to all other remedies available at law or in equity, without the requirement of posting a bond or proving actual damages.</w:t>
      </w:r>
    </w:p>
    <w:p>
      <w:pPr>
        <w:spacing w:after="100" w:before="260"/>
      </w:pPr>
      <w:r>
        <w:rPr>
          <w:rFonts w:ascii="Arial" w:cs="Arial" w:eastAsia="Arial" w:hAnsi="Arial"/>
          <w:b/>
          <w:bCs/>
          <w:color w:val="1F3A8A"/>
          <w:sz w:val="24"/>
          <w:szCs w:val="24"/>
        </w:rPr>
        <w:t xml:space="preserve">10. Governing Law and Dispute Resolution</w:t>
      </w:r>
    </w:p>
    <w:p>
      <w:pPr>
        <w:spacing w:after="80" w:before="80"/>
        <w:jc w:val="both"/>
      </w:pPr>
      <w:r>
        <w:rPr>
          <w:rFonts w:ascii="Arial" w:cs="Arial" w:eastAsia="Arial" w:hAnsi="Arial"/>
          <w:color w:val="000000"/>
          <w:sz w:val="20"/>
          <w:szCs w:val="20"/>
        </w:rPr>
        <w:t xml:space="preserve">This Agreement shall be governed by and construed in accordance with the laws of the State of Ohio, United States of America, without regard to its conflict of law principles. Any dispute arising out of or relating to this Agreement shall first be submitted to good-faith mediation. If mediation fails, the dispute shall be resolved by binding arbitration under the rules of the American Arbitration Association (AAA), conducted in English in Dublin, Ohio.</w:t>
      </w:r>
    </w:p>
    <w:p>
      <w:pPr>
        <w:spacing w:after="100" w:before="260"/>
      </w:pPr>
      <w:r>
        <w:rPr>
          <w:rFonts w:ascii="Arial" w:cs="Arial" w:eastAsia="Arial" w:hAnsi="Arial"/>
          <w:b/>
          <w:bCs/>
          <w:color w:val="1F3A8A"/>
          <w:sz w:val="24"/>
          <w:szCs w:val="24"/>
        </w:rPr>
        <w:t xml:space="preserve">11. Relationship of the Parties</w:t>
      </w:r>
    </w:p>
    <w:p>
      <w:pPr>
        <w:spacing w:after="80" w:before="80"/>
        <w:jc w:val="both"/>
      </w:pPr>
      <w:r>
        <w:rPr>
          <w:rFonts w:ascii="Arial" w:cs="Arial" w:eastAsia="Arial" w:hAnsi="Arial"/>
          <w:color w:val="000000"/>
          <w:sz w:val="20"/>
          <w:szCs w:val="20"/>
        </w:rPr>
        <w:t xml:space="preserve">Nothing in this Agreement shall be construed to create a partnership, joint venture, employment, or agency relationship between the Parties. Neither Party shall have the authority to bind the other Party or incur any obligation on behalf of the other Party.</w:t>
      </w:r>
    </w:p>
    <w:p>
      <w:pPr>
        <w:spacing w:after="100" w:before="260"/>
      </w:pPr>
      <w:r>
        <w:rPr>
          <w:rFonts w:ascii="Arial" w:cs="Arial" w:eastAsia="Arial" w:hAnsi="Arial"/>
          <w:b/>
          <w:bCs/>
          <w:color w:val="1F3A8A"/>
          <w:sz w:val="24"/>
          <w:szCs w:val="24"/>
        </w:rPr>
        <w:t xml:space="preserve">12. Entire Agreement and Amendments</w:t>
      </w:r>
    </w:p>
    <w:p>
      <w:pPr>
        <w:spacing w:after="80" w:before="80"/>
        <w:jc w:val="both"/>
      </w:pPr>
      <w:r>
        <w:rPr>
          <w:rFonts w:ascii="Arial" w:cs="Arial" w:eastAsia="Arial" w:hAnsi="Arial"/>
          <w:color w:val="000000"/>
          <w:sz w:val="20"/>
          <w:szCs w:val="20"/>
        </w:rPr>
        <w:t xml:space="preserve">This Agreement constitutes the entire agreement between the Parties with respect to the subject matter hereof and supersedes all prior discussions, representations, and agreements. This Agreement may not be amended or modified except by a written instrument duly signed by authorized representatives of both Parties. Electronic signatures shall have the same legal force and effect as original wet signatures.</w:t>
      </w:r>
    </w:p>
    <w:p>
      <w:pPr>
        <w:spacing w:after="100" w:before="260"/>
      </w:pPr>
      <w:r>
        <w:rPr>
          <w:rFonts w:ascii="Arial" w:cs="Arial" w:eastAsia="Arial" w:hAnsi="Arial"/>
          <w:b/>
          <w:bCs/>
          <w:color w:val="1F3A8A"/>
          <w:sz w:val="24"/>
          <w:szCs w:val="24"/>
        </w:rPr>
        <w:t xml:space="preserve">13. Severability</w:t>
      </w:r>
    </w:p>
    <w:p>
      <w:pPr>
        <w:spacing w:after="80" w:before="80"/>
        <w:jc w:val="both"/>
      </w:pPr>
      <w:r>
        <w:rPr>
          <w:rFonts w:ascii="Arial" w:cs="Arial" w:eastAsia="Arial" w:hAnsi="Arial"/>
          <w:color w:val="000000"/>
          <w:sz w:val="20"/>
          <w:szCs w:val="20"/>
        </w:rPr>
        <w:t xml:space="preserve">If any provision of this Agreement is found to be invalid, illegal, or unenforceable, such provision shall be modified to the minimum extent necessary to make it enforceable, and the remaining provisions shall continue in full force and effect.</w:t>
      </w:r>
    </w:p>
    <w:p>
      <w:pPr>
        <w:spacing w:after="100" w:before="260"/>
      </w:pPr>
      <w:r>
        <w:rPr>
          <w:rFonts w:ascii="Arial" w:cs="Arial" w:eastAsia="Arial" w:hAnsi="Arial"/>
          <w:b/>
          <w:bCs/>
          <w:color w:val="1F3A8A"/>
          <w:sz w:val="24"/>
          <w:szCs w:val="24"/>
        </w:rPr>
        <w:t xml:space="preserve">14. Notices</w:t>
      </w:r>
    </w:p>
    <w:p>
      <w:pPr>
        <w:spacing w:after="80" w:before="80"/>
        <w:jc w:val="both"/>
      </w:pPr>
      <w:r>
        <w:rPr>
          <w:rFonts w:ascii="Arial" w:cs="Arial" w:eastAsia="Arial" w:hAnsi="Arial"/>
          <w:color w:val="000000"/>
          <w:sz w:val="20"/>
          <w:szCs w:val="20"/>
        </w:rPr>
        <w:t xml:space="preserve">All notices under this Agreement shall be in writing and delivered to the addresses set forth in the Parties section above, or to such other address as a Party may designate in writing. Notices may be delivered by email with confirmation of receipt, certified mail, or courier service.</w:t>
      </w:r>
    </w:p>
    <w:p>
      <w:pPr>
        <w:spacing w:after="0" w:before="240"/>
      </w:pPr>
      <w:r>
        <w:t xml:space="preserve"/>
      </w:r>
    </w:p>
    <w:p>
      <w:pPr>
        <w:pBdr>
          <w:bottom w:val="single" w:color="1F3A8A" w:sz="6" w:space="1"/>
        </w:pBdr>
        <w:spacing w:after="160" w:before="360"/>
      </w:pPr>
      <w:r>
        <w:rPr>
          <w:rFonts w:ascii="Arial" w:cs="Arial" w:eastAsia="Arial" w:hAnsi="Arial"/>
          <w:b/>
          <w:bCs/>
          <w:color w:val="1F3A8A"/>
          <w:sz w:val="28"/>
          <w:szCs w:val="28"/>
        </w:rPr>
        <w:t xml:space="preserve">Agreed and Executed / Firmado y Aceptado</w:t>
      </w:r>
    </w:p>
    <w:p>
      <w:pPr>
        <w:spacing w:after="80" w:before="80"/>
        <w:jc w:val="both"/>
      </w:pPr>
      <w:r>
        <w:rPr>
          <w:rFonts w:ascii="Arial" w:cs="Arial" w:eastAsia="Arial" w:hAnsi="Arial"/>
          <w:color w:val="000000"/>
          <w:sz w:val="20"/>
          <w:szCs w:val="20"/>
        </w:rPr>
        <w:t xml:space="preserve">By signing below, each Party confirms that it has read, understood, and agrees to be bound by all terms and conditions of this Non-Disclosure Agreement.</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Disclosing Party / Parte Divulgadora</w:t>
            </w:r>
          </w:p>
        </w:tc>
        <w:tc>
          <w:tcPr>
            <w:tcW w:type="dxa" w:w="486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Receiving Party / Parte Receptora</w:t>
            </w:r>
          </w:p>
        </w:tc>
      </w:tr>
      <w:tr>
        <w:tc>
          <w:tcPr>
            <w:tcW w:type="dxa" w:w="48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Banxico Plus LLC</w:t>
            </w:r>
          </w:p>
        </w:tc>
        <w:tc>
          <w:tcPr>
            <w:tcW w:type="dxa" w:w="48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Eduardo</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By (Signature): _________________________</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By (Signature): _________________________</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Name: José Luis Barrientos Terreros</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Name: Eduardo</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Title: Founder</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Title: ____________________</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Email: ____________________</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Email: ____________________</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Phone: ____________________</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Phone: ____________________</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Date: 07/14/2026</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Date: ____________________</w:t>
            </w:r>
          </w:p>
        </w:tc>
      </w:tr>
    </w:tbl>
    <w:p>
      <w:pPr>
        <w:spacing w:after="0" w:before="160"/>
      </w:pPr>
      <w:r>
        <w:t xml:space="preserve"/>
      </w:r>
    </w:p>
    <w:p>
      <w:pPr>
        <w:spacing w:after="0" w:before="80"/>
        <w:jc w:val="center"/>
      </w:pPr>
      <w:r>
        <w:rPr>
          <w:rFonts w:ascii="Arial" w:cs="Arial" w:eastAsia="Arial" w:hAnsi="Arial"/>
          <w:color w:val="555555"/>
          <w:sz w:val="16"/>
          <w:szCs w:val="16"/>
        </w:rPr>
        <w:t xml:space="preserve">BANXICO PLUS LLC  |  Non-Disclosure Agreement  |  Confidential &amp; Proprietary  |  07/14/2026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2026-07-21T04:53:29.234Z</dcterms:created>
  <dcterms:modified xsi:type="dcterms:W3CDTF">2026-07-21T04:53:29.262Z</dcterms:modified>
</cp:coreProperties>
</file>

<file path=docProps/custom.xml><?xml version="1.0" encoding="utf-8"?>
<Properties xmlns="http://schemas.openxmlformats.org/officeDocument/2006/custom-properties" xmlns:vt="http://schemas.openxmlformats.org/officeDocument/2006/docPropsVTypes"/>
</file>