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What</w:t>
      </w:r>
      <w:r>
        <w:t xml:space="preserve"> </w:t>
      </w:r>
      <w:r>
        <w:t xml:space="preserve">do</w:t>
      </w:r>
      <w:r>
        <w:t xml:space="preserve"> </w:t>
      </w:r>
      <w:r>
        <w:t xml:space="preserve">incoming</w:t>
      </w:r>
      <w:r>
        <w:t xml:space="preserve"> </w:t>
      </w:r>
      <w:r>
        <w:t xml:space="preserve">university</w:t>
      </w:r>
      <w:r>
        <w:t xml:space="preserve"> </w:t>
      </w:r>
      <w:r>
        <w:t xml:space="preserve">students</w:t>
      </w:r>
      <w:r>
        <w:t xml:space="preserve"> </w:t>
      </w:r>
      <w:r>
        <w:t xml:space="preserve">believe</w:t>
      </w:r>
      <w:r>
        <w:t xml:space="preserve"> </w:t>
      </w:r>
      <w:r>
        <w:t xml:space="preserve">about</w:t>
      </w:r>
      <w:r>
        <w:t xml:space="preserve"> </w:t>
      </w:r>
      <w:r>
        <w:t xml:space="preserve">open</w:t>
      </w:r>
      <w:r>
        <w:t xml:space="preserve"> </w:t>
      </w:r>
      <w:r>
        <w:t xml:space="preserve">science</w:t>
      </w:r>
      <w:r>
        <w:t xml:space="preserve"> </w:t>
      </w:r>
      <w:r>
        <w:t xml:space="preserve">practices</w:t>
      </w:r>
      <w:r>
        <w:t xml:space="preserve"> </w:t>
      </w:r>
      <w:r>
        <w:t xml:space="preserve">in</w:t>
      </w:r>
      <w:r>
        <w:t xml:space="preserve"> </w:t>
      </w:r>
      <w:r>
        <w:t xml:space="preserve">psychology?</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itel"/>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
        </w:rPr>
        <w:t xml:space="preserve">more detailed background</w:t>
      </w:r>
      <w:r>
        <w:t xml:space="preserve">, comprehensible to scientists in related disciplines.</w:t>
      </w:r>
      <w:r>
        <w:t xml:space="preserve"> </w:t>
      </w:r>
      <w:r>
        <w:t xml:space="preserve">One sentence clearly stating the</w:t>
      </w:r>
      <w:r>
        <w:t xml:space="preserve"> </w:t>
      </w:r>
      <w:r>
        <w:rPr>
          <w:b/>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
        </w:rPr>
        <w:t xml:space="preserve">general context</w:t>
      </w:r>
      <w:r>
        <w:t xml:space="preserve">.</w:t>
      </w:r>
      <w:r>
        <w:t xml:space="preserve"> </w:t>
      </w:r>
      <w:r>
        <w:t xml:space="preserve">Two or three sentences to provide a</w:t>
      </w:r>
      <w:r>
        <w:t xml:space="preserve"> </w:t>
      </w:r>
      <w:r>
        <w:rPr>
          <w:b/>
        </w:rPr>
        <w:t xml:space="preserve">broader perspective</w:t>
      </w:r>
      <w:r>
        <w:t xml:space="preserve">, readily comprehensible to a scientist in any discipline.</w:t>
      </w:r>
      <w:r>
        <w:t xml:space="preserve"> </w:t>
      </w:r>
    </w:p>
    <w:p>
      <w:pPr>
        <w:pStyle w:val="Textkrper"/>
      </w:pPr>
      <w:r>
        <w:rPr>
          <w:i/>
        </w:rPr>
        <w:t xml:space="preserve">Keywords:</w:t>
      </w:r>
      <w:r>
        <w:t xml:space="preserve"> </w:t>
      </w:r>
      <w:r>
        <w:t xml:space="preserve">open science, psychology, teaching, reproducibility, replication</w:t>
      </w:r>
    </w:p>
    <w:p>
      <w:pPr>
        <w:pStyle w:val="Textkrper"/>
      </w:pPr>
      <w:r>
        <w:t xml:space="preserve">Word count: X</w:t>
      </w:r>
    </w:p>
    <w:p>
      <w:pPr>
        <w:pStyle w:val="Titel"/>
      </w:pPr>
      <w:r>
        <w:t xml:space="preserve">What do incoming university students believe about open science practices in psychology?</w:t>
      </w:r>
    </w:p>
    <w:p>
      <w:pPr>
        <w:pStyle w:val="Textkrper"/>
      </w:pPr>
      <w:r>
        <w:t xml:space="preserve">The last decade has seen unprecedented change in methodological and reporting practices in psychology. These changes were partly precipitated by what is popularly known as the</w:t>
      </w:r>
      <w:r>
        <w:t xml:space="preserve"> </w:t>
      </w:r>
      <w:r>
        <w:t xml:space="preserve">“</w:t>
      </w:r>
      <w:r>
        <w:t xml:space="preserve">replication crisis</w:t>
      </w:r>
      <w:r>
        <w:t xml:space="preserve">”</w:t>
      </w:r>
      <w:r>
        <w:t xml:space="preserve">: The discovery that close replications of published psychological studies are often unable to replicate the original findings</w:t>
      </w:r>
      <w:r>
        <w:t xml:space="preserve"> </w:t>
      </w:r>
      <w:r>
        <w:t xml:space="preserve">(Klein et al., 2014, 2018)</w:t>
      </w:r>
      <w:r>
        <w:t xml:space="preserve">. These apparent problems with replication have lead to a variety of potential solutions to make research practices more transparent, including more frequent publication of replication studies</w:t>
      </w:r>
      <w:r>
        <w:t xml:space="preserve"> </w:t>
      </w:r>
      <w:r>
        <w:t xml:space="preserve">(see Brandt et al., 2014)</w:t>
      </w:r>
      <w:r>
        <w:t xml:space="preserve">, more thorough reporting of methods and results</w:t>
      </w:r>
      <w:r>
        <w:t xml:space="preserve"> </w:t>
      </w:r>
      <w:r>
        <w:t xml:space="preserve">(Simmons, Nelson, &amp; Simonsohn, 2012)</w:t>
      </w:r>
      <w:r>
        <w:t xml:space="preserve">, open sharing of data</w:t>
      </w:r>
      <w:r>
        <w:t xml:space="preserve"> </w:t>
      </w:r>
      <w:r>
        <w:t xml:space="preserve">(see Meyer, 2018)</w:t>
      </w:r>
      <w:r>
        <w:t xml:space="preserve">, and preregistration of data collection and analysis plans</w:t>
      </w:r>
      <w:r>
        <w:t xml:space="preserve"> </w:t>
      </w:r>
      <w:r>
        <w:t xml:space="preserve">(Nosek, Ebersole, DeHaven, &amp; Mellor, 2018)</w:t>
      </w:r>
      <w:r>
        <w:t xml:space="preserve">. These calls for more transparent research practices prompted the discipline to reflect on the norms and beliefs that underpin its practice of research. Many studies have polled researchers’ understandings of and adherence to open science norms, beliefs, and practices</w:t>
      </w:r>
      <w:r>
        <w:t xml:space="preserve"> </w:t>
      </w:r>
      <w:r>
        <w:t xml:space="preserve">(e.g., Baker, 2016; Group, 2018; Harris et al., 2018)</w:t>
      </w:r>
      <w:r>
        <w:t xml:space="preserve">. In turn, initiatives have been directed toward training undergraduate students in the adoption of an open science ethos</w:t>
      </w:r>
      <w:r>
        <w:t xml:space="preserve"> </w:t>
      </w:r>
      <w:r>
        <w:t xml:space="preserve">(e.g., Chopik, Bremner, Defever, &amp; Keller, 2018; Grahe et al., 2012; Jekel et al., 2020; Schönbrodt, 2019)</w:t>
      </w:r>
      <w:r>
        <w:t xml:space="preserve">. These initiatives help ingrain open science norms and change attitudes about research practices, but we know little about what these students know or believe about open science research practices prior to entering the university classroom.</w:t>
      </w:r>
    </w:p>
    <w:p>
      <w:pPr>
        <w:pStyle w:val="Textkrper"/>
      </w:pPr>
      <w:r>
        <w:t xml:space="preserve">The most comprehensive set of principles for how science</w:t>
      </w:r>
      <w:r>
        <w:t xml:space="preserve"> </w:t>
      </w:r>
      <w:r>
        <w:rPr>
          <w:i/>
        </w:rPr>
        <w:t xml:space="preserve">ought</w:t>
      </w:r>
      <w:r>
        <w:t xml:space="preserve"> </w:t>
      </w:r>
      <w:r>
        <w:t xml:space="preserve">to be practiced are Merton’s norms of science</w:t>
      </w:r>
      <w:r>
        <w:t xml:space="preserve"> </w:t>
      </w:r>
      <w:r>
        <w:t xml:space="preserve">(Merton, 1942)</w:t>
      </w:r>
      <w:r>
        <w:t xml:space="preserve">. Scientists</w:t>
      </w:r>
      <w:r>
        <w:t xml:space="preserve"> </w:t>
      </w:r>
      <w:r>
        <w:t xml:space="preserve">(</w:t>
      </w:r>
      <w:r>
        <w:rPr>
          <w:b/>
        </w:rPr>
        <w:t xml:space="preserve">???</w:t>
      </w:r>
      <w:r>
        <w:t xml:space="preserve">)</w:t>
      </w:r>
      <w:r>
        <w:t xml:space="preserve"> </w:t>
      </w:r>
      <w:r>
        <w:t xml:space="preserve">and graduate students</w:t>
      </w:r>
      <w:r>
        <w:t xml:space="preserve"> </w:t>
      </w:r>
      <w:r>
        <w:t xml:space="preserve">(Anderson &amp; Louis, 1994)</w:t>
      </w:r>
      <w:r>
        <w:t xml:space="preserve"> </w:t>
      </w:r>
      <w:r>
        <w:t xml:space="preserve">alike have historically endorsed the normative value of Merton’s principles. Furthermore, many of the recent practices designed to make science more transparent and open reflect Mertonian norms. For example, the practice of sharing open source software directly corresponds to the Mertonian norm of</w:t>
      </w:r>
      <w:r>
        <w:t xml:space="preserve"> </w:t>
      </w:r>
      <w:r>
        <w:rPr>
          <w:i/>
        </w:rPr>
        <w:t xml:space="preserve">communism</w:t>
      </w:r>
      <w:r>
        <w:t xml:space="preserve">: Scientists should have common ownership of scientific goods. Similarly, the practices of sharing of preprints for open peer review and open data for checking of reproducibility corresponds to the norm of communality, but also to that of</w:t>
      </w:r>
      <w:r>
        <w:t xml:space="preserve"> </w:t>
      </w:r>
      <w:r>
        <w:rPr>
          <w:i/>
        </w:rPr>
        <w:t xml:space="preserve">organised skepticism</w:t>
      </w:r>
      <w:r>
        <w:t xml:space="preserve">: Scientific claims should be subjected to critical scrutiny. Preregistration can be connected to the norm of</w:t>
      </w:r>
      <w:r>
        <w:t xml:space="preserve"> </w:t>
      </w:r>
      <w:r>
        <w:rPr>
          <w:i/>
        </w:rPr>
        <w:t xml:space="preserve">disinterestedness</w:t>
      </w:r>
      <w:r>
        <w:t xml:space="preserve">: By making (and preregistering) decisions about how to analyse data before results are produced, a researcher can limit the degree to which the substantive results produced by different analytic strategies affect their decisions regarding which analyses to report. In this sense, the ongoing reform in psychological research can partly be understood as simultaneously a set of new practices and a re-affirmation of established norms.</w:t>
      </w:r>
    </w:p>
    <w:p>
      <w:pPr>
        <w:pStyle w:val="Textkrper"/>
      </w:pPr>
      <w:r>
        <w:t xml:space="preserve">Nevertheless, rapid changes in methodological practice and empirical findings present significant pedagogical challenges for the teacher of psychology. Keeping textbooks and other instructional materials up to date is difficult when supposedly well-established findings are contradicted by new replications emerging at a rapid pace. Furthermore, training in emerging methodological practices is crucial for graduate students who may go on to apply psychological research methods themselves, so that they may produce research that is even more replicable than that of previous generations. Even for students who do not go on to conduct research themselves, an understanding of contemporary methodological practices - and problems with methodological practices in psychology - is essential for becoming informed and critical consumers of psychological knowledge. However, how we best provide this understanding is no trivial task. Indeed, there are several reasons why it might be unwise to assume a simple knowledge deficit, where the teacher’s only role is to dispense an understanding of open science and transparent research practices.</w:t>
      </w:r>
    </w:p>
    <w:p>
      <w:pPr>
        <w:pStyle w:val="Textkrper"/>
      </w:pPr>
      <w:r>
        <w:t xml:space="preserve">First, unlike some areas of psychology covered in undergraduate courses (e.g., models of working memory, or the internal workings of human senses), the replication crisis is frequently discussed in mainstream and social media</w:t>
      </w:r>
      <w:r>
        <w:t xml:space="preserve"> </w:t>
      </w:r>
      <w:r>
        <w:t xml:space="preserve">(e.g., O’Grady, 2020, &amp; Pm, 2020; Yong, 2016, 2018)</w:t>
      </w:r>
      <w:r>
        <w:t xml:space="preserve">. Many students may plausibly have some knowledge about these issues obtained prior to (or independently of) their formal studies. Teaching methods should thus be informed by some understanding of what students’ pre-existing levels of knowledge are.</w:t>
      </w:r>
    </w:p>
    <w:p>
      <w:pPr>
        <w:pStyle w:val="Textkrper"/>
      </w:pPr>
      <w:r>
        <w:t xml:space="preserve">Second, when psychology students are beginning their university studies, they are often learning for the first time about how and why it is useful to apply scientific methods to studying human behaviour (rather than only relying on alternative sources of knowledge such as intuition or anecdote or authority). An over-emphasis on problems with replicability could leave these students unconvinced that scientific methods for studying human behaviour are valuable</w:t>
      </w:r>
      <w:r>
        <w:t xml:space="preserve"> </w:t>
      </w:r>
      <w:r>
        <w:rPr>
          <w:i/>
        </w:rPr>
        <w:t xml:space="preserve">at all</w:t>
      </w:r>
      <w:r>
        <w:t xml:space="preserve">, leaving them to favour even less credible alternative sources of knowledge. For instance,</w:t>
      </w:r>
      <w:r>
        <w:t xml:space="preserve"> </w:t>
      </w:r>
      <w:r>
        <w:t xml:space="preserve">Chopik et al. (2018)</w:t>
      </w:r>
      <w:r>
        <w:t xml:space="preserve"> </w:t>
      </w:r>
      <w:r>
        <w:t xml:space="preserve">found that undergraduate students tended to trust the results of psychological studies</w:t>
      </w:r>
      <w:r>
        <w:t xml:space="preserve"> </w:t>
      </w:r>
      <w:r>
        <w:rPr>
          <w:i/>
        </w:rPr>
        <w:t xml:space="preserve">less</w:t>
      </w:r>
      <w:r>
        <w:t xml:space="preserve"> </w:t>
      </w:r>
      <w:r>
        <w:t xml:space="preserve">after a one-hour educational lecture about the replication crisis.</w:t>
      </w:r>
      <w:r>
        <w:rPr>
          <w:rStyle w:val="Funotenzeichen"/>
        </w:rPr>
        <w:footnoteReference w:id="20"/>
      </w:r>
    </w:p>
    <w:p>
      <w:pPr>
        <w:pStyle w:val="Textkrper"/>
      </w:pPr>
      <w:r>
        <w:t xml:space="preserve">Third, anecdotal evidence suggests that students being taught about open science practices and reforms to improve reproducibility (such as open sharing of data and analysis code) are often surprised that this is not</w:t>
      </w:r>
      <w:r>
        <w:t xml:space="preserve"> </w:t>
      </w:r>
      <w:r>
        <w:rPr>
          <w:i/>
        </w:rPr>
        <w:t xml:space="preserve">already</w:t>
      </w:r>
      <w:r>
        <w:t xml:space="preserve"> </w:t>
      </w:r>
      <w:r>
        <w:t xml:space="preserve">standard practice</w:t>
      </w:r>
      <w:r>
        <w:t xml:space="preserve"> </w:t>
      </w:r>
      <w:r>
        <w:t xml:space="preserve">(e.g. see tweets on this topic: Burak Tunca [@tuncaburak], 2021; Duygu Uygun-Tunc [@uygun_tunc], 2021; Lorne Campbell [@LorneJCampbell], 2018)</w:t>
      </w:r>
      <w:r>
        <w:t xml:space="preserve">.</w:t>
      </w:r>
      <w:r>
        <w:t xml:space="preserve"> </w:t>
      </w:r>
      <w:r>
        <w:t xml:space="preserve">In other words, students’ naive conception of how science works may, in some ways, be closer to that embodied in recent reforms rather than</w:t>
      </w:r>
      <w:r>
        <w:t xml:space="preserve"> </w:t>
      </w:r>
      <w:r>
        <w:t xml:space="preserve">“</w:t>
      </w:r>
      <w:r>
        <w:t xml:space="preserve">business as usual</w:t>
      </w:r>
      <w:r>
        <w:t xml:space="preserve">”</w:t>
      </w:r>
      <w:r>
        <w:t xml:space="preserve"> </w:t>
      </w:r>
      <w:r>
        <w:t xml:space="preserve">practices. Indeed, surveys of scientists’ subscriptions to Mertonian norms have often found that while most scientists endorse Mertonian norms such as communality, universalism and disinterestedness, this is by no means the case for all scientists. Furthermore, they typically perceive the behaviour of other scientists as being less consistent with these norms than their own</w:t>
      </w:r>
      <w:r>
        <w:t xml:space="preserve"> </w:t>
      </w:r>
      <w:r>
        <w:t xml:space="preserve">(Anderson, Martinson, &amp; De Vries, 2007)</w:t>
      </w:r>
      <w:r>
        <w:t xml:space="preserve">. Therefore - for some students - teaching about reform may be less a matter of conveying new information and more one of reinforcing</w:t>
      </w:r>
      <w:r>
        <w:t xml:space="preserve"> </w:t>
      </w:r>
      <w:r>
        <w:t xml:space="preserve">“</w:t>
      </w:r>
      <w:r>
        <w:t xml:space="preserve">naive</w:t>
      </w:r>
      <w:r>
        <w:t xml:space="preserve">”</w:t>
      </w:r>
      <w:r>
        <w:t xml:space="preserve"> </w:t>
      </w:r>
      <w:r>
        <w:t xml:space="preserve">assumptions. In fact, although beyond the scope of this article, it is</w:t>
      </w:r>
      <w:r>
        <w:t xml:space="preserve"> </w:t>
      </w:r>
      <w:r>
        <w:rPr>
          <w:i/>
        </w:rPr>
        <w:t xml:space="preserve">possible</w:t>
      </w:r>
      <w:r>
        <w:t xml:space="preserve"> </w:t>
      </w:r>
      <w:r>
        <w:t xml:space="preserve">that incoming undergraduate students more strongly endorse open science norms than do academics.</w:t>
      </w:r>
    </w:p>
    <w:p>
      <w:pPr>
        <w:pStyle w:val="Textkrper"/>
      </w:pPr>
      <w:r>
        <w:t xml:space="preserve">These considerations suggest that it is important that teachers wishing to inform undergraduate psychology students about the replication crisis and open science practices have some understanding of what such students actually know and believe about these topics already. In addition, undergraduate psychology students themselves represent one of the most important audiences for psychological research: The number of undergraduate students enrolled in psychology courses in any given year dwarfs the number of academics working in psychology. As such, the</w:t>
      </w:r>
      <w:r>
        <w:t xml:space="preserve"> </w:t>
      </w:r>
      <w:r>
        <w:rPr>
          <w:i/>
        </w:rPr>
        <w:t xml:space="preserve">preferences</w:t>
      </w:r>
      <w:r>
        <w:t xml:space="preserve"> </w:t>
      </w:r>
      <w:r>
        <w:t xml:space="preserve">of these students with respect to reproducibility and open science practices are themselves important as a phenomenon of interest. If, for example, undergraduate psychology students have a strong preference that journal articles are freely available to members of the public, this preference on the part of some of the consumers of the knowledge we produce should have some bearing on our choices in relation to sharing of manuscripts. This is especially the case given that undergraduate students are directly or indirectly responsible for much of the funding which allows universities to operate and research to be conducted. In fact, in serving as participants for course credit in many universities, undergraduate psychology students also provide the data underlying much psychological research.</w:t>
      </w:r>
    </w:p>
    <w:p>
      <w:pPr>
        <w:pStyle w:val="Textkrper"/>
      </w:pPr>
      <w:r>
        <w:t xml:space="preserve">For these reasons, we aimed to conduct a study describing what incoming undergraduate students of psychology believe about reproducibility and open science practices in psychology. Our survey encompassed norms (how students felt research</w:t>
      </w:r>
      <w:r>
        <w:t xml:space="preserve"> </w:t>
      </w:r>
      <w:r>
        <w:rPr>
          <w:i/>
        </w:rPr>
        <w:t xml:space="preserve">should</w:t>
      </w:r>
      <w:r>
        <w:t xml:space="preserve"> </w:t>
      </w:r>
      <w:r>
        <w:t xml:space="preserve">be conducted), norms in practice (how students believe psychological research</w:t>
      </w:r>
      <w:r>
        <w:t xml:space="preserve"> </w:t>
      </w:r>
      <w:r>
        <w:rPr>
          <w:i/>
        </w:rPr>
        <w:t xml:space="preserve">is</w:t>
      </w:r>
      <w:r>
        <w:t xml:space="preserve"> </w:t>
      </w:r>
      <w:r>
        <w:t xml:space="preserve">conducted) and replicability (how replicable students believe psychological research is). In doing so we hope to provide knowledge which can inform the pedagogy of teaching about replication and open science practices. This study is exploratory</w:t>
      </w:r>
      <w:r>
        <w:t xml:space="preserve"> </w:t>
      </w:r>
      <w:r>
        <w:t xml:space="preserve">(see Wagenmakers, Wetzels, Borsboom, van der Maas, &amp; Kievit, 2012)</w:t>
      </w:r>
      <w:r>
        <w:t xml:space="preserve"> </w:t>
      </w:r>
      <w:r>
        <w:t xml:space="preserve">and descriptive, and does not involve the specification or testing of hypotheses.</w:t>
      </w:r>
    </w:p>
    <w:bookmarkStart w:id="29"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Of those who started the survey (</w:t>
      </w:r>
      <w:r>
        <w:rPr>
          <w:i/>
        </w:rPr>
        <w:t xml:space="preserve">n</w:t>
      </w:r>
      <w:r>
        <w:t xml:space="preserve"> </w:t>
      </w:r>
      <w:r>
        <w:t xml:space="preserve">= 423), we screened out 184</w:t>
      </w:r>
      <w:r>
        <w:t xml:space="preserve"> </w:t>
      </w:r>
      <w:r>
        <w:t xml:space="preserve">participants who were not eligible to participate based on the combination of our</w:t>
      </w:r>
      <w:r>
        <w:t xml:space="preserve"> </w:t>
      </w:r>
      <w:r>
        <w:t xml:space="preserve">preregistered exclusion criteria. Specifically, we screened out people who were younger than</w:t>
      </w:r>
      <w:r>
        <w:t xml:space="preserve"> </w:t>
      </w:r>
      <w:r>
        <w:t xml:space="preserve">18 years (</w:t>
      </w:r>
      <w:r>
        <w:rPr>
          <w:i/>
        </w:rPr>
        <w:t xml:space="preserve">n</w:t>
      </w:r>
      <w:r>
        <w:t xml:space="preserve"> </w:t>
      </w:r>
      <w:r>
        <w:t xml:space="preserve">= 7). We also screened out individuals who had already</w:t>
      </w:r>
      <w:r>
        <w:t xml:space="preserve"> </w:t>
      </w:r>
      <w:r>
        <w:t xml:space="preserve">started a psychology unit at a university, regardless of whether they had</w:t>
      </w:r>
      <w:r>
        <w:t xml:space="preserve"> </w:t>
      </w:r>
      <w:r>
        <w:t xml:space="preserve">completed it (</w:t>
      </w:r>
      <w:r>
        <w:rPr>
          <w:i/>
        </w:rPr>
        <w:t xml:space="preserve">n</w:t>
      </w:r>
      <w:r>
        <w:t xml:space="preserve"> </w:t>
      </w:r>
      <w:r>
        <w:t xml:space="preserve">= 72); were not enrolled in a</w:t>
      </w:r>
      <w:r>
        <w:t xml:space="preserve"> </w:t>
      </w:r>
      <w:r>
        <w:t xml:space="preserve">psychology unit at a university (</w:t>
      </w:r>
      <w:r>
        <w:rPr>
          <w:i/>
        </w:rPr>
        <w:t xml:space="preserve">n</w:t>
      </w:r>
      <w:r>
        <w:t xml:space="preserve"> </w:t>
      </w:r>
      <w:r>
        <w:t xml:space="preserve">= 1); or did not answer this</w:t>
      </w:r>
      <w:r>
        <w:t xml:space="preserve"> </w:t>
      </w:r>
      <w:r>
        <w:t xml:space="preserve">question (</w:t>
      </w:r>
      <w:r>
        <w:rPr>
          <w:i/>
        </w:rPr>
        <w:t xml:space="preserve">n</w:t>
      </w:r>
      <w:r>
        <w:t xml:space="preserve"> </w:t>
      </w:r>
      <w:r>
        <w:t xml:space="preserve">= 14). We then excluded additional responses that</w:t>
      </w:r>
      <w:r>
        <w:t xml:space="preserve"> </w:t>
      </w:r>
      <w:r>
        <w:t xml:space="preserve">Qualtrics flagged as spam (</w:t>
      </w:r>
      <w:r>
        <w:rPr>
          <w:i/>
        </w:rPr>
        <w:t xml:space="preserve">n</w:t>
      </w:r>
      <w:r>
        <w:t xml:space="preserve"> </w:t>
      </w:r>
      <w:r>
        <w:t xml:space="preserve">= 1) or as a survey preview</w:t>
      </w:r>
      <w:r>
        <w:t xml:space="preserve"> </w:t>
      </w:r>
      <w:r>
        <w:t xml:space="preserve">(</w:t>
      </w:r>
      <w:r>
        <w:rPr>
          <w:i/>
        </w:rPr>
        <w:t xml:space="preserve">n</w:t>
      </w:r>
      <w:r>
        <w:t xml:space="preserve"> </w:t>
      </w:r>
      <w:r>
        <w:t xml:space="preserve">= 1). Finally, we excluded participants who met all other</w:t>
      </w:r>
      <w:r>
        <w:t xml:space="preserve"> </w:t>
      </w:r>
      <w:r>
        <w:t xml:space="preserve">eligibility criteria, but did not respond to any of the main items</w:t>
      </w:r>
      <w:r>
        <w:t xml:space="preserve"> </w:t>
      </w:r>
      <w:r>
        <w:t xml:space="preserve">in the study (</w:t>
      </w:r>
      <w:r>
        <w:rPr>
          <w:i/>
        </w:rPr>
        <w:t xml:space="preserve">n</w:t>
      </w:r>
      <w:r>
        <w:t xml:space="preserve"> </w:t>
      </w:r>
      <w:r>
        <w:t xml:space="preserve">= 88).</w:t>
      </w:r>
    </w:p>
    <w:p>
      <w:pPr>
        <w:pStyle w:val="Textkrper"/>
      </w:pPr>
      <w:r>
        <w:t xml:space="preserve">The remaining 239 participants were eligible based on starting their first unit</w:t>
      </w:r>
      <w:r>
        <w:t xml:space="preserve"> </w:t>
      </w:r>
      <w:r>
        <w:t xml:space="preserve">of study in psychology at a university within the next month. For those individuals</w:t>
      </w:r>
      <w:r>
        <w:t xml:space="preserve"> </w:t>
      </w:r>
      <w:r>
        <w:t xml:space="preserve">who were screened out, our Qualtrics program automatically directed them to the</w:t>
      </w:r>
      <w:r>
        <w:t xml:space="preserve"> </w:t>
      </w:r>
      <w:r>
        <w:t xml:space="preserve">debriefing form.</w:t>
      </w:r>
    </w:p>
    <w:p>
      <w:pPr>
        <w:pStyle w:val="Textkrper"/>
      </w:pPr>
      <w:r>
        <w:t xml:space="preserve">Of the remaining 239 participants, most reported that they were</w:t>
      </w:r>
      <w:r>
        <w:t xml:space="preserve"> </w:t>
      </w:r>
      <w:r>
        <w:t xml:space="preserve">18-24 years old (</w:t>
      </w:r>
      <w:r>
        <w:rPr>
          <w:i/>
        </w:rPr>
        <w:t xml:space="preserve">n</w:t>
      </w:r>
      <w:r>
        <w:t xml:space="preserve"> </w:t>
      </w:r>
      <w:r>
        <w:t xml:space="preserve">= 193), 21</w:t>
      </w:r>
      <w:r>
        <w:t xml:space="preserve"> </w:t>
      </w:r>
      <w:r>
        <w:t xml:space="preserve">reported that they were 25-34 years old, 12 were 35-44 years old,</w:t>
      </w:r>
      <w:r>
        <w:t xml:space="preserve"> </w:t>
      </w:r>
      <w:r>
        <w:t xml:space="preserve">12 were 45-54 years old, and 1 was 55-64 years old.</w:t>
      </w:r>
    </w:p>
    <w:p>
      <w:pPr>
        <w:pStyle w:val="Textkrper"/>
      </w:pPr>
      <w:r>
        <w:t xml:space="preserve">The majority of participants (</w:t>
      </w:r>
      <w:r>
        <w:rPr>
          <w:i/>
        </w:rPr>
        <w:t xml:space="preserve">n</w:t>
      </w:r>
      <w:r>
        <w:t xml:space="preserve"> </w:t>
      </w:r>
      <w:r>
        <w:t xml:space="preserve">= 1) reported that they were female,</w:t>
      </w:r>
      <w:r>
        <w:t xml:space="preserve"> </w:t>
      </w:r>
      <w:r>
        <w:t xml:space="preserve">2 reported that they were male, 24 participant reported</w:t>
      </w:r>
      <w:r>
        <w:t xml:space="preserve"> </w:t>
      </w:r>
      <w:r>
        <w:t xml:space="preserve">their gender identity as</w:t>
      </w:r>
      <w:r>
        <w:t xml:space="preserve"> </w:t>
      </w:r>
      <w:r>
        <w:t xml:space="preserve">“</w:t>
      </w:r>
      <w:r>
        <w:t xml:space="preserve">queer man</w:t>
      </w:r>
      <w:r>
        <w:t xml:space="preserve">”</w:t>
      </w:r>
      <w:r>
        <w:t xml:space="preserve">, and 24 participant reported</w:t>
      </w:r>
      <w:r>
        <w:t xml:space="preserve"> </w:t>
      </w:r>
      <w:r>
        <w:t xml:space="preserve">non-binary gender.</w:t>
      </w:r>
      <w:r>
        <w:rPr>
          <w:rStyle w:val="Funotenzeichen"/>
        </w:rPr>
        <w:footnoteReference w:id="21"/>
      </w:r>
    </w:p>
    <w:p>
      <w:pPr>
        <w:pStyle w:val="Textkrper"/>
      </w:pPr>
      <w:r>
        <w:t xml:space="preserve">Nearly all reported that they graduated from high</w:t>
      </w:r>
      <w:r>
        <w:t xml:space="preserve"> </w:t>
      </w:r>
      <w:r>
        <w:t xml:space="preserve">school or secondary school (</w:t>
      </w:r>
      <w:r>
        <w:rPr>
          <w:i/>
        </w:rPr>
        <w:t xml:space="preserve">n</w:t>
      </w:r>
      <w:r>
        <w:t xml:space="preserve"> </w:t>
      </w:r>
      <w:r>
        <w:t xml:space="preserve">= 230). Of those participants who</w:t>
      </w:r>
      <w:r>
        <w:t xml:space="preserve"> </w:t>
      </w:r>
      <w:r>
        <w:t xml:space="preserve">attended high school, a little less than half completed psychology courses in</w:t>
      </w:r>
      <w:r>
        <w:t xml:space="preserve"> </w:t>
      </w:r>
      <w:r>
        <w:t xml:space="preserve">high school (</w:t>
      </w:r>
      <w:r>
        <w:rPr>
          <w:i/>
        </w:rPr>
        <w:t xml:space="preserve">n</w:t>
      </w:r>
      <w:r>
        <w:t xml:space="preserve"> </w:t>
      </w:r>
      <w:r>
        <w:t xml:space="preserve">= 106). In terms of their nationality, most</w:t>
      </w:r>
      <w:r>
        <w:t xml:space="preserve"> </w:t>
      </w:r>
      <w:r>
        <w:t xml:space="preserve">participants reported that they were Australian (</w:t>
      </w:r>
      <w:r>
        <w:rPr>
          <w:i/>
        </w:rPr>
        <w:t xml:space="preserve">n</w:t>
      </w:r>
      <w:r>
        <w:t xml:space="preserve"> </w:t>
      </w:r>
      <w:r>
        <w:t xml:space="preserve">= 125),</w:t>
      </w:r>
      <w:r>
        <w:t xml:space="preserve"> </w:t>
      </w:r>
      <w:r>
        <w:t xml:space="preserve">from the United Kingdom (</w:t>
      </w:r>
      <w:r>
        <w:rPr>
          <w:i/>
        </w:rPr>
        <w:t xml:space="preserve">n</w:t>
      </w:r>
      <w:r>
        <w:t xml:space="preserve"> </w:t>
      </w:r>
      <w:r>
        <w:t xml:space="preserve">= 43), or Chinese</w:t>
      </w:r>
      <w:r>
        <w:t xml:space="preserve"> </w:t>
      </w:r>
      <w:r>
        <w:t xml:space="preserve">(</w:t>
      </w:r>
      <w:r>
        <w:rPr>
          <w:i/>
        </w:rPr>
        <w:t xml:space="preserve">n</w:t>
      </w:r>
      <w:r>
        <w:t xml:space="preserve"> </w:t>
      </w:r>
      <w:r>
        <w:t xml:space="preserve">= 15). In terms of where the participants were attending</w:t>
      </w:r>
      <w:r>
        <w:t xml:space="preserve"> </w:t>
      </w:r>
      <w:r>
        <w:t xml:space="preserve">university, most reported that they were in Australia (</w:t>
      </w:r>
      <w:r>
        <w:rPr>
          <w:i/>
        </w:rPr>
        <w:t xml:space="preserve">n</w:t>
      </w:r>
      <w:r>
        <w:t xml:space="preserve"> </w:t>
      </w:r>
      <w:r>
        <w:t xml:space="preserve">= 160),</w:t>
      </w:r>
      <w:r>
        <w:t xml:space="preserve"> </w:t>
      </w:r>
      <w:r>
        <w:t xml:space="preserve">the United Kingdom (</w:t>
      </w:r>
      <w:r>
        <w:rPr>
          <w:i/>
        </w:rPr>
        <w:t xml:space="preserve">n</w:t>
      </w:r>
      <w:r>
        <w:t xml:space="preserve"> </w:t>
      </w:r>
      <w:r>
        <w:t xml:space="preserve">= 63), or New Zealand (</w:t>
      </w:r>
      <w:r>
        <w:rPr>
          <w:i/>
        </w:rPr>
        <w:t xml:space="preserve">n</w:t>
      </w:r>
      <w:r>
        <w:t xml:space="preserve"> </w:t>
      </w:r>
      <w:r>
        <w:t xml:space="preserve">= 11).</w:t>
      </w:r>
      <w:r>
        <w:t xml:space="preserve"> </w:t>
      </w:r>
      <w:r>
        <w:t xml:space="preserve">Finally, about 2/3rds of participants reported that at least one of their parents</w:t>
      </w:r>
      <w:r>
        <w:t xml:space="preserve"> </w:t>
      </w:r>
      <w:r>
        <w:t xml:space="preserve">attended university (</w:t>
      </w:r>
      <w:r>
        <w:rPr>
          <w:i/>
        </w:rPr>
        <w:t xml:space="preserve">n</w:t>
      </w:r>
      <w:r>
        <w:t xml:space="preserve"> </w:t>
      </w:r>
      <w:r>
        <w:t xml:space="preserve">= 157).</w:t>
      </w:r>
    </w:p>
    <w:bookmarkEnd w:id="22"/>
    <w:bookmarkStart w:id="26" w:name="material"/>
    <w:p>
      <w:pPr>
        <w:pStyle w:val="berschrift2"/>
      </w:pPr>
      <w:r>
        <w:t xml:space="preserve">Material</w:t>
      </w:r>
    </w:p>
    <w:bookmarkStart w:id="23" w:name="open-science-norms-and-counternorms"/>
    <w:p>
      <w:pPr>
        <w:pStyle w:val="berschrift3"/>
      </w:pPr>
      <w:r>
        <w:t xml:space="preserve">Open Science Norms and Counternorms</w:t>
      </w:r>
    </w:p>
    <w:p>
      <w:pPr>
        <w:pStyle w:val="FirstParagraph"/>
      </w:pPr>
      <w:r>
        <w:t xml:space="preserve">Our approach to measuring norms and counternorms focussed on participants’ evaluation of ten specific open science practices that reflected diverse open science norms rather than trying to measure endorsement of the more abstract Mertonian norms (cf. Anderson et al., 2007).</w:t>
      </w:r>
      <w:r>
        <w:t xml:space="preserve"> </w:t>
      </w:r>
      <w:r>
        <w:t xml:space="preserve"> </w:t>
      </w:r>
      <w:r>
        <w:t xml:space="preserve">The open science practices assessed in our survey included: critical thinking, preregistration, registered reports, p-hacking, hypothesising after the results are known (HARKing), providing sufficent information of replicability, preprints, open materials, open data, and open access publishing. Each practice was elucidated by a pair of items (pro-open science; counter-open science) in the context of a common scenario,</w:t>
      </w:r>
      <w:r>
        <w:t xml:space="preserve"> </w:t>
      </w:r>
      <w:r>
        <w:t xml:space="preserve">“</w:t>
      </w:r>
      <w:r>
        <w:t xml:space="preserve">Imagine that Deborah is a psychology researcher who has designed a study to test a specific hypothesis.</w:t>
      </w:r>
      <w:r>
        <w:t xml:space="preserve">”</w:t>
      </w:r>
      <w:r>
        <w:t xml:space="preserve"> </w:t>
      </w:r>
      <w:r>
        <w:t xml:space="preserve">There were 20 scenarios in total (see Table @ref(tab:norm_counternorm_items)). Participants rated their agreement with each prescriptive statement on a 1 (strongly disagree) to 5 (strongly agree) scale.</w:t>
      </w:r>
    </w:p>
    <w:p>
      <w:pPr>
        <w:pStyle w:val="TableCaption"/>
      </w:pPr>
      <w:r>
        <w:t xml:space="preserve">(#tab:norm_counternorm_items)Norm and counternorm items</w:t>
      </w:r>
    </w:p>
    <w:tbl>
      <w:tblPr>
        <w:tblStyle w:val="Table"/>
        <w:tblW w:type="pct" w:w="5000.0"/>
        <w:tblLook w:firstRow="1" w:lastRow="0" w:firstColumn="0" w:lastColumn="0" w:noHBand="0" w:noVBand="0"/>
        <w:tblCaption w:val="(#tab:norm_counternorm_items)Norm and counternorm items"/>
      </w:tblPr>
      <w:tblGrid>
        <w:gridCol w:w="528"/>
        <w:gridCol w:w="275"/>
        <w:gridCol w:w="7116"/>
      </w:tblGrid>
      <w:tr>
        <w:trPr>
          <w:cnfStyle w:firstRow="1"/>
        </w:trPr>
        <w:tc>
          <w:tcPr>
            <w:tcBorders>
              <w:bottom w:val="single"/>
            </w:tcBorders>
            <w:vAlign w:val="bottom"/>
          </w:tcPr>
          <w:p>
            <w:pPr>
              <w:pStyle w:val="Compact"/>
              <w:jc w:val="left"/>
            </w:pPr>
            <w:r>
              <w:t xml:space="preserve">Practice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Item</w:t>
            </w:r>
          </w:p>
        </w:tc>
      </w:tr>
      <w:tr>
        <w:tc>
          <w:p>
            <w:pPr>
              <w:pStyle w:val="Compact"/>
              <w:jc w:val="left"/>
            </w:pPr>
            <w:r>
              <w:t xml:space="preserve">critical</w:t>
            </w:r>
          </w:p>
        </w:tc>
        <w:tc>
          <w:p>
            <w:pPr>
              <w:pStyle w:val="Compact"/>
              <w:jc w:val="left"/>
            </w:pPr>
            <w:r>
              <w:t xml:space="preserve">Norm</w:t>
            </w:r>
          </w:p>
        </w:tc>
        <w:tc>
          <w:p>
            <w:pPr>
              <w:pStyle w:val="Compact"/>
              <w:jc w:val="left"/>
            </w:pPr>
            <w:r>
              <w:t xml:space="preserve">Deborah used previously published research to inform her research study. Deborah should be critical of the findings published in journals because published research can be wrong.</w:t>
            </w:r>
          </w:p>
        </w:tc>
      </w:tr>
      <w:tr>
        <w:tc>
          <w:p>
            <w:pPr>
              <w:pStyle w:val="Compact"/>
              <w:jc w:val="left"/>
            </w:pPr>
            <w:r>
              <w:t xml:space="preserve">critical</w:t>
            </w:r>
          </w:p>
        </w:tc>
        <w:tc>
          <w:p>
            <w:pPr>
              <w:pStyle w:val="Compact"/>
              <w:jc w:val="left"/>
            </w:pPr>
            <w:r>
              <w:t xml:space="preserve">Counternorm</w:t>
            </w:r>
          </w:p>
        </w:tc>
        <w:tc>
          <w:p>
            <w:pPr>
              <w:pStyle w:val="Compact"/>
              <w:jc w:val="left"/>
            </w:pPr>
            <w:r>
              <w:t xml:space="preserve">Deborah used previously published research to inform her research study. Deborah should accept the findings published in journals because journals would not publish research with errors.</w:t>
            </w:r>
          </w:p>
        </w:tc>
      </w:tr>
      <w:tr>
        <w:tc>
          <w:p>
            <w:pPr>
              <w:pStyle w:val="Compact"/>
              <w:jc w:val="left"/>
            </w:pPr>
            <w:r>
              <w:t xml:space="preserve">HARKing</w:t>
            </w:r>
          </w:p>
        </w:tc>
        <w:tc>
          <w:p>
            <w:pPr>
              <w:pStyle w:val="Compact"/>
              <w:jc w:val="left"/>
            </w:pPr>
            <w:r>
              <w:t xml:space="preserve">Norm</w:t>
            </w:r>
          </w:p>
        </w:tc>
        <w:tc>
          <w:p>
            <w:pPr>
              <w:pStyle w:val="Compact"/>
              <w:jc w:val="left"/>
            </w:pPr>
            <w:r>
              <w:t xml:space="preserve">Deborah should only describe her study as a test of a hypothesis if she decided on her hypothesis and how she would test it before she started collecting data.</w:t>
            </w:r>
          </w:p>
        </w:tc>
      </w:tr>
      <w:tr>
        <w:tc>
          <w:p>
            <w:pPr>
              <w:pStyle w:val="Compact"/>
              <w:jc w:val="left"/>
            </w:pPr>
            <w:r>
              <w:t xml:space="preserve">HARKing</w:t>
            </w:r>
          </w:p>
        </w:tc>
        <w:tc>
          <w:p>
            <w:pPr>
              <w:pStyle w:val="Compact"/>
              <w:jc w:val="left"/>
            </w:pPr>
            <w:r>
              <w:t xml:space="preserve">Counternorm</w:t>
            </w:r>
          </w:p>
        </w:tc>
        <w:tc>
          <w:p>
            <w:pPr>
              <w:pStyle w:val="Compact"/>
              <w:jc w:val="left"/>
            </w:pPr>
            <w:r>
              <w:t xml:space="preserve">Once Deborah has analysed her results, it would be good scientific practice for her to write her manuscript as if she predicted those results from the beginning.</w:t>
            </w:r>
          </w:p>
        </w:tc>
      </w:tr>
      <w:tr>
        <w:tc>
          <w:p>
            <w:pPr>
              <w:pStyle w:val="Compact"/>
              <w:jc w:val="left"/>
            </w:pPr>
            <w:r>
              <w:t xml:space="preserve">Info for replicability</w:t>
            </w:r>
          </w:p>
        </w:tc>
        <w:tc>
          <w:p>
            <w:pPr>
              <w:pStyle w:val="Compact"/>
              <w:jc w:val="left"/>
            </w:pPr>
            <w:r>
              <w:t xml:space="preserve">Norm</w:t>
            </w:r>
          </w:p>
        </w:tc>
        <w:tc>
          <w:p>
            <w:pPr>
              <w:pStyle w:val="Compact"/>
              <w:jc w:val="left"/>
            </w:pPr>
            <w:r>
              <w:t xml:space="preserve">When reporting the findings of her study, Deborah should describe how she completed the study in enough detail that another researcher could repeat her entire study without having to check any details with her - even if this means including lots of</w:t>
            </w:r>
            <w:r>
              <w:t xml:space="preserve"> </w:t>
            </w:r>
            <w:r>
              <w:t xml:space="preserve">“</w:t>
            </w:r>
            <w:r>
              <w:t xml:space="preserve">boring</w:t>
            </w:r>
            <w:r>
              <w:t xml:space="preserve">”</w:t>
            </w:r>
            <w:r>
              <w:t xml:space="preserve"> </w:t>
            </w:r>
            <w:r>
              <w:t xml:space="preserve">practical details in her report, or in an appendix.</w:t>
            </w:r>
          </w:p>
        </w:tc>
      </w:tr>
      <w:tr>
        <w:tc>
          <w:p>
            <w:pPr>
              <w:pStyle w:val="Compact"/>
              <w:jc w:val="left"/>
            </w:pPr>
            <w:r>
              <w:t xml:space="preserve">Info for replicability</w:t>
            </w:r>
          </w:p>
        </w:tc>
        <w:tc>
          <w:p>
            <w:pPr>
              <w:pStyle w:val="Compact"/>
              <w:jc w:val="left"/>
            </w:pPr>
            <w:r>
              <w:t xml:space="preserve">Counternorm</w:t>
            </w:r>
          </w:p>
        </w:tc>
        <w:tc>
          <w:p>
            <w:pPr>
              <w:pStyle w:val="Compact"/>
              <w:jc w:val="left"/>
            </w:pPr>
            <w:r>
              <w:t xml:space="preserve">When reporting the findings of her study, it would be good scientific practice for Deborah to gloss over some of the practical details so she can tell a good story.</w:t>
            </w:r>
          </w:p>
        </w:tc>
      </w:tr>
      <w:tr>
        <w:tc>
          <w:p>
            <w:pPr>
              <w:pStyle w:val="Compact"/>
              <w:jc w:val="left"/>
            </w:pPr>
            <w:r>
              <w:t xml:space="preserve">Open access</w:t>
            </w:r>
          </w:p>
        </w:tc>
        <w:tc>
          <w:p>
            <w:pPr>
              <w:pStyle w:val="Compact"/>
              <w:jc w:val="left"/>
            </w:pPr>
            <w:r>
              <w:t xml:space="preserve">Norm</w:t>
            </w:r>
          </w:p>
        </w:tc>
        <w:tc>
          <w:p>
            <w:pPr>
              <w:pStyle w:val="Compact"/>
              <w:jc w:val="left"/>
            </w:pPr>
            <w:r>
              <w:t xml:space="preserve">Once her study is complete, Deborah should publish her findings in a journal that is free for others to access.</w:t>
            </w:r>
          </w:p>
        </w:tc>
      </w:tr>
      <w:tr>
        <w:tc>
          <w:p>
            <w:pPr>
              <w:pStyle w:val="Compact"/>
              <w:jc w:val="left"/>
            </w:pPr>
            <w:r>
              <w:t xml:space="preserve">open access</w:t>
            </w:r>
          </w:p>
        </w:tc>
        <w:tc>
          <w:p>
            <w:pPr>
              <w:pStyle w:val="Compact"/>
              <w:jc w:val="left"/>
            </w:pPr>
            <w:r>
              <w:t xml:space="preserve">Counternorm</w:t>
            </w:r>
          </w:p>
        </w:tc>
        <w:tc>
          <w:p>
            <w:pPr>
              <w:pStyle w:val="Compact"/>
              <w:jc w:val="left"/>
            </w:pPr>
            <w:r>
              <w:t xml:space="preserve">Once her study is complete, Deborah should publish the findings in the most prestigious journal she can, even if that journal charges others a fee to access the report.</w:t>
            </w:r>
          </w:p>
        </w:tc>
      </w:tr>
      <w:tr>
        <w:tc>
          <w:p>
            <w:pPr>
              <w:pStyle w:val="Compact"/>
              <w:jc w:val="left"/>
            </w:pPr>
            <w:r>
              <w:t xml:space="preserve">Open data</w:t>
            </w:r>
          </w:p>
        </w:tc>
        <w:tc>
          <w:p>
            <w:pPr>
              <w:pStyle w:val="Compact"/>
              <w:jc w:val="left"/>
            </w:pPr>
            <w:r>
              <w:t xml:space="preserve">Norm</w:t>
            </w:r>
          </w:p>
        </w:tc>
        <w:tc>
          <w:p>
            <w:pPr>
              <w:pStyle w:val="Compact"/>
              <w:jc w:val="left"/>
            </w:pPr>
            <w:r>
              <w:t xml:space="preserve">When Deborah publishes her study, she should post the anonymous responses from participants online so that anyone can access and use the responses in their own research.</w:t>
            </w:r>
          </w:p>
        </w:tc>
      </w:tr>
      <w:tr>
        <w:tc>
          <w:p>
            <w:pPr>
              <w:pStyle w:val="Compact"/>
              <w:jc w:val="left"/>
            </w:pPr>
            <w:r>
              <w:t xml:space="preserve">Open data</w:t>
            </w:r>
          </w:p>
        </w:tc>
        <w:tc>
          <w:p>
            <w:pPr>
              <w:pStyle w:val="Compact"/>
              <w:jc w:val="left"/>
            </w:pPr>
            <w:r>
              <w:t xml:space="preserve">Counternorm</w:t>
            </w:r>
          </w:p>
        </w:tc>
        <w:tc>
          <w:p>
            <w:pPr>
              <w:pStyle w:val="Compact"/>
              <w:jc w:val="left"/>
            </w:pPr>
            <w:r>
              <w:t xml:space="preserve">Deborah should keep the participants’ responses from her study protected, so that only she and her research team can access them.</w:t>
            </w:r>
          </w:p>
        </w:tc>
      </w:tr>
      <w:tr>
        <w:tc>
          <w:p>
            <w:pPr>
              <w:pStyle w:val="Compact"/>
              <w:jc w:val="left"/>
            </w:pPr>
            <w:r>
              <w:t xml:space="preserve">Open materials</w:t>
            </w:r>
          </w:p>
        </w:tc>
        <w:tc>
          <w:p>
            <w:pPr>
              <w:pStyle w:val="Compact"/>
              <w:jc w:val="left"/>
            </w:pPr>
            <w:r>
              <w:t xml:space="preserve">Norm</w:t>
            </w:r>
          </w:p>
        </w:tc>
        <w:tc>
          <w:p>
            <w:pPr>
              <w:pStyle w:val="Compact"/>
              <w:jc w:val="left"/>
            </w:pPr>
            <w:r>
              <w:t xml:space="preserve">Deborah should share the written materials and measures for her study openly online so that other researchers and members of the public can access and use them.</w:t>
            </w:r>
          </w:p>
        </w:tc>
      </w:tr>
      <w:tr>
        <w:tc>
          <w:p>
            <w:pPr>
              <w:pStyle w:val="Compact"/>
              <w:jc w:val="left"/>
            </w:pPr>
            <w:r>
              <w:t xml:space="preserve">Open materials</w:t>
            </w:r>
          </w:p>
        </w:tc>
        <w:tc>
          <w:p>
            <w:pPr>
              <w:pStyle w:val="Compact"/>
              <w:jc w:val="left"/>
            </w:pPr>
            <w:r>
              <w:t xml:space="preserve">Counternorm</w:t>
            </w:r>
          </w:p>
        </w:tc>
        <w:tc>
          <w:p>
            <w:pPr>
              <w:pStyle w:val="Compact"/>
              <w:jc w:val="left"/>
            </w:pPr>
            <w:r>
              <w:t xml:space="preserve">Deborah should keep the written materials and measures for her study protected, so that only she and her research team can access them.</w:t>
            </w:r>
          </w:p>
        </w:tc>
      </w:tr>
      <w:tr>
        <w:tc>
          <w:p>
            <w:pPr>
              <w:pStyle w:val="Compact"/>
              <w:jc w:val="left"/>
            </w:pPr>
            <w:r>
              <w:t xml:space="preserve">p-hacking</w:t>
            </w:r>
          </w:p>
        </w:tc>
        <w:tc>
          <w:p>
            <w:pPr>
              <w:pStyle w:val="Compact"/>
              <w:jc w:val="left"/>
            </w:pPr>
            <w:r>
              <w:t xml:space="preserve">Norm</w:t>
            </w:r>
          </w:p>
        </w:tc>
        <w:tc>
          <w:p>
            <w:pPr>
              <w:pStyle w:val="Compact"/>
              <w:jc w:val="left"/>
            </w:pPr>
            <w:r>
              <w:t xml:space="preserve">Deborah should report the findings of all analyses of her data that she conducts.</w:t>
            </w:r>
          </w:p>
        </w:tc>
      </w:tr>
      <w:tr>
        <w:tc>
          <w:p>
            <w:pPr>
              <w:pStyle w:val="Compact"/>
              <w:jc w:val="left"/>
            </w:pPr>
            <w:r>
              <w:t xml:space="preserve">p-hacking</w:t>
            </w:r>
          </w:p>
        </w:tc>
        <w:tc>
          <w:p>
            <w:pPr>
              <w:pStyle w:val="Compact"/>
              <w:jc w:val="left"/>
            </w:pPr>
            <w:r>
              <w:t xml:space="preserve">Counternorm</w:t>
            </w:r>
          </w:p>
        </w:tc>
        <w:tc>
          <w:p>
            <w:pPr>
              <w:pStyle w:val="Compact"/>
              <w:jc w:val="left"/>
            </w:pPr>
            <w:r>
              <w:t xml:space="preserve">It would be good scientific practice for Deborah to run many different analyses of her data, and report only those that produce interesting findings.</w:t>
            </w:r>
          </w:p>
        </w:tc>
      </w:tr>
      <w:tr>
        <w:tc>
          <w:p>
            <w:pPr>
              <w:pStyle w:val="Compact"/>
              <w:jc w:val="left"/>
            </w:pPr>
            <w:r>
              <w:t xml:space="preserve">Preprints</w:t>
            </w:r>
          </w:p>
        </w:tc>
        <w:tc>
          <w:p>
            <w:pPr>
              <w:pStyle w:val="Compact"/>
              <w:jc w:val="left"/>
            </w:pPr>
            <w:r>
              <w:t xml:space="preserve">Norm</w:t>
            </w:r>
          </w:p>
        </w:tc>
        <w:tc>
          <w:p>
            <w:pPr>
              <w:pStyle w:val="Compact"/>
              <w:jc w:val="left"/>
            </w:pPr>
            <w:r>
              <w:t xml:space="preserve">Deborah should post a manuscript describing the findings of her study openly online as soon as it is complete, even if the manuscript has not yet been checked by experts (peer reviewed) and accepted for publication in a journal.</w:t>
            </w:r>
          </w:p>
        </w:tc>
      </w:tr>
      <w:tr>
        <w:tc>
          <w:p>
            <w:pPr>
              <w:pStyle w:val="Compact"/>
              <w:jc w:val="left"/>
            </w:pPr>
            <w:r>
              <w:t xml:space="preserve">Preprints</w:t>
            </w:r>
          </w:p>
        </w:tc>
        <w:tc>
          <w:p>
            <w:pPr>
              <w:pStyle w:val="Compact"/>
              <w:jc w:val="left"/>
            </w:pPr>
            <w:r>
              <w:t xml:space="preserve">Counternorm</w:t>
            </w:r>
          </w:p>
        </w:tc>
        <w:tc>
          <w:p>
            <w:pPr>
              <w:pStyle w:val="Compact"/>
              <w:jc w:val="left"/>
            </w:pPr>
            <w:r>
              <w:t xml:space="preserve">Deborah should not post a manuscript describing the findings of her study online until after it has been checked by experts (peer reviewed) and accepted for publication in a journal.</w:t>
            </w:r>
          </w:p>
        </w:tc>
      </w:tr>
      <w:tr>
        <w:tc>
          <w:p>
            <w:pPr>
              <w:pStyle w:val="Compact"/>
              <w:jc w:val="left"/>
            </w:pPr>
            <w:r>
              <w:t xml:space="preserve">Pregistration</w:t>
            </w:r>
          </w:p>
        </w:tc>
        <w:tc>
          <w:p>
            <w:pPr>
              <w:pStyle w:val="Compact"/>
              <w:jc w:val="left"/>
            </w:pPr>
            <w:r>
              <w:t xml:space="preserve">Norm</w:t>
            </w:r>
          </w:p>
        </w:tc>
        <w:tc>
          <w:p>
            <w:pPr>
              <w:pStyle w:val="Compact"/>
              <w:jc w:val="left"/>
            </w:pPr>
            <w:r>
              <w:t xml:space="preserve">Before collecting her data, Deborah should write down what her hypotheses are and how she plans to collect and analyse data. She should then save her plan in an online registry so others can tell what methods and analyses she will use to test her hypotheses after collecting data.</w:t>
            </w:r>
          </w:p>
        </w:tc>
      </w:tr>
      <w:tr>
        <w:tc>
          <w:p>
            <w:pPr>
              <w:pStyle w:val="Compact"/>
              <w:jc w:val="left"/>
            </w:pPr>
            <w:r>
              <w:t xml:space="preserve">Preregistration</w:t>
            </w:r>
          </w:p>
        </w:tc>
        <w:tc>
          <w:p>
            <w:pPr>
              <w:pStyle w:val="Compact"/>
              <w:jc w:val="left"/>
            </w:pPr>
            <w:r>
              <w:t xml:space="preserve">Counternorm</w:t>
            </w:r>
          </w:p>
        </w:tc>
        <w:tc>
          <w:p>
            <w:pPr>
              <w:pStyle w:val="Compact"/>
              <w:jc w:val="left"/>
            </w:pPr>
            <w:r>
              <w:t xml:space="preserve">Deborah should decide which data analyses are suitable to test her hypotheses only after looking at her data.</w:t>
            </w:r>
          </w:p>
        </w:tc>
      </w:tr>
      <w:tr>
        <w:tc>
          <w:p>
            <w:pPr>
              <w:pStyle w:val="Compact"/>
              <w:jc w:val="left"/>
            </w:pPr>
            <w:r>
              <w:t xml:space="preserve">Registered reports</w:t>
            </w:r>
          </w:p>
        </w:tc>
        <w:tc>
          <w:p>
            <w:pPr>
              <w:pStyle w:val="Compact"/>
              <w:jc w:val="left"/>
            </w:pPr>
            <w:r>
              <w:t xml:space="preserve">Norm</w:t>
            </w:r>
          </w:p>
        </w:tc>
        <w:tc>
          <w:p>
            <w:pPr>
              <w:pStyle w:val="Compact"/>
              <w:jc w:val="left"/>
            </w:pPr>
            <w:r>
              <w:t xml:space="preserve">Deborah should submit a plan for her study to a journal to be checked by experts (peer reviewed) before she collects and analyses data.</w:t>
            </w:r>
          </w:p>
        </w:tc>
      </w:tr>
      <w:tr>
        <w:tc>
          <w:p>
            <w:pPr>
              <w:pStyle w:val="Compact"/>
              <w:jc w:val="left"/>
            </w:pPr>
            <w:r>
              <w:t xml:space="preserve">Registered reports</w:t>
            </w:r>
          </w:p>
        </w:tc>
        <w:tc>
          <w:p>
            <w:pPr>
              <w:pStyle w:val="Compact"/>
              <w:jc w:val="left"/>
            </w:pPr>
            <w:r>
              <w:t xml:space="preserve">Counternorm</w:t>
            </w:r>
          </w:p>
        </w:tc>
        <w:tc>
          <w:p>
            <w:pPr>
              <w:pStyle w:val="Compact"/>
              <w:jc w:val="left"/>
            </w:pPr>
            <w:r>
              <w:t xml:space="preserve">Deborah should submit her study to a journal to be checked by experts (peer reviewed) only after she has finished collecting and analysing her data.</w:t>
            </w:r>
          </w:p>
        </w:tc>
      </w:tr>
    </w:tbl>
    <w:bookmarkEnd w:id="23"/>
    <w:bookmarkStart w:id="24" w:name="Xd30bb1c1946244e55339f37901eee490fc377c0"/>
    <w:p>
      <w:pPr>
        <w:pStyle w:val="berschrift3"/>
      </w:pPr>
      <w:r>
        <w:t xml:space="preserve">Beliefs About the Practice of Psychological Science</w:t>
      </w:r>
    </w:p>
    <w:p>
      <w:pPr>
        <w:pStyle w:val="FirstParagraph"/>
      </w:pPr>
      <w:r>
        <w:t xml:space="preserve">We also sought to measure participants’ normative beliefs about how psychological science was actually conducted by researchers around the world. To that end we asked participants,</w:t>
      </w:r>
      <w:r>
        <w:t xml:space="preserve"> </w:t>
      </w:r>
      <w:r>
        <w:t xml:space="preserve">“</w:t>
      </w:r>
      <w:r>
        <w:t xml:space="preserve">When you consider all of the psychology studies conducted globally each year, what percentage of them would have the following characteristics?</w:t>
      </w:r>
      <w:r>
        <w:t xml:space="preserve">”</w:t>
      </w:r>
      <w:r>
        <w:t xml:space="preserve"> </w:t>
      </w:r>
      <w:r>
        <w:t xml:space="preserve">The ten characteristics explicitly described each of the ten open science practices (see Table XX). Participants were given a slider bar ranging from 0% to 100% to record their estimate.</w:t>
      </w:r>
    </w:p>
    <w:p>
      <w:pPr>
        <w:pStyle w:val="TableCaption"/>
      </w:pPr>
      <w:r>
        <w:t xml:space="preserve">(#tab:norms_in_practice_items)Norms in practice items</w:t>
      </w:r>
    </w:p>
    <w:tbl>
      <w:tblPr>
        <w:tblStyle w:val="Table"/>
        <w:tblW w:type="pct" w:w="5000.0"/>
        <w:tblLook w:firstRow="1" w:lastRow="0" w:firstColumn="0" w:lastColumn="0" w:noHBand="0" w:noVBand="0"/>
        <w:tblCaption w:val="(#tab:norms_in_practice_items)Norms in practice items"/>
      </w:tblPr>
      <w:tblGrid>
        <w:gridCol w:w="755"/>
        <w:gridCol w:w="7164"/>
      </w:tblGrid>
      <w:tr>
        <w:trPr>
          <w:cnfStyle w:firstRow="1"/>
        </w:trPr>
        <w:tc>
          <w:tcPr>
            <w:tcBorders>
              <w:bottom w:val="single"/>
            </w:tcBorders>
            <w:vAlign w:val="bottom"/>
          </w:tcPr>
          <w:p>
            <w:pPr>
              <w:pStyle w:val="Compact"/>
              <w:jc w:val="left"/>
            </w:pPr>
            <w:r>
              <w:t xml:space="preserve">Practice</w:t>
            </w:r>
          </w:p>
        </w:tc>
        <w:tc>
          <w:tcPr>
            <w:tcBorders>
              <w:bottom w:val="single"/>
            </w:tcBorders>
            <w:vAlign w:val="bottom"/>
          </w:tcPr>
          <w:p>
            <w:pPr>
              <w:pStyle w:val="Compact"/>
              <w:jc w:val="left"/>
            </w:pPr>
            <w:r>
              <w:t xml:space="preserve">Item</w:t>
            </w:r>
          </w:p>
        </w:tc>
      </w:tr>
      <w:tr>
        <w:tc>
          <w:p>
            <w:pPr>
              <w:pStyle w:val="Compact"/>
              <w:jc w:val="left"/>
            </w:pPr>
            <w:r>
              <w:t xml:space="preserve">Preregistration</w:t>
            </w:r>
          </w:p>
        </w:tc>
        <w:tc>
          <w:p>
            <w:pPr>
              <w:pStyle w:val="Compact"/>
              <w:jc w:val="left"/>
            </w:pPr>
            <w:r>
              <w:t xml:space="preserve">The plan for collecting and analysing data for the study is posted in an online registry before data collection starts</w:t>
            </w:r>
          </w:p>
        </w:tc>
      </w:tr>
      <w:tr>
        <w:tc>
          <w:p>
            <w:pPr>
              <w:pStyle w:val="Compact"/>
              <w:jc w:val="left"/>
            </w:pPr>
            <w:r>
              <w:t xml:space="preserve">Registered reports</w:t>
            </w:r>
          </w:p>
        </w:tc>
        <w:tc>
          <w:p>
            <w:pPr>
              <w:pStyle w:val="Compact"/>
              <w:jc w:val="left"/>
            </w:pPr>
            <w:r>
              <w:t xml:space="preserve">A plan for the study is submitted to a journal to be checked by experts (peer reviewed) before the data is collected and analysed</w:t>
            </w:r>
          </w:p>
        </w:tc>
      </w:tr>
      <w:tr>
        <w:tc>
          <w:p>
            <w:pPr>
              <w:pStyle w:val="Compact"/>
              <w:jc w:val="left"/>
            </w:pPr>
            <w:r>
              <w:t xml:space="preserve">p-hacking</w:t>
            </w:r>
          </w:p>
        </w:tc>
        <w:tc>
          <w:p>
            <w:pPr>
              <w:pStyle w:val="Compact"/>
              <w:jc w:val="left"/>
            </w:pPr>
            <w:r>
              <w:t xml:space="preserve">The researchers run many different analyses of the data, and report only those that produce interesting findings</w:t>
            </w:r>
          </w:p>
        </w:tc>
      </w:tr>
      <w:tr>
        <w:tc>
          <w:p>
            <w:pPr>
              <w:pStyle w:val="Compact"/>
              <w:jc w:val="left"/>
            </w:pPr>
            <w:r>
              <w:t xml:space="preserve">HARKing</w:t>
            </w:r>
          </w:p>
        </w:tc>
        <w:tc>
          <w:p>
            <w:pPr>
              <w:pStyle w:val="Compact"/>
              <w:jc w:val="left"/>
            </w:pPr>
            <w:r>
              <w:t xml:space="preserve">The researchers describe their results as if they predicted those results from the beginning, even if that isn’t actually true</w:t>
            </w:r>
          </w:p>
        </w:tc>
      </w:tr>
      <w:tr>
        <w:tc>
          <w:p>
            <w:pPr>
              <w:pStyle w:val="Compact"/>
              <w:jc w:val="left"/>
            </w:pPr>
            <w:r>
              <w:t xml:space="preserve">Info for replicability</w:t>
            </w:r>
          </w:p>
        </w:tc>
        <w:tc>
          <w:p>
            <w:pPr>
              <w:pStyle w:val="Compact"/>
              <w:jc w:val="left"/>
            </w:pPr>
            <w:r>
              <w:t xml:space="preserve">The researchers provide enough practical detail in their written report that another researcher could fully repeat (replicate) their study without needing to ask any questions of the original researchers</w:t>
            </w:r>
          </w:p>
        </w:tc>
      </w:tr>
      <w:tr>
        <w:tc>
          <w:p>
            <w:pPr>
              <w:pStyle w:val="Compact"/>
              <w:jc w:val="left"/>
            </w:pPr>
            <w:r>
              <w:t xml:space="preserve">Preprint</w:t>
            </w:r>
          </w:p>
        </w:tc>
        <w:tc>
          <w:p>
            <w:pPr>
              <w:pStyle w:val="Compact"/>
              <w:jc w:val="left"/>
            </w:pPr>
            <w:r>
              <w:t xml:space="preserve">A manuscript describing the findings of the study is posted openly online as soon as it is complete, even if the manuscript has not yet been checked by experts (peer reviewed) and accepted for publication in a journal</w:t>
            </w:r>
          </w:p>
        </w:tc>
      </w:tr>
      <w:tr>
        <w:tc>
          <w:p>
            <w:pPr>
              <w:pStyle w:val="Compact"/>
              <w:jc w:val="left"/>
            </w:pPr>
            <w:r>
              <w:t xml:space="preserve">open materials</w:t>
            </w:r>
          </w:p>
        </w:tc>
        <w:tc>
          <w:p>
            <w:pPr>
              <w:pStyle w:val="Compact"/>
              <w:jc w:val="left"/>
            </w:pPr>
            <w:r>
              <w:t xml:space="preserve">The written materials and measures for the study are posted openly online so that other researchers and members of the public can access and use them</w:t>
            </w:r>
          </w:p>
        </w:tc>
      </w:tr>
      <w:tr>
        <w:tc>
          <w:p>
            <w:pPr>
              <w:pStyle w:val="Compact"/>
              <w:jc w:val="left"/>
            </w:pPr>
            <w:r>
              <w:t xml:space="preserve">Open data</w:t>
            </w:r>
          </w:p>
        </w:tc>
        <w:tc>
          <w:p>
            <w:pPr>
              <w:pStyle w:val="Compact"/>
              <w:jc w:val="left"/>
            </w:pPr>
            <w:r>
              <w:t xml:space="preserve">Once the study is published, the anonymous responses from participants are posted openly online so that anyone can access and use the responses in their own research</w:t>
            </w:r>
          </w:p>
        </w:tc>
      </w:tr>
      <w:tr>
        <w:tc>
          <w:p>
            <w:pPr>
              <w:pStyle w:val="Compact"/>
              <w:jc w:val="left"/>
            </w:pPr>
            <w:r>
              <w:t xml:space="preserve">Data on request</w:t>
            </w:r>
          </w:p>
        </w:tc>
        <w:tc>
          <w:p>
            <w:pPr>
              <w:pStyle w:val="Compact"/>
              <w:jc w:val="left"/>
            </w:pPr>
            <w:r>
              <w:t xml:space="preserve">Once the study is published, the anonymous responses from participants are available to other researchers on request</w:t>
            </w:r>
          </w:p>
        </w:tc>
      </w:tr>
      <w:tr>
        <w:tc>
          <w:p>
            <w:pPr>
              <w:pStyle w:val="Compact"/>
              <w:jc w:val="left"/>
            </w:pPr>
            <w:r>
              <w:t xml:space="preserve">Open access</w:t>
            </w:r>
          </w:p>
        </w:tc>
        <w:tc>
          <w:p>
            <w:pPr>
              <w:pStyle w:val="Compact"/>
              <w:jc w:val="left"/>
            </w:pPr>
            <w:r>
              <w:t xml:space="preserve">The research report describing the study and its findings is published in a journal that is free for anyone to access</w:t>
            </w:r>
          </w:p>
        </w:tc>
      </w:tr>
    </w:tbl>
    <w:bookmarkEnd w:id="24"/>
    <w:bookmarkStart w:id="25" w:name="beliefs-about-replications"/>
    <w:p>
      <w:pPr>
        <w:pStyle w:val="berschrift3"/>
      </w:pPr>
      <w:r>
        <w:t xml:space="preserve">Beliefs About Replications</w:t>
      </w:r>
    </w:p>
    <w:p>
      <w:pPr>
        <w:pStyle w:val="FirstParagraph"/>
      </w:pPr>
      <w:r>
        <w:t xml:space="preserve">Participants’ beliefs about the replicability of results in psychological science were indexed by two questions. The first asked participants to,</w:t>
      </w:r>
      <w:r>
        <w:t xml:space="preserve"> </w:t>
      </w:r>
      <w:r>
        <w:t xml:space="preserve">&gt;</w:t>
      </w:r>
      <w:r>
        <w:t xml:space="preserve"> </w:t>
      </w:r>
      <w:r>
        <w:t xml:space="preserve">“</w:t>
      </w:r>
      <w:r>
        <w:t xml:space="preserve">Imagine that a set of researchers selected 100 published studies about psychology, and repeat each study again, exactly how it was described in the original report but with a new set of participants. We call repeating a study like this a</w:t>
      </w:r>
      <w:r>
        <w:t xml:space="preserve"> </w:t>
      </w:r>
      <w:r>
        <w:t xml:space="preserve">‘</w:t>
      </w:r>
      <w:r>
        <w:t xml:space="preserve">replication study.</w:t>
      </w:r>
      <w:r>
        <w:t xml:space="preserve">’</w:t>
      </w:r>
      <w:r>
        <w:t xml:space="preserve"> </w:t>
      </w:r>
      <w:r>
        <w:t xml:space="preserve">At a guess, how many of these replication studies do you think would produce the same conclusions as the original studies?</w:t>
      </w:r>
      <w:r>
        <w:t xml:space="preserve">”</w:t>
      </w:r>
    </w:p>
    <w:p>
      <w:pPr>
        <w:pStyle w:val="Textkrper"/>
      </w:pPr>
      <w:r>
        <w:t xml:space="preserve">Estimates were recorded using a slider bar ranging from 0% to 100%.</w:t>
      </w:r>
      <w:r>
        <w:t xml:space="preserve"> </w:t>
      </w:r>
      <w:r>
        <w:t xml:space="preserve">A second question asked participants whether they had heard of the replication crisis. Those who had heard of the replication crisis were asked two additional open-ended questions. First, they were asked to describe what the replication crisis is. Second, they were asked which scientific disciplines were most affected by the replication crisis.</w:t>
      </w:r>
    </w:p>
    <w:bookmarkEnd w:id="25"/>
    <w:bookmarkEnd w:id="26"/>
    <w:bookmarkStart w:id="27" w:name="procedure"/>
    <w:p>
      <w:pPr>
        <w:pStyle w:val="berschrift2"/>
      </w:pPr>
      <w:r>
        <w:t xml:space="preserve">Procedure</w:t>
      </w:r>
    </w:p>
    <w:p>
      <w:pPr>
        <w:pStyle w:val="FirstParagraph"/>
      </w:pPr>
      <w:r>
        <w:t xml:space="preserve">Collaborators/Contributors/Colleagues from ## tertiary institutions in Australia (n=), New Zealand (n=), the UK (n=), and the USA (n=) invited students enrolled in their first-year psychology course to participate in the online survey hosted on Qualtrics (CITE?). An invitation was sent to participants via email or a course website 1-2 weeks before their course began. After completing demographic information, participants completed measures of Open Science Norms and Counternorms, Norms in Practice, and Beliefs about Replications in that order. At the conclusion of the study participants were invited to share any comments about the survey before they were thanked for their participation and provided an informative debriefing about the aims of the study and links to further reading about open science practices in psychology. The survey took most participants approximately #-# minutes to complete.</w:t>
      </w:r>
    </w:p>
    <w:bookmarkEnd w:id="27"/>
    <w:bookmarkStart w:id="28" w:name="data-analysis"/>
    <w:p>
      <w:pPr>
        <w:pStyle w:val="berschrift2"/>
      </w:pPr>
      <w:r>
        <w:t xml:space="preserve">Data analysis</w:t>
      </w:r>
    </w:p>
    <w:bookmarkEnd w:id="28"/>
    <w:bookmarkEnd w:id="29"/>
    <w:bookmarkStart w:id="34" w:name="results"/>
    <w:p>
      <w:pPr>
        <w:pStyle w:val="berschrift1"/>
      </w:pPr>
      <w:r>
        <w:t xml:space="preserve">Results</w:t>
      </w:r>
    </w:p>
    <w:p>
      <w:pPr>
        <w:pStyle w:val="FirstParagraph"/>
      </w:pPr>
      <w:r>
        <w:t xml:space="preserve">In line with our preregisterd analysis plan, we calculated the difference in means</w:t>
      </w:r>
      <w:r>
        <w:t xml:space="preserve"> </w:t>
      </w:r>
      <w:r>
        <w:t xml:space="preserve">between responses to each norm item and its accompanying counternorm, along with</w:t>
      </w:r>
      <w:r>
        <w:t xml:space="preserve"> </w:t>
      </w:r>
      <w:r>
        <w:t xml:space="preserve">95% confidence intervals. For this analysis, we removed three cases with missing values.</w:t>
      </w:r>
      <w:r>
        <w:t xml:space="preserve"> </w:t>
      </w:r>
      <w:r>
        <w:t xml:space="preserve">Table XX displays the means and standard deviations for each norm, counternorm,</w:t>
      </w:r>
      <w:r>
        <w:t xml:space="preserve"> </w:t>
      </w:r>
      <w:r>
        <w:t xml:space="preserve">and the difference values.</w:t>
      </w:r>
    </w:p>
    <w:p>
      <w:pPr>
        <w:pStyle w:val="Textkrper"/>
      </w:pPr>
      <w:r>
        <w:t xml:space="preserve">??</w:t>
      </w:r>
    </w:p>
    <w:p>
      <w:pPr>
        <w:pStyle w:val="Textkrper"/>
      </w:pPr>
      <w:r>
        <w:t xml:space="preserve">In general, the students seemed to endorse open science practices: For seven of the ten open science practices, agreement with the norm item was stronger than for the corresponding counternorm. However, the extent to which participants endorsed open science norms varied very substantially across different practices. In terms of open science norms, participants most strongly endorsed the idea that researchers should provide sufficient information about studies to permit replicability, be critical of published findings, and avoid p-hacking (means &gt; 4). They also tended to agree that researchers should avoid HARKing, share papers as open access, share open materials, and preregister their studies; the means for these items were all between 3.5 and 4 (4 representing</w:t>
      </w:r>
      <w:r>
        <w:t xml:space="preserve"> </w:t>
      </w:r>
      <w:r>
        <w:t xml:space="preserve">‘</w:t>
      </w:r>
      <w:r>
        <w:t xml:space="preserve">agree</w:t>
      </w:r>
      <w:r>
        <w:t xml:space="preserve">’</w:t>
      </w:r>
      <w:r>
        <w:t xml:space="preserve">). On the other hand, they tended to disagree with the practice of sharing preprints prior to peer review, and to a lesser extent with sharing open data. The practice of registered reports was the one about which participants were most equivocal, with very similar levels of agreement (near the midpoint of 3) with both norm and counternorm for this item. This may be relatively unsurprising, given that the registered reports are perhaps the most recent innovation in the list of practices.</w:t>
      </w:r>
    </w:p>
    <w:p>
      <w:pPr>
        <w:pStyle w:val="Textkrper"/>
      </w:pPr>
      <w:r>
        <w:t xml:space="preserve">Unsurprisingly, there were fairly substantial negative correlations between the norm and counternorm pairs, although this was not the case for all pairs: For the norm and counternorm items relating to preregistrations, the correlation was -0.00. Similarly for the norm and counternorm items relating to HARKing, the correlation was negative but very small.</w:t>
      </w:r>
    </w:p>
    <w:p>
      <w:pPr>
        <w:pStyle w:val="TableCaption"/>
      </w:pPr>
      <w:r>
        <w:t xml:space="preserve">(#tab:difference between norm and counternorm)Means (sd) for norms, counternorms, the difference between norms and counternorms, and correlations between norms and counternorms</w:t>
      </w:r>
    </w:p>
    <w:tbl>
      <w:tblPr>
        <w:tblStyle w:val="Table"/>
        <w:tblW w:type="pct" w:w="4999.999999999999"/>
        <w:tblLook w:firstRow="1" w:lastRow="0" w:firstColumn="0" w:lastColumn="0" w:noHBand="0" w:noVBand="0"/>
        <w:tblCaption w:val="(#tab:difference between norm and counternorm)Means (sd) for norms, counternorms, the difference between norms and counternorms, and correlations between norms and counternorms"/>
      </w:tblPr>
      <w:tblGrid>
        <w:gridCol w:w="1188"/>
        <w:gridCol w:w="1029"/>
        <w:gridCol w:w="1029"/>
        <w:gridCol w:w="2296"/>
        <w:gridCol w:w="1663"/>
        <w:gridCol w:w="712"/>
      </w:tblGrid>
      <w:tr>
        <w:trPr>
          <w:cnfStyle w:firstRow="1"/>
        </w:trPr>
        <w:tc>
          <w:tcPr>
            <w:tcBorders>
              <w:bottom w:val="single"/>
            </w:tcBorders>
            <w:vAlign w:val="bottom"/>
          </w:tcPr>
          <w:p>
            <w:pPr>
              <w:pStyle w:val="Compact"/>
              <w:jc w:val="left"/>
            </w:pPr>
            <w:r>
              <w:t xml:space="preserve">Practice</w:t>
            </w:r>
          </w:p>
        </w:tc>
        <w:tc>
          <w:tcPr>
            <w:tcBorders>
              <w:bottom w:val="single"/>
            </w:tcBorders>
            <w:vAlign w:val="bottom"/>
          </w:tcPr>
          <w:p>
            <w:pPr>
              <w:pStyle w:val="Compact"/>
              <w:jc w:val="center"/>
            </w:pPr>
            <w:r>
              <w:t xml:space="preserve">Norm</w:t>
            </w:r>
          </w:p>
        </w:tc>
        <w:tc>
          <w:tcPr>
            <w:tcBorders>
              <w:bottom w:val="single"/>
            </w:tcBorders>
            <w:vAlign w:val="bottom"/>
          </w:tcPr>
          <w:p>
            <w:pPr>
              <w:pStyle w:val="Compact"/>
              <w:jc w:val="center"/>
            </w:pPr>
            <w:r>
              <w:t xml:space="preserve">Counternorm</w:t>
            </w:r>
          </w:p>
        </w:tc>
        <w:tc>
          <w:tcPr>
            <w:tcBorders>
              <w:bottom w:val="single"/>
            </w:tcBorders>
            <w:vAlign w:val="bottom"/>
          </w:tcPr>
          <w:p>
            <w:pPr>
              <w:pStyle w:val="Compact"/>
              <w:jc w:val="center"/>
            </w:pPr>
            <w:r>
              <w:t xml:space="preserve">Difference</w:t>
            </w:r>
          </w:p>
        </w:tc>
        <w:tc>
          <w:tcPr>
            <w:tcBorders>
              <w:bottom w:val="single"/>
            </w:tcBorders>
            <w:vAlign w:val="bottom"/>
          </w:tcPr>
          <w:p>
            <w:pPr>
              <w:pStyle w:val="Compact"/>
              <w:jc w:val="left"/>
            </w:pPr>
            <w:r>
              <w:t xml:space="preserve">Correlation</w:t>
            </w:r>
          </w:p>
        </w:tc>
        <w:tc>
          <w:tcPr>
            <w:tcBorders>
              <w:bottom w:val="single"/>
            </w:tcBorders>
            <w:vAlign w:val="bottom"/>
          </w:tcPr>
          <w:p>
            <w:pPr>
              <w:pStyle w:val="Compact"/>
              <w:jc w:val="center"/>
            </w:pPr>
            <w:r>
              <w:t xml:space="preserve">p.value</w:t>
            </w:r>
          </w:p>
        </w:tc>
      </w:tr>
      <w:tr>
        <w:tc>
          <w:p>
            <w:pPr>
              <w:pStyle w:val="Compact"/>
              <w:jc w:val="left"/>
            </w:pPr>
            <w:r>
              <w:t xml:space="preserve">critical</w:t>
            </w:r>
          </w:p>
        </w:tc>
        <w:tc>
          <w:p>
            <w:pPr>
              <w:pStyle w:val="Compact"/>
              <w:jc w:val="center"/>
            </w:pPr>
            <w:r>
              <w:t xml:space="preserve">4.32 (0.82)</w:t>
            </w:r>
          </w:p>
        </w:tc>
        <w:tc>
          <w:p>
            <w:pPr>
              <w:pStyle w:val="Compact"/>
              <w:jc w:val="center"/>
            </w:pPr>
            <w:r>
              <w:t xml:space="preserve">2.41 (1.06)</w:t>
            </w:r>
          </w:p>
        </w:tc>
        <w:tc>
          <w:p>
            <w:pPr>
              <w:pStyle w:val="Compact"/>
              <w:jc w:val="center"/>
            </w:pPr>
            <w:r>
              <w:t xml:space="preserve">1.91 (1.47) [1.73, 2.10]</w:t>
            </w:r>
          </w:p>
        </w:tc>
        <w:tc>
          <w:p>
            <w:pPr>
              <w:pStyle w:val="Compact"/>
              <w:jc w:val="left"/>
            </w:pPr>
            <w:r>
              <w:t xml:space="preserve">-0.21 [-0.33, -0.09]</w:t>
            </w:r>
          </w:p>
        </w:tc>
        <w:tc>
          <w:p>
            <w:pPr>
              <w:pStyle w:val="Compact"/>
              <w:jc w:val="center"/>
            </w:pPr>
            <w:r>
              <w:t xml:space="preserve">0.001</w:t>
            </w:r>
          </w:p>
        </w:tc>
      </w:tr>
      <w:tr>
        <w:tc>
          <w:p>
            <w:pPr>
              <w:pStyle w:val="Compact"/>
              <w:jc w:val="left"/>
            </w:pPr>
            <w:r>
              <w:t xml:space="preserve">hark</w:t>
            </w:r>
          </w:p>
        </w:tc>
        <w:tc>
          <w:p>
            <w:pPr>
              <w:pStyle w:val="Compact"/>
              <w:jc w:val="center"/>
            </w:pPr>
            <w:r>
              <w:t xml:space="preserve">3.89 (1.08)</w:t>
            </w:r>
          </w:p>
        </w:tc>
        <w:tc>
          <w:p>
            <w:pPr>
              <w:pStyle w:val="Compact"/>
              <w:jc w:val="center"/>
            </w:pPr>
            <w:r>
              <w:t xml:space="preserve">1.66 (1.07)</w:t>
            </w:r>
          </w:p>
        </w:tc>
        <w:tc>
          <w:p>
            <w:pPr>
              <w:pStyle w:val="Compact"/>
              <w:jc w:val="center"/>
            </w:pPr>
            <w:r>
              <w:t xml:space="preserve">2.23 (1.58) [2.03, 2.43]</w:t>
            </w:r>
          </w:p>
        </w:tc>
        <w:tc>
          <w:p>
            <w:pPr>
              <w:pStyle w:val="Compact"/>
              <w:jc w:val="left"/>
            </w:pPr>
            <w:r>
              <w:t xml:space="preserve">-0.08 [-0.21, 0.05]</w:t>
            </w:r>
          </w:p>
        </w:tc>
        <w:tc>
          <w:p>
            <w:pPr>
              <w:pStyle w:val="Compact"/>
              <w:jc w:val="center"/>
            </w:pPr>
            <w:r>
              <w:t xml:space="preserve">0.213</w:t>
            </w:r>
          </w:p>
        </w:tc>
      </w:tr>
      <w:tr>
        <w:tc>
          <w:p>
            <w:pPr>
              <w:pStyle w:val="Compact"/>
              <w:jc w:val="left"/>
            </w:pPr>
            <w:r>
              <w:t xml:space="preserve">info_for_rep</w:t>
            </w:r>
          </w:p>
        </w:tc>
        <w:tc>
          <w:p>
            <w:pPr>
              <w:pStyle w:val="Compact"/>
              <w:jc w:val="center"/>
            </w:pPr>
            <w:r>
              <w:t xml:space="preserve">4.42 (0.98)</w:t>
            </w:r>
          </w:p>
        </w:tc>
        <w:tc>
          <w:p>
            <w:pPr>
              <w:pStyle w:val="Compact"/>
              <w:jc w:val="center"/>
            </w:pPr>
            <w:r>
              <w:t xml:space="preserve">1.51 (0.94)</w:t>
            </w:r>
          </w:p>
        </w:tc>
        <w:tc>
          <w:p>
            <w:pPr>
              <w:pStyle w:val="Compact"/>
              <w:jc w:val="center"/>
            </w:pPr>
            <w:r>
              <w:t xml:space="preserve">2.91 (1.50) [2.72, 3.10]</w:t>
            </w:r>
          </w:p>
        </w:tc>
        <w:tc>
          <w:p>
            <w:pPr>
              <w:pStyle w:val="Compact"/>
              <w:jc w:val="left"/>
            </w:pPr>
            <w:r>
              <w:t xml:space="preserve">-0.22 [-0.34, -0.09]</w:t>
            </w:r>
          </w:p>
        </w:tc>
        <w:tc>
          <w:p>
            <w:pPr>
              <w:pStyle w:val="Compact"/>
              <w:jc w:val="center"/>
            </w:pPr>
            <w:r>
              <w:t xml:space="preserve">0.001</w:t>
            </w:r>
          </w:p>
        </w:tc>
      </w:tr>
      <w:tr>
        <w:tc>
          <w:p>
            <w:pPr>
              <w:pStyle w:val="Compact"/>
              <w:jc w:val="left"/>
            </w:pPr>
            <w:r>
              <w:t xml:space="preserve">open_access</w:t>
            </w:r>
          </w:p>
        </w:tc>
        <w:tc>
          <w:p>
            <w:pPr>
              <w:pStyle w:val="Compact"/>
              <w:jc w:val="center"/>
            </w:pPr>
            <w:r>
              <w:t xml:space="preserve">3.86 (0.90)</w:t>
            </w:r>
          </w:p>
        </w:tc>
        <w:tc>
          <w:p>
            <w:pPr>
              <w:pStyle w:val="Compact"/>
              <w:jc w:val="center"/>
            </w:pPr>
            <w:r>
              <w:t xml:space="preserve">2.53 (0.92)</w:t>
            </w:r>
          </w:p>
        </w:tc>
        <w:tc>
          <w:p>
            <w:pPr>
              <w:pStyle w:val="Compact"/>
              <w:jc w:val="center"/>
            </w:pPr>
            <w:r>
              <w:t xml:space="preserve">1.33 (1.48) [1.14, 1.52]</w:t>
            </w:r>
          </w:p>
        </w:tc>
        <w:tc>
          <w:p>
            <w:pPr>
              <w:pStyle w:val="Compact"/>
              <w:jc w:val="left"/>
            </w:pPr>
            <w:r>
              <w:t xml:space="preserve">-0.32 [-0.43, -0.20]</w:t>
            </w:r>
          </w:p>
        </w:tc>
        <w:tc>
          <w:p>
            <w:pPr>
              <w:pStyle w:val="Compact"/>
              <w:jc w:val="center"/>
            </w:pPr>
            <w:r>
              <w:t xml:space="preserve">&lt; 0.001</w:t>
            </w:r>
          </w:p>
        </w:tc>
      </w:tr>
      <w:tr>
        <w:tc>
          <w:p>
            <w:pPr>
              <w:pStyle w:val="Compact"/>
              <w:jc w:val="left"/>
            </w:pPr>
            <w:r>
              <w:t xml:space="preserve">open_data</w:t>
            </w:r>
          </w:p>
        </w:tc>
        <w:tc>
          <w:p>
            <w:pPr>
              <w:pStyle w:val="Compact"/>
              <w:jc w:val="center"/>
            </w:pPr>
            <w:r>
              <w:t xml:space="preserve">2.66 (1.21)</w:t>
            </w:r>
          </w:p>
        </w:tc>
        <w:tc>
          <w:p>
            <w:pPr>
              <w:pStyle w:val="Compact"/>
              <w:jc w:val="center"/>
            </w:pPr>
            <w:r>
              <w:t xml:space="preserve">3.49 (1.25)</w:t>
            </w:r>
          </w:p>
        </w:tc>
        <w:tc>
          <w:p>
            <w:pPr>
              <w:pStyle w:val="Compact"/>
              <w:jc w:val="center"/>
            </w:pPr>
            <w:r>
              <w:t xml:space="preserve">-0.83 (2.17) [-1.10, -0.55]</w:t>
            </w:r>
          </w:p>
        </w:tc>
        <w:tc>
          <w:p>
            <w:pPr>
              <w:pStyle w:val="Compact"/>
              <w:jc w:val="left"/>
            </w:pPr>
            <w:r>
              <w:t xml:space="preserve">-0.56 [-0.64, -0.46]</w:t>
            </w:r>
          </w:p>
        </w:tc>
        <w:tc>
          <w:p>
            <w:pPr>
              <w:pStyle w:val="Compact"/>
              <w:jc w:val="center"/>
            </w:pPr>
            <w:r>
              <w:t xml:space="preserve">&lt; 0.001</w:t>
            </w:r>
          </w:p>
        </w:tc>
      </w:tr>
      <w:tr>
        <w:tc>
          <w:p>
            <w:pPr>
              <w:pStyle w:val="Compact"/>
              <w:jc w:val="left"/>
            </w:pPr>
            <w:r>
              <w:t xml:space="preserve">open_materials</w:t>
            </w:r>
          </w:p>
        </w:tc>
        <w:tc>
          <w:p>
            <w:pPr>
              <w:pStyle w:val="Compact"/>
              <w:jc w:val="center"/>
            </w:pPr>
            <w:r>
              <w:t xml:space="preserve">3.69 (1.02)</w:t>
            </w:r>
          </w:p>
        </w:tc>
        <w:tc>
          <w:p>
            <w:pPr>
              <w:pStyle w:val="Compact"/>
              <w:jc w:val="center"/>
            </w:pPr>
            <w:r>
              <w:t xml:space="preserve">2.49 (1.14)</w:t>
            </w:r>
          </w:p>
        </w:tc>
        <w:tc>
          <w:p>
            <w:pPr>
              <w:pStyle w:val="Compact"/>
              <w:jc w:val="center"/>
            </w:pPr>
            <w:r>
              <w:t xml:space="preserve">1.20 (1.96) [0.95, 1.45]</w:t>
            </w:r>
          </w:p>
        </w:tc>
        <w:tc>
          <w:p>
            <w:pPr>
              <w:pStyle w:val="Compact"/>
              <w:jc w:val="left"/>
            </w:pPr>
            <w:r>
              <w:t xml:space="preserve">-0.65 [-0.71, -0.56]</w:t>
            </w:r>
          </w:p>
        </w:tc>
        <w:tc>
          <w:p>
            <w:pPr>
              <w:pStyle w:val="Compact"/>
              <w:jc w:val="center"/>
            </w:pPr>
            <w:r>
              <w:t xml:space="preserve">&lt; 0.001</w:t>
            </w:r>
          </w:p>
        </w:tc>
      </w:tr>
      <w:tr>
        <w:tc>
          <w:p>
            <w:pPr>
              <w:pStyle w:val="Compact"/>
              <w:jc w:val="left"/>
            </w:pPr>
            <w:r>
              <w:t xml:space="preserve">phack</w:t>
            </w:r>
          </w:p>
        </w:tc>
        <w:tc>
          <w:p>
            <w:pPr>
              <w:pStyle w:val="Compact"/>
              <w:jc w:val="center"/>
            </w:pPr>
            <w:r>
              <w:t xml:space="preserve">4.34 (0.90)</w:t>
            </w:r>
          </w:p>
        </w:tc>
        <w:tc>
          <w:p>
            <w:pPr>
              <w:pStyle w:val="Compact"/>
              <w:jc w:val="center"/>
            </w:pPr>
            <w:r>
              <w:t xml:space="preserve">2.13 (1.27)</w:t>
            </w:r>
          </w:p>
        </w:tc>
        <w:tc>
          <w:p>
            <w:pPr>
              <w:pStyle w:val="Compact"/>
              <w:jc w:val="center"/>
            </w:pPr>
            <w:r>
              <w:t xml:space="preserve">2.21 (1.79) [1.98, 2.43]</w:t>
            </w:r>
          </w:p>
        </w:tc>
        <w:tc>
          <w:p>
            <w:pPr>
              <w:pStyle w:val="Compact"/>
              <w:jc w:val="left"/>
            </w:pPr>
            <w:r>
              <w:t xml:space="preserve">-0.35 [-0.46, -0.23]</w:t>
            </w:r>
          </w:p>
        </w:tc>
        <w:tc>
          <w:p>
            <w:pPr>
              <w:pStyle w:val="Compact"/>
              <w:jc w:val="center"/>
            </w:pPr>
            <w:r>
              <w:t xml:space="preserve">&lt; 0.001</w:t>
            </w:r>
          </w:p>
        </w:tc>
      </w:tr>
      <w:tr>
        <w:tc>
          <w:p>
            <w:pPr>
              <w:pStyle w:val="Compact"/>
              <w:jc w:val="left"/>
            </w:pPr>
            <w:r>
              <w:t xml:space="preserve">preprint</w:t>
            </w:r>
          </w:p>
        </w:tc>
        <w:tc>
          <w:p>
            <w:pPr>
              <w:pStyle w:val="Compact"/>
              <w:jc w:val="center"/>
            </w:pPr>
            <w:r>
              <w:t xml:space="preserve">1.60 (0.77)</w:t>
            </w:r>
          </w:p>
        </w:tc>
        <w:tc>
          <w:p>
            <w:pPr>
              <w:pStyle w:val="Compact"/>
              <w:jc w:val="center"/>
            </w:pPr>
            <w:r>
              <w:t xml:space="preserve">4.36 (0.80)</w:t>
            </w:r>
          </w:p>
        </w:tc>
        <w:tc>
          <w:p>
            <w:pPr>
              <w:pStyle w:val="Compact"/>
              <w:jc w:val="center"/>
            </w:pPr>
            <w:r>
              <w:t xml:space="preserve">-2.76 (1.42) [-2.94, -2.58]</w:t>
            </w:r>
          </w:p>
        </w:tc>
        <w:tc>
          <w:p>
            <w:pPr>
              <w:pStyle w:val="Compact"/>
              <w:jc w:val="left"/>
            </w:pPr>
            <w:r>
              <w:t xml:space="preserve">-0.65 [-0.71, -0.56]</w:t>
            </w:r>
          </w:p>
        </w:tc>
        <w:tc>
          <w:p>
            <w:pPr>
              <w:pStyle w:val="Compact"/>
              <w:jc w:val="center"/>
            </w:pPr>
            <w:r>
              <w:t xml:space="preserve">&lt; 0.001</w:t>
            </w:r>
          </w:p>
        </w:tc>
      </w:tr>
      <w:tr>
        <w:tc>
          <w:p>
            <w:pPr>
              <w:pStyle w:val="Compact"/>
              <w:jc w:val="left"/>
            </w:pPr>
            <w:r>
              <w:t xml:space="preserve">prereg</w:t>
            </w:r>
          </w:p>
        </w:tc>
        <w:tc>
          <w:p>
            <w:pPr>
              <w:pStyle w:val="Compact"/>
              <w:jc w:val="center"/>
            </w:pPr>
            <w:r>
              <w:t xml:space="preserve">3.97 (1.07)</w:t>
            </w:r>
          </w:p>
        </w:tc>
        <w:tc>
          <w:p>
            <w:pPr>
              <w:pStyle w:val="Compact"/>
              <w:jc w:val="center"/>
            </w:pPr>
            <w:r>
              <w:t xml:space="preserve">2.75 (1.24)</w:t>
            </w:r>
          </w:p>
        </w:tc>
        <w:tc>
          <w:p>
            <w:pPr>
              <w:pStyle w:val="Compact"/>
              <w:jc w:val="center"/>
            </w:pPr>
            <w:r>
              <w:t xml:space="preserve">1.22 (1.64) [1.01, 1.43]</w:t>
            </w:r>
          </w:p>
        </w:tc>
        <w:tc>
          <w:p>
            <w:pPr>
              <w:pStyle w:val="Compact"/>
              <w:jc w:val="left"/>
            </w:pPr>
            <w:r>
              <w:t xml:space="preserve">-0.00 [-0.13, 0.12]</w:t>
            </w:r>
          </w:p>
        </w:tc>
        <w:tc>
          <w:p>
            <w:pPr>
              <w:pStyle w:val="Compact"/>
              <w:jc w:val="center"/>
            </w:pPr>
            <w:r>
              <w:t xml:space="preserve">0.943</w:t>
            </w:r>
          </w:p>
        </w:tc>
      </w:tr>
      <w:tr>
        <w:tc>
          <w:p>
            <w:pPr>
              <w:pStyle w:val="Compact"/>
              <w:jc w:val="left"/>
            </w:pPr>
            <w:r>
              <w:t xml:space="preserve">reg_report</w:t>
            </w:r>
          </w:p>
        </w:tc>
        <w:tc>
          <w:p>
            <w:pPr>
              <w:pStyle w:val="Compact"/>
              <w:jc w:val="center"/>
            </w:pPr>
            <w:r>
              <w:t xml:space="preserve">3.36 (1.26)</w:t>
            </w:r>
          </w:p>
        </w:tc>
        <w:tc>
          <w:p>
            <w:pPr>
              <w:pStyle w:val="Compact"/>
              <w:jc w:val="center"/>
            </w:pPr>
            <w:r>
              <w:t xml:space="preserve">3.56 (1.19)</w:t>
            </w:r>
          </w:p>
        </w:tc>
        <w:tc>
          <w:p>
            <w:pPr>
              <w:pStyle w:val="Compact"/>
              <w:jc w:val="center"/>
            </w:pPr>
            <w:r>
              <w:t xml:space="preserve">-0.20 (2.13) [-0.47, 0.07]</w:t>
            </w:r>
          </w:p>
        </w:tc>
        <w:tc>
          <w:p>
            <w:pPr>
              <w:pStyle w:val="Compact"/>
              <w:jc w:val="left"/>
            </w:pPr>
            <w:r>
              <w:t xml:space="preserve">-0.51 [-0.60, -0.41]</w:t>
            </w:r>
          </w:p>
        </w:tc>
        <w:tc>
          <w:p>
            <w:pPr>
              <w:pStyle w:val="Compact"/>
              <w:jc w:val="center"/>
            </w:pPr>
            <w:r>
              <w:t xml:space="preserve">&lt; 0.001</w:t>
            </w:r>
          </w:p>
        </w:tc>
      </w:tr>
    </w:tbl>
    <w:p>
      <w:pPr>
        <w:pStyle w:val="Textkrper"/>
      </w:pPr>
      <w:r>
        <w:drawing>
          <wp:inline>
            <wp:extent cx="5969000" cy="4775200"/>
            <wp:effectExtent b="0" l="0" r="0" t="0"/>
            <wp:docPr descr="" title="" id="1" name="Picture"/>
            <a:graphic>
              <a:graphicData uri="http://schemas.openxmlformats.org/drawingml/2006/picture">
                <pic:pic>
                  <pic:nvPicPr>
                    <pic:cNvPr descr="Manuscript_files/figure-docx/correlation_matrix-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r>
        <w:drawing>
          <wp:inline>
            <wp:extent cx="5969000" cy="4775200"/>
            <wp:effectExtent b="0" l="0" r="0" t="0"/>
            <wp:docPr descr="" title="" id="1" name="Picture"/>
            <a:graphic>
              <a:graphicData uri="http://schemas.openxmlformats.org/drawingml/2006/picture">
                <pic:pic>
                  <pic:nvPicPr>
                    <pic:cNvPr descr="Manuscript_files/figure-docx/correlation_matrix-2.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bookmarkStart w:id="32" w:name="norms-in-practice"/>
    <w:p>
      <w:pPr>
        <w:pStyle w:val="berschrift2"/>
      </w:pPr>
      <w:r>
        <w:t xml:space="preserve">Norms in practice</w:t>
      </w:r>
    </w:p>
    <w:p>
      <w:pPr>
        <w:pStyle w:val="FirstParagraph"/>
      </w:pPr>
      <w:r>
        <w:t xml:space="preserve">Participants were also asked to estimate the proportion of psychology studies estimated globally which apply ten practices. These practices corresponded approximately to the ten norm-counternorm pairs, albeit with one norm excluded on the basis of not referring to behaviour (critically evaluating published studies vs. accepting them), and one practice added out of interest (data sharing on request). For many of these practices, participants estimates were near the midpoint of 50%. This said, participants perceived some practices as being applied relatively infrequently: For example, the mean estimate of the prevalence of HARKing, preprint sharing before publication, and open data sharing were all near 30%. Participants seemed to perceived that the most common practice was providing enough information in written reports to permit replication without asking any questions of the original researchers. It is perhaps fair to say that participants mean estimate that 63.41% of studies have this characteristic represents a rather optimistic projection.</w:t>
      </w:r>
    </w:p>
    <w:bookmarkEnd w:id="32"/>
    <w:bookmarkStart w:id="33" w:name="the-replication-crisis"/>
    <w:p>
      <w:pPr>
        <w:pStyle w:val="berschrift2"/>
      </w:pPr>
      <w:r>
        <w:t xml:space="preserve">The replication crisis</w:t>
      </w:r>
    </w:p>
    <w:p>
      <w:pPr>
        <w:pStyle w:val="FirstParagraph"/>
      </w:pPr>
      <w:r>
        <w:t xml:space="preserve">Interestingly, the vast majority of participants had not heard of</w:t>
      </w:r>
      <w:r>
        <w:t xml:space="preserve"> </w:t>
      </w:r>
      <w:r>
        <w:t xml:space="preserve">“</w:t>
      </w:r>
      <w:r>
        <w:t xml:space="preserve">the replication crisis</w:t>
      </w:r>
      <w:r>
        <w:t xml:space="preserve">”</w:t>
      </w:r>
      <w:r>
        <w:t xml:space="preserve"> </w:t>
      </w:r>
      <w:r>
        <w:t xml:space="preserve">.</w:t>
      </w:r>
    </w:p>
    <w:p>
      <w:pPr>
        <w:pStyle w:val="Textkrper"/>
      </w:pPr>
      <w:r>
        <w:t xml:space="preserve">Participants’ estimates of the replicability of psychological studies was near the midpoint of the possible range</w:t>
      </w:r>
      <w:r>
        <w:t xml:space="preserve"> </w:t>
      </w:r>
      <w:r>
        <w:t xml:space="preserve"> </w:t>
      </w:r>
      <w:r>
        <w:t xml:space="preserve">.</w:t>
      </w:r>
    </w:p>
    <w:bookmarkEnd w:id="33"/>
    <w:bookmarkEnd w:id="34"/>
    <w:bookmarkStart w:id="37" w:name="discussion"/>
    <w:p>
      <w:pPr>
        <w:pStyle w:val="berschrift1"/>
      </w:pPr>
      <w:r>
        <w:t xml:space="preserve">Discussion</w:t>
      </w:r>
    </w:p>
    <w:p>
      <w:pPr>
        <w:pStyle w:val="FirstParagraph"/>
      </w:pPr>
      <w:r>
        <w:t xml:space="preserve">Our findings suggest that despite fairly significant media attention, most incoming psychology students are unaware of the replication crisis in psychology. In our study they tended to agree more with open science norms than they did counternorms, although this wasn’t the case for all open science practices (and especially not sharing of preprints).</w:t>
      </w:r>
    </w:p>
    <w:p>
      <w:pPr>
        <w:pStyle w:val="Textkrper"/>
      </w:pPr>
      <w:r>
        <w:t xml:space="preserve">Participants’ estimates of the proportion of psychological studies published each which apply each of a set of ten open science practices mostly tended to hover near 50%. Although this could be read as implying literally that participants believe these practices are roughly as commonly applied as they are not, it could also be read as implying a great deal of uncertainty on the part of participants [might need to unpack this idea - i.e., that if people have no idea they’ll probably pick 50%].</w:t>
      </w:r>
    </w:p>
    <w:p>
      <w:pPr>
        <w:pStyle w:val="Textkrper"/>
      </w:pPr>
      <w:r>
        <w:t xml:space="preserve">Overall these findings suggest that while incoming psychology students may have a degree of sympathy for open science norms, they know relatively little about replicability and open science.</w:t>
      </w:r>
    </w:p>
    <w:bookmarkStart w:id="35" w:name="strengths-and-limitations"/>
    <w:p>
      <w:pPr>
        <w:pStyle w:val="berschrift2"/>
      </w:pPr>
      <w:r>
        <w:t xml:space="preserve">Strengths and limitations</w:t>
      </w:r>
    </w:p>
    <w:p>
      <w:pPr>
        <w:pStyle w:val="FirstParagraph"/>
      </w:pPr>
      <w:r>
        <w:t xml:space="preserve">Our study had a relatively large sample size, but used convenience/haphazard sampling. The results also reflect responses of just one sample of students at one point in time. Generalisations to a wider population of incoming students (or students beginning psychology students in the future) can be made only very tentatively. Our questions also focused primarily on attitudes and beliefs, rather than probing students’ factual knowledge of findings or concepts.</w:t>
      </w:r>
    </w:p>
    <w:bookmarkEnd w:id="35"/>
    <w:bookmarkStart w:id="36" w:name="directions-for-future-research"/>
    <w:p>
      <w:pPr>
        <w:pStyle w:val="berschrift2"/>
      </w:pPr>
      <w:r>
        <w:t xml:space="preserve">Directions for future research</w:t>
      </w:r>
    </w:p>
    <w:p>
      <w:r>
        <w:br w:type="page"/>
      </w:r>
    </w:p>
    <w:bookmarkEnd w:id="36"/>
    <w:bookmarkEnd w:id="37"/>
    <w:bookmarkStart w:id="38" w:name="reproducible-code-statement"/>
    <w:p>
      <w:pPr>
        <w:pStyle w:val="berschrift1"/>
      </w:pPr>
      <w:r>
        <w:t xml:space="preserve">Reproducible Code Statement</w:t>
      </w:r>
    </w:p>
    <w:p>
      <w:pPr>
        <w:pStyle w:val="FirstParagraph"/>
      </w:pPr>
      <w:r>
        <w:t xml:space="preserve">We used R</w:t>
      </w:r>
      <w:r>
        <w:t xml:space="preserve"> </w:t>
      </w:r>
      <w:r>
        <w:t xml:space="preserve">(Version 3.6.3; R Core Team, 2020)</w:t>
      </w:r>
      <w:r>
        <w:t xml:space="preserve"> </w:t>
      </w:r>
      <w:r>
        <w:t xml:space="preserve">and the R-packages</w:t>
      </w:r>
      <w:r>
        <w:t xml:space="preserve"> </w:t>
      </w:r>
      <w:r>
        <w:rPr>
          <w:i/>
        </w:rPr>
        <w:t xml:space="preserve">broom</w:t>
      </w:r>
      <w:r>
        <w:t xml:space="preserve"> </w:t>
      </w:r>
      <w:r>
        <w:t xml:space="preserve">(Version 0.7.0; Robinson, Hayes, &amp; Couch, 2020; Robinson et al., 2020)</w:t>
      </w:r>
      <w:r>
        <w:t xml:space="preserve">,</w:t>
      </w:r>
      <w:r>
        <w:t xml:space="preserve"> </w:t>
      </w:r>
      <w:r>
        <w:rPr>
          <w:i/>
        </w:rPr>
        <w:t xml:space="preserve">dplyr</w:t>
      </w:r>
      <w:r>
        <w:t xml:space="preserve"> </w:t>
      </w:r>
      <w:r>
        <w:t xml:space="preserve">(Version 1.0.2; Wickham et al., 2020)</w:t>
      </w:r>
      <w:r>
        <w:t xml:space="preserve">,</w:t>
      </w:r>
      <w:r>
        <w:t xml:space="preserve"> </w:t>
      </w:r>
      <w:r>
        <w:rPr>
          <w:i/>
        </w:rPr>
        <w:t xml:space="preserve">finalfit</w:t>
      </w:r>
      <w:r>
        <w:t xml:space="preserve"> </w:t>
      </w:r>
      <w:r>
        <w:t xml:space="preserve">(Version 1.0.2; Harrison, Drake, &amp; Ots, 2020)</w:t>
      </w:r>
      <w:r>
        <w:t xml:space="preserve">,</w:t>
      </w:r>
      <w:r>
        <w:t xml:space="preserve"> </w:t>
      </w:r>
      <w:r>
        <w:rPr>
          <w:i/>
        </w:rPr>
        <w:t xml:space="preserve">forcats</w:t>
      </w:r>
      <w:r>
        <w:t xml:space="preserve"> </w:t>
      </w:r>
      <w:r>
        <w:t xml:space="preserve">(Version 0.5.0; Wickham, 2020)</w:t>
      </w:r>
      <w:r>
        <w:t xml:space="preserve">,</w:t>
      </w:r>
      <w:r>
        <w:t xml:space="preserve"> </w:t>
      </w:r>
      <w:r>
        <w:rPr>
          <w:i/>
        </w:rPr>
        <w:t xml:space="preserve">ggplot2</w:t>
      </w:r>
      <w:r>
        <w:t xml:space="preserve"> </w:t>
      </w:r>
      <w:r>
        <w:t xml:space="preserve">(Version 3.3.3; Wickham, 2016)</w:t>
      </w:r>
      <w:r>
        <w:t xml:space="preserve">,</w:t>
      </w:r>
      <w:r>
        <w:t xml:space="preserve"> </w:t>
      </w:r>
      <w:r>
        <w:rPr>
          <w:i/>
        </w:rPr>
        <w:t xml:space="preserve">here</w:t>
      </w:r>
      <w:r>
        <w:t xml:space="preserve"> </w:t>
      </w:r>
      <w:r>
        <w:t xml:space="preserve">(Version 0.1; Müller, 2017)</w:t>
      </w:r>
      <w:r>
        <w:t xml:space="preserve">,</w:t>
      </w:r>
      <w:r>
        <w:t xml:space="preserve"> </w:t>
      </w:r>
      <w:r>
        <w:rPr>
          <w:i/>
        </w:rPr>
        <w:t xml:space="preserve">MASS</w:t>
      </w:r>
      <w:r>
        <w:t xml:space="preserve"> </w:t>
      </w:r>
      <w:r>
        <w:t xml:space="preserve">(Version 7.3.52; Venables &amp; Ripley, 2002)</w:t>
      </w:r>
      <w:r>
        <w:t xml:space="preserve">,</w:t>
      </w:r>
      <w:r>
        <w:t xml:space="preserve"> </w:t>
      </w:r>
      <w:r>
        <w:rPr>
          <w:i/>
        </w:rPr>
        <w:t xml:space="preserve">multilevel</w:t>
      </w:r>
      <w:r>
        <w:t xml:space="preserve"> </w:t>
      </w:r>
      <w:r>
        <w:t xml:space="preserve">(Version 2.6; Bliese, 2016)</w:t>
      </w:r>
      <w:r>
        <w:t xml:space="preserve">,</w:t>
      </w:r>
      <w:r>
        <w:t xml:space="preserve"> </w:t>
      </w:r>
      <w:r>
        <w:rPr>
          <w:i/>
        </w:rPr>
        <w:t xml:space="preserve">nlme</w:t>
      </w:r>
      <w:r>
        <w:t xml:space="preserve"> </w:t>
      </w:r>
      <w:r>
        <w:t xml:space="preserve">(Version 3.1.148; Pinheiro, Bates, DebRoy, Sarkar, &amp; R Core Team, 2020)</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psych</w:t>
      </w:r>
      <w:r>
        <w:t xml:space="preserve"> </w:t>
      </w:r>
      <w:r>
        <w:t xml:space="preserve">(Version 2.0.7; Revelle, 2020; Fletcher, 2010)</w:t>
      </w:r>
      <w:r>
        <w:t xml:space="preserve">,</w:t>
      </w:r>
      <w:r>
        <w:t xml:space="preserve"> </w:t>
      </w:r>
      <w:r>
        <w:rPr>
          <w:i/>
        </w:rPr>
        <w:t xml:space="preserve">psychometric</w:t>
      </w:r>
      <w:r>
        <w:t xml:space="preserve"> </w:t>
      </w:r>
      <w:r>
        <w:t xml:space="preserve">(Version 2.2; Fletcher, 2010)</w:t>
      </w:r>
      <w:r>
        <w:t xml:space="preserve">,</w:t>
      </w:r>
      <w:r>
        <w:t xml:space="preserve"> </w:t>
      </w:r>
      <w:r>
        <w:rPr>
          <w:i/>
        </w:rPr>
        <w:t xml:space="preserve">purrr</w:t>
      </w:r>
      <w:r>
        <w:t xml:space="preserve"> </w:t>
      </w:r>
      <w:r>
        <w:t xml:space="preserve">(Version 0.3.4; Henry &amp; Wickham, 2020a)</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3.0.4; Müller &amp; Wickham, 2020)</w:t>
      </w:r>
      <w:r>
        <w:t xml:space="preserve">,</w:t>
      </w:r>
      <w:r>
        <w:t xml:space="preserve"> </w:t>
      </w:r>
      <w:r>
        <w:rPr>
          <w:i/>
        </w:rPr>
        <w:t xml:space="preserve">tidyr</w:t>
      </w:r>
      <w:r>
        <w:t xml:space="preserve"> </w:t>
      </w:r>
      <w:r>
        <w:t xml:space="preserve">(Version 1.1.1; Wickham &amp; Henry, 2020)</w:t>
      </w:r>
      <w:r>
        <w:t xml:space="preserve">,</w:t>
      </w:r>
      <w:r>
        <w:t xml:space="preserve"> </w:t>
      </w:r>
      <w:r>
        <w:rPr>
          <w:i/>
        </w:rPr>
        <w:t xml:space="preserve">tidyselect</w:t>
      </w:r>
      <w:r>
        <w:t xml:space="preserve"> </w:t>
      </w:r>
      <w:r>
        <w:t xml:space="preserve">(Version 1.1.0; Henry &amp; Wickham, 2020b)</w:t>
      </w:r>
      <w:r>
        <w:t xml:space="preserve">, and</w:t>
      </w:r>
      <w:r>
        <w:t xml:space="preserve"> </w:t>
      </w:r>
      <w:r>
        <w:rPr>
          <w:i/>
        </w:rPr>
        <w:t xml:space="preserve">tidyverse</w:t>
      </w:r>
      <w:r>
        <w:t xml:space="preserve"> </w:t>
      </w:r>
      <w:r>
        <w:t xml:space="preserve">(Version 1.3.0; Wickham, Averick, et al., 2019)</w:t>
      </w:r>
      <w:r>
        <w:t xml:space="preserve"> </w:t>
      </w:r>
      <w:r>
        <w:t xml:space="preserve">for all our analyses.</w:t>
      </w:r>
    </w:p>
    <w:p>
      <w:r>
        <w:br w:type="page"/>
      </w:r>
    </w:p>
    <w:bookmarkEnd w:id="38"/>
    <w:bookmarkStart w:id="163" w:name="references"/>
    <w:p>
      <w:pPr>
        <w:pStyle w:val="berschrift1"/>
      </w:pPr>
      <w:r>
        <w:t xml:space="preserve">References</w:t>
      </w:r>
    </w:p>
    <w:bookmarkStart w:id="162" w:name="refs"/>
    <w:bookmarkStart w:id="40" w:name="X5c0c46ca4e18491629cc925353e9bfc6db54266"/>
    <w:p>
      <w:pPr>
        <w:pStyle w:val="Literaturverzeichnis"/>
      </w:pPr>
      <w:r>
        <w:t xml:space="preserve">Anderson, M. S., &amp; Louis, K. S. (1994). The graduate student experience and subscription to the norms of science.</w:t>
      </w:r>
      <w:r>
        <w:t xml:space="preserve"> </w:t>
      </w:r>
      <w:r>
        <w:rPr>
          <w:i/>
        </w:rPr>
        <w:t xml:space="preserve">Research in Higher Education</w:t>
      </w:r>
      <w:r>
        <w:t xml:space="preserve">,</w:t>
      </w:r>
      <w:r>
        <w:t xml:space="preserve"> </w:t>
      </w:r>
      <w:r>
        <w:rPr>
          <w:i/>
        </w:rPr>
        <w:t xml:space="preserve">35</w:t>
      </w:r>
      <w:r>
        <w:t xml:space="preserve">(3), 273–299. doi:</w:t>
      </w:r>
      <w:hyperlink r:id="rId39">
        <w:r>
          <w:rPr>
            <w:rStyle w:val="Hyperlink"/>
          </w:rPr>
          <w:t xml:space="preserve">10.1007/BF02496825</w:t>
        </w:r>
      </w:hyperlink>
    </w:p>
    <w:bookmarkEnd w:id="40"/>
    <w:bookmarkStart w:id="42" w:name="X8cef68f3725beeba7e423ab16a38ffc96300c2d"/>
    <w:p>
      <w:pPr>
        <w:pStyle w:val="Literaturverzeichnis"/>
      </w:pPr>
      <w:r>
        <w:t xml:space="preserve">Anderson, M. S., Martinson, B. C., &amp; De Vries, R. (2007). Normative dissonance in science: Results from a national survey of U.S. Scientists.</w:t>
      </w:r>
      <w:r>
        <w:t xml:space="preserve"> </w:t>
      </w:r>
      <w:r>
        <w:rPr>
          <w:i/>
        </w:rPr>
        <w:t xml:space="preserve">Journal of Empirical Research on Human Research Ethics</w:t>
      </w:r>
      <w:r>
        <w:t xml:space="preserve">,</w:t>
      </w:r>
      <w:r>
        <w:t xml:space="preserve"> </w:t>
      </w:r>
      <w:r>
        <w:rPr>
          <w:i/>
        </w:rPr>
        <w:t xml:space="preserve">2</w:t>
      </w:r>
      <w:r>
        <w:t xml:space="preserve">(4), 3–14. doi:</w:t>
      </w:r>
      <w:hyperlink r:id="rId41">
        <w:r>
          <w:rPr>
            <w:rStyle w:val="Hyperlink"/>
          </w:rPr>
          <w:t xml:space="preserve">10.1525/jer.2007.2.4.3</w:t>
        </w:r>
      </w:hyperlink>
    </w:p>
    <w:bookmarkEnd w:id="42"/>
    <w:bookmarkStart w:id="44"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3">
        <w:r>
          <w:rPr>
            <w:rStyle w:val="Hyperlink"/>
          </w:rPr>
          <w:t xml:space="preserve">https://github.com/crsh/papaja</w:t>
        </w:r>
      </w:hyperlink>
    </w:p>
    <w:bookmarkEnd w:id="44"/>
    <w:bookmarkStart w:id="46" w:name="ref-baker500ScientistsLift2016"/>
    <w:p>
      <w:pPr>
        <w:pStyle w:val="Literaturverzeichnis"/>
      </w:pPr>
      <w:r>
        <w:t xml:space="preserve">Baker, M. (2016). 1,500 scientists lift the lid on reproducibility.</w:t>
      </w:r>
      <w:r>
        <w:t xml:space="preserve"> </w:t>
      </w:r>
      <w:r>
        <w:rPr>
          <w:i/>
        </w:rPr>
        <w:t xml:space="preserve">Nature News</w:t>
      </w:r>
      <w:r>
        <w:t xml:space="preserve">,</w:t>
      </w:r>
      <w:r>
        <w:t xml:space="preserve"> </w:t>
      </w:r>
      <w:r>
        <w:rPr>
          <w:i/>
        </w:rPr>
        <w:t xml:space="preserve">533</w:t>
      </w:r>
      <w:r>
        <w:t xml:space="preserve">(7604), 452. doi:</w:t>
      </w:r>
      <w:hyperlink r:id="rId45">
        <w:r>
          <w:rPr>
            <w:rStyle w:val="Hyperlink"/>
          </w:rPr>
          <w:t xml:space="preserve">10.1038/533452a</w:t>
        </w:r>
      </w:hyperlink>
    </w:p>
    <w:bookmarkEnd w:id="46"/>
    <w:bookmarkStart w:id="48" w:name="ref-R-multilevel"/>
    <w:p>
      <w:pPr>
        <w:pStyle w:val="Literaturverzeichnis"/>
      </w:pPr>
      <w:r>
        <w:t xml:space="preserve">Bliese, P. (2016).</w:t>
      </w:r>
      <w:r>
        <w:t xml:space="preserve"> </w:t>
      </w:r>
      <w:r>
        <w:rPr>
          <w:i/>
        </w:rPr>
        <w:t xml:space="preserve">Multilevel: Multilevel functions</w:t>
      </w:r>
      <w:r>
        <w:t xml:space="preserve">. Retrieved from</w:t>
      </w:r>
      <w:r>
        <w:t xml:space="preserve"> </w:t>
      </w:r>
      <w:hyperlink r:id="rId47">
        <w:r>
          <w:rPr>
            <w:rStyle w:val="Hyperlink"/>
          </w:rPr>
          <w:t xml:space="preserve">https://CRAN.R-project.org/package=multilevel</w:t>
        </w:r>
      </w:hyperlink>
    </w:p>
    <w:bookmarkEnd w:id="48"/>
    <w:bookmarkStart w:id="50" w:name="ref-brandtReplicationRecipeWhat2014"/>
    <w:p>
      <w:pPr>
        <w:pStyle w:val="Literaturverzeichnis"/>
      </w:pPr>
      <w:r>
        <w:t xml:space="preserve">Brandt, M. J., IJzerman, H., Dijksterhuis, A., Farach, F. J., Geller, J., Giner-Sorolla, R., … van ’t Veer, A. (2014). The replication recipe: What makes for a convincing replication?</w:t>
      </w:r>
      <w:r>
        <w:t xml:space="preserve"> </w:t>
      </w:r>
      <w:r>
        <w:rPr>
          <w:i/>
        </w:rPr>
        <w:t xml:space="preserve">Journal of Experimental Social Psychology</w:t>
      </w:r>
      <w:r>
        <w:t xml:space="preserve">,</w:t>
      </w:r>
      <w:r>
        <w:t xml:space="preserve"> </w:t>
      </w:r>
      <w:r>
        <w:rPr>
          <w:i/>
        </w:rPr>
        <w:t xml:space="preserve">50</w:t>
      </w:r>
      <w:r>
        <w:t xml:space="preserve">, 217–224. doi:</w:t>
      </w:r>
      <w:hyperlink r:id="rId49">
        <w:r>
          <w:rPr>
            <w:rStyle w:val="Hyperlink"/>
          </w:rPr>
          <w:t xml:space="preserve">10.1016/j.jesp.2013.10.005</w:t>
        </w:r>
      </w:hyperlink>
    </w:p>
    <w:bookmarkEnd w:id="50"/>
    <w:bookmarkStart w:id="52" w:name="ref-burak_tunca_uygun_tunc_2021"/>
    <w:p>
      <w:pPr>
        <w:pStyle w:val="Literaturverzeichnis"/>
      </w:pPr>
      <w:r>
        <w:t xml:space="preserve">Burak Tunca [@tuncaburak]. (2021, March). @Uygun_tunc @rmounce @Meta_Psy Most naïve answers I heard so far during open science seminars: -(re open access) I thought those publishers were nonprofit and they give back to academia somehow (senior academic) -(ms student) I assumed peer review checks for stats and the journal store a copy of the dataset.</w:t>
      </w:r>
      <w:r>
        <w:t xml:space="preserve"> </w:t>
      </w:r>
      <w:r>
        <w:rPr>
          <w:i/>
        </w:rPr>
        <w:t xml:space="preserve">@tuncaburak</w:t>
      </w:r>
      <w:r>
        <w:t xml:space="preserve">. Tweet. Retrieved from</w:t>
      </w:r>
      <w:r>
        <w:t xml:space="preserve"> </w:t>
      </w:r>
      <w:hyperlink r:id="rId51">
        <w:r>
          <w:rPr>
            <w:rStyle w:val="Hyperlink"/>
          </w:rPr>
          <w:t xml:space="preserve">https://twitter.com/tuncaburak/status/1368892552305377288</w:t>
        </w:r>
      </w:hyperlink>
    </w:p>
    <w:bookmarkEnd w:id="52"/>
    <w:bookmarkStart w:id="54" w:name="ref-chopikHowWhetherTeach2018"/>
    <w:p>
      <w:pPr>
        <w:pStyle w:val="Literaturverzeichnis"/>
      </w:pPr>
      <w:r>
        <w:t xml:space="preserve">Chopik, W. J., Bremner, R. H., Defever, A. M., &amp; Keller, V. N. (2018). How (and whether) to teach undergraduates about the replication crisis in psychological science.</w:t>
      </w:r>
      <w:r>
        <w:t xml:space="preserve"> </w:t>
      </w:r>
      <w:r>
        <w:rPr>
          <w:i/>
        </w:rPr>
        <w:t xml:space="preserve">Teaching of Psychology</w:t>
      </w:r>
      <w:r>
        <w:t xml:space="preserve">,</w:t>
      </w:r>
      <w:r>
        <w:t xml:space="preserve"> </w:t>
      </w:r>
      <w:r>
        <w:rPr>
          <w:i/>
        </w:rPr>
        <w:t xml:space="preserve">45</w:t>
      </w:r>
      <w:r>
        <w:t xml:space="preserve">(2), 158–163. doi:</w:t>
      </w:r>
      <w:hyperlink r:id="rId53">
        <w:r>
          <w:rPr>
            <w:rStyle w:val="Hyperlink"/>
          </w:rPr>
          <w:t xml:space="preserve">10.1177/0098628318762900</w:t>
        </w:r>
      </w:hyperlink>
    </w:p>
    <w:bookmarkEnd w:id="54"/>
    <w:bookmarkStart w:id="56" w:name="X12b2ce9b70fc9809a658630023fc70709da977e"/>
    <w:p>
      <w:pPr>
        <w:pStyle w:val="Literaturverzeichnis"/>
      </w:pPr>
      <w:r>
        <w:t xml:space="preserve">Duygu Uygun-Tunc [@uygun_tunc]. (2021, March). Last night I was talking to a friend who was rather unfamiliar with the publication scene and I described how @Meta_Psy requires open data/code and has open PR. Then she asked: Of course that makes total sense, but isn’t what all journals already do? Retrieved from</w:t>
      </w:r>
      <w:r>
        <w:t xml:space="preserve"> </w:t>
      </w:r>
      <w:hyperlink r:id="rId55">
        <w:r>
          <w:rPr>
            <w:rStyle w:val="Hyperlink"/>
          </w:rPr>
          <w:t xml:space="preserve">https://twitter.com/uygun_tunc/status/1368634914611073029</w:t>
        </w:r>
      </w:hyperlink>
    </w:p>
    <w:bookmarkEnd w:id="56"/>
    <w:bookmarkStart w:id="58" w:name="ref-R-psychometric"/>
    <w:p>
      <w:pPr>
        <w:pStyle w:val="Literaturverzeichnis"/>
      </w:pPr>
      <w:r>
        <w:t xml:space="preserve">Fletcher, T. D. (2010).</w:t>
      </w:r>
      <w:r>
        <w:t xml:space="preserve"> </w:t>
      </w:r>
      <w:r>
        <w:rPr>
          <w:i/>
        </w:rPr>
        <w:t xml:space="preserve">Psychometric: Applied psychometric theory</w:t>
      </w:r>
      <w:r>
        <w:t xml:space="preserve">. Retrieved from</w:t>
      </w:r>
      <w:r>
        <w:t xml:space="preserve"> </w:t>
      </w:r>
      <w:hyperlink r:id="rId57">
        <w:r>
          <w:rPr>
            <w:rStyle w:val="Hyperlink"/>
          </w:rPr>
          <w:t xml:space="preserve">https://CRAN.R-project.org/package=psychometric</w:t>
        </w:r>
      </w:hyperlink>
    </w:p>
    <w:bookmarkEnd w:id="58"/>
    <w:bookmarkStart w:id="60" w:name="X160801838dafeb18e96e6197ad617a827b87415"/>
    <w:p>
      <w:pPr>
        <w:pStyle w:val="Literaturverzeichnis"/>
      </w:pPr>
      <w:r>
        <w:t xml:space="preserve">Grahe, J. E., Reifman, A., Hermann, A. D., Walker, M., Oleson, K. C., Nario-Redmond, M., &amp; Wiebe, R. P. (2012). Harnessing the undiscovered resource of student research projects.</w:t>
      </w:r>
      <w:r>
        <w:t xml:space="preserve"> </w:t>
      </w:r>
      <w:r>
        <w:rPr>
          <w:i/>
        </w:rPr>
        <w:t xml:space="preserve">Perspectives on Psychological Science</w:t>
      </w:r>
      <w:r>
        <w:t xml:space="preserve">,</w:t>
      </w:r>
      <w:r>
        <w:t xml:space="preserve"> </w:t>
      </w:r>
      <w:r>
        <w:rPr>
          <w:i/>
        </w:rPr>
        <w:t xml:space="preserve">7</w:t>
      </w:r>
      <w:r>
        <w:t xml:space="preserve">(6), 605–607. doi:</w:t>
      </w:r>
      <w:hyperlink r:id="rId59">
        <w:r>
          <w:rPr>
            <w:rStyle w:val="Hyperlink"/>
          </w:rPr>
          <w:t xml:space="preserve">10.1177/1745691612459057</w:t>
        </w:r>
      </w:hyperlink>
    </w:p>
    <w:bookmarkEnd w:id="60"/>
    <w:bookmarkStart w:id="61" w:name="Xfcc53e97d5678556e7418e0be237673b8534859"/>
    <w:p>
      <w:pPr>
        <w:pStyle w:val="Literaturverzeichnis"/>
      </w:pPr>
      <w:r>
        <w:t xml:space="preserve">Group, O. S. W. (2018).</w:t>
      </w:r>
      <w:r>
        <w:t xml:space="preserve"> </w:t>
      </w:r>
      <w:r>
        <w:rPr>
          <w:i/>
        </w:rPr>
        <w:t xml:space="preserve">2017 survey on open research practices administered by the School of Psychology, Cardiff University</w:t>
      </w:r>
      <w:r>
        <w:t xml:space="preserve">. Cardiff University.</w:t>
      </w:r>
    </w:p>
    <w:bookmarkEnd w:id="61"/>
    <w:bookmarkStart w:id="63" w:name="ref-harrisUseReproducibleResearch2018"/>
    <w:p>
      <w:pPr>
        <w:pStyle w:val="Literaturverzeichnis"/>
      </w:pPr>
      <w:r>
        <w:t xml:space="preserve">Harris, J. K., Johnson, K. J., Carothers, B. J., Combs, T. B., Luke, D. A., &amp; Wang, X. (2018). Use of reproducible research practices in public health: A survey of public health analysts.</w:t>
      </w:r>
      <w:r>
        <w:t xml:space="preserve"> </w:t>
      </w:r>
      <w:r>
        <w:rPr>
          <w:i/>
        </w:rPr>
        <w:t xml:space="preserve">PLOS ONE</w:t>
      </w:r>
      <w:r>
        <w:t xml:space="preserve">,</w:t>
      </w:r>
      <w:r>
        <w:t xml:space="preserve"> </w:t>
      </w:r>
      <w:r>
        <w:rPr>
          <w:i/>
        </w:rPr>
        <w:t xml:space="preserve">13</w:t>
      </w:r>
      <w:r>
        <w:t xml:space="preserve">(9), e0202447. doi:</w:t>
      </w:r>
      <w:hyperlink r:id="rId62">
        <w:r>
          <w:rPr>
            <w:rStyle w:val="Hyperlink"/>
          </w:rPr>
          <w:t xml:space="preserve">10.1371/journal.pone.0202447</w:t>
        </w:r>
      </w:hyperlink>
    </w:p>
    <w:bookmarkEnd w:id="63"/>
    <w:bookmarkStart w:id="65" w:name="ref-R-finalfit"/>
    <w:p>
      <w:pPr>
        <w:pStyle w:val="Literaturverzeichnis"/>
      </w:pPr>
      <w:r>
        <w:t xml:space="preserve">Harrison, E., Drake, T., &amp; Ots, R. (2020).</w:t>
      </w:r>
      <w:r>
        <w:t xml:space="preserve"> </w:t>
      </w:r>
      <w:r>
        <w:rPr>
          <w:i/>
        </w:rPr>
        <w:t xml:space="preserve">Finalfit: Quickly create elegant regression results tables and plots when modelling</w:t>
      </w:r>
      <w:r>
        <w:t xml:space="preserve">. Retrieved from</w:t>
      </w:r>
      <w:r>
        <w:t xml:space="preserve"> </w:t>
      </w:r>
      <w:hyperlink r:id="rId64">
        <w:r>
          <w:rPr>
            <w:rStyle w:val="Hyperlink"/>
          </w:rPr>
          <w:t xml:space="preserve">https://CRAN.R-project.org/package=finalfit</w:t>
        </w:r>
      </w:hyperlink>
    </w:p>
    <w:bookmarkEnd w:id="65"/>
    <w:bookmarkStart w:id="67" w:name="ref-R-purrr"/>
    <w:p>
      <w:pPr>
        <w:pStyle w:val="Literaturverzeichnis"/>
      </w:pPr>
      <w:r>
        <w:t xml:space="preserve">Henry, L., &amp; Wickham, H. (2020a).</w:t>
      </w:r>
      <w:r>
        <w:t xml:space="preserve"> </w:t>
      </w:r>
      <w:r>
        <w:rPr>
          <w:i/>
        </w:rPr>
        <w:t xml:space="preserve">Purrr: Functional programming tools</w:t>
      </w:r>
      <w:r>
        <w:t xml:space="preserve">. Retrieved from</w:t>
      </w:r>
      <w:r>
        <w:t xml:space="preserve"> </w:t>
      </w:r>
      <w:hyperlink r:id="rId66">
        <w:r>
          <w:rPr>
            <w:rStyle w:val="Hyperlink"/>
          </w:rPr>
          <w:t xml:space="preserve">https://CRAN.R-project.org/package=purrr</w:t>
        </w:r>
      </w:hyperlink>
    </w:p>
    <w:bookmarkEnd w:id="67"/>
    <w:bookmarkStart w:id="69" w:name="ref-R-tidyselect"/>
    <w:p>
      <w:pPr>
        <w:pStyle w:val="Literaturverzeichnis"/>
      </w:pPr>
      <w:r>
        <w:t xml:space="preserve">Henry, L., &amp; Wickham, H. (2020b).</w:t>
      </w:r>
      <w:r>
        <w:t xml:space="preserve"> </w:t>
      </w:r>
      <w:r>
        <w:rPr>
          <w:i/>
        </w:rPr>
        <w:t xml:space="preserve">Tidyselect: Select from a set of strings</w:t>
      </w:r>
      <w:r>
        <w:t xml:space="preserve">. Retrieved from</w:t>
      </w:r>
      <w:r>
        <w:t xml:space="preserve"> </w:t>
      </w:r>
      <w:hyperlink r:id="rId68">
        <w:r>
          <w:rPr>
            <w:rStyle w:val="Hyperlink"/>
          </w:rPr>
          <w:t xml:space="preserve">https://CRAN.R-project.org/package=tidyselect</w:t>
        </w:r>
      </w:hyperlink>
    </w:p>
    <w:bookmarkEnd w:id="69"/>
    <w:bookmarkStart w:id="71" w:name="ref-jekelHowTeachOpen2020"/>
    <w:p>
      <w:pPr>
        <w:pStyle w:val="Literaturverzeichnis"/>
      </w:pPr>
      <w:r>
        <w:t xml:space="preserve">Jekel, M., Fiedler, S., Allstadt Torras, R., Mischkowski, D., Dorrough, A. R., &amp; Glöckner, A. (2020). How to teach open science principles in the undergraduate curriculumthe Hagen cumulative science project.</w:t>
      </w:r>
      <w:r>
        <w:t xml:space="preserve"> </w:t>
      </w:r>
      <w:r>
        <w:rPr>
          <w:i/>
        </w:rPr>
        <w:t xml:space="preserve">Psychology Learning &amp; Teaching</w:t>
      </w:r>
      <w:r>
        <w:t xml:space="preserve">,</w:t>
      </w:r>
      <w:r>
        <w:t xml:space="preserve"> </w:t>
      </w:r>
      <w:r>
        <w:rPr>
          <w:i/>
        </w:rPr>
        <w:t xml:space="preserve">19</w:t>
      </w:r>
      <w:r>
        <w:t xml:space="preserve">(1), 91–106. doi:</w:t>
      </w:r>
      <w:hyperlink r:id="rId70">
        <w:r>
          <w:rPr>
            <w:rStyle w:val="Hyperlink"/>
          </w:rPr>
          <w:t xml:space="preserve">10.1177/1475725719868149</w:t>
        </w:r>
      </w:hyperlink>
    </w:p>
    <w:bookmarkEnd w:id="71"/>
    <w:bookmarkStart w:id="73" w:name="Xbed6fabe60fa85552bb12522959b983ddf39c3d"/>
    <w:p>
      <w:pPr>
        <w:pStyle w:val="Literaturverzeichnis"/>
      </w:pPr>
      <w:r>
        <w:t xml:space="preserve">Klein, R. A., Ratliff, K. A., Vianello, M., Adams Jr., R. B., Bahník, Š., Bernstein, M. J., … Nosek, B. A. (2014). Investigating variation in replicability: A “many labs” replication project.</w:t>
      </w:r>
      <w:r>
        <w:t xml:space="preserve"> </w:t>
      </w:r>
      <w:r>
        <w:rPr>
          <w:i/>
        </w:rPr>
        <w:t xml:space="preserve">Social Psychology</w:t>
      </w:r>
      <w:r>
        <w:t xml:space="preserve">,</w:t>
      </w:r>
      <w:r>
        <w:t xml:space="preserve"> </w:t>
      </w:r>
      <w:r>
        <w:rPr>
          <w:i/>
        </w:rPr>
        <w:t xml:space="preserve">45</w:t>
      </w:r>
      <w:r>
        <w:t xml:space="preserve">(3), 142–152. doi:</w:t>
      </w:r>
      <w:hyperlink r:id="rId72">
        <w:r>
          <w:rPr>
            <w:rStyle w:val="Hyperlink"/>
          </w:rPr>
          <w:t xml:space="preserve">10.1027/1864-9335/a000178</w:t>
        </w:r>
      </w:hyperlink>
    </w:p>
    <w:bookmarkEnd w:id="73"/>
    <w:bookmarkStart w:id="75" w:name="ref-kleinManyLabsInvestigating2018"/>
    <w:p>
      <w:pPr>
        <w:pStyle w:val="Literaturverzeichnis"/>
      </w:pPr>
      <w:r>
        <w:t xml:space="preserve">Klein, R. A., Vianello, M., Hasselman, F., Adams, B. G., Adams, R. B., Alper, S., … Nosek, B. A. (2018). Many labs 2: Investigating variation in replicability across samples and settings.</w:t>
      </w:r>
      <w:r>
        <w:t xml:space="preserve"> </w:t>
      </w:r>
      <w:r>
        <w:rPr>
          <w:i/>
        </w:rPr>
        <w:t xml:space="preserve">Advances in Methods and Practices in Psychological Science</w:t>
      </w:r>
      <w:r>
        <w:t xml:space="preserve">,</w:t>
      </w:r>
      <w:r>
        <w:t xml:space="preserve"> </w:t>
      </w:r>
      <w:r>
        <w:rPr>
          <w:i/>
        </w:rPr>
        <w:t xml:space="preserve">1</w:t>
      </w:r>
      <w:r>
        <w:t xml:space="preserve">(4), 443–490. doi:</w:t>
      </w:r>
      <w:hyperlink r:id="rId74">
        <w:r>
          <w:rPr>
            <w:rStyle w:val="Hyperlink"/>
          </w:rPr>
          <w:t xml:space="preserve">10.1177/2515245918810225</w:t>
        </w:r>
      </w:hyperlink>
    </w:p>
    <w:bookmarkEnd w:id="75"/>
    <w:bookmarkStart w:id="77" w:name="X58af8468948a6e79843d5b32ef1d50aaeadae70"/>
    <w:p>
      <w:pPr>
        <w:pStyle w:val="Literaturverzeichnis"/>
      </w:pPr>
      <w:r>
        <w:t xml:space="preserve">Lorne Campbell [@LorneJCampbell]. (2018, May). @Minzlicht @blackgoatpod Listened to this episode after seeing your reaction, and yes, wow. When I teach open science approaches to undergrads they typically are surprised the scientific process has not always been open. Will advise students to ask potential advisors about research philosophy.</w:t>
      </w:r>
      <w:r>
        <w:t xml:space="preserve"> </w:t>
      </w:r>
      <w:r>
        <w:rPr>
          <w:i/>
        </w:rPr>
        <w:t xml:space="preserve">@LorneJCampbell</w:t>
      </w:r>
      <w:r>
        <w:t xml:space="preserve">. Tweet. Retrieved from</w:t>
      </w:r>
      <w:r>
        <w:t xml:space="preserve"> </w:t>
      </w:r>
      <w:hyperlink r:id="rId76">
        <w:r>
          <w:rPr>
            <w:rStyle w:val="Hyperlink"/>
          </w:rPr>
          <w:t xml:space="preserve">https://twitter.com/LorneJCampbell/status/992076618616266758</w:t>
        </w:r>
      </w:hyperlink>
    </w:p>
    <w:bookmarkEnd w:id="77"/>
    <w:bookmarkStart w:id="78" w:name="ref-mertonNoteScienceDemocracy1942"/>
    <w:p>
      <w:pPr>
        <w:pStyle w:val="Literaturverzeichnis"/>
      </w:pPr>
      <w:r>
        <w:t xml:space="preserve">Merton, R. K. (1942). A note on science and democracy.</w:t>
      </w:r>
      <w:r>
        <w:t xml:space="preserve"> </w:t>
      </w:r>
      <w:r>
        <w:rPr>
          <w:i/>
        </w:rPr>
        <w:t xml:space="preserve">Journal of Legal and Political Sociology</w:t>
      </w:r>
      <w:r>
        <w:t xml:space="preserve">,</w:t>
      </w:r>
      <w:r>
        <w:t xml:space="preserve"> </w:t>
      </w:r>
      <w:r>
        <w:rPr>
          <w:i/>
        </w:rPr>
        <w:t xml:space="preserve">1</w:t>
      </w:r>
      <w:r>
        <w:t xml:space="preserve">, 115–126.</w:t>
      </w:r>
    </w:p>
    <w:bookmarkEnd w:id="78"/>
    <w:bookmarkStart w:id="80" w:name="ref-meyerPracticalTipsEthical2018"/>
    <w:p>
      <w:pPr>
        <w:pStyle w:val="Literaturverzeichnis"/>
      </w:pPr>
      <w:r>
        <w:t xml:space="preserve">Meyer, M. N. (2018). Practical tips for ethical data sharing.</w:t>
      </w:r>
      <w:r>
        <w:t xml:space="preserve"> </w:t>
      </w:r>
      <w:r>
        <w:rPr>
          <w:i/>
        </w:rPr>
        <w:t xml:space="preserve">Advances in Methods and Practices in Psychological Science</w:t>
      </w:r>
      <w:r>
        <w:t xml:space="preserve">,</w:t>
      </w:r>
      <w:r>
        <w:t xml:space="preserve"> </w:t>
      </w:r>
      <w:r>
        <w:rPr>
          <w:i/>
        </w:rPr>
        <w:t xml:space="preserve">1</w:t>
      </w:r>
      <w:r>
        <w:t xml:space="preserve">(1), 131–144. doi:</w:t>
      </w:r>
      <w:hyperlink r:id="rId79">
        <w:r>
          <w:rPr>
            <w:rStyle w:val="Hyperlink"/>
          </w:rPr>
          <w:t xml:space="preserve">10.1177/2515245917747656</w:t>
        </w:r>
      </w:hyperlink>
    </w:p>
    <w:bookmarkEnd w:id="80"/>
    <w:bookmarkStart w:id="82" w:name="ref-R-here"/>
    <w:p>
      <w:pPr>
        <w:pStyle w:val="Literaturverzeichnis"/>
      </w:pPr>
      <w:r>
        <w:t xml:space="preserve">Müller, K. (2017).</w:t>
      </w:r>
      <w:r>
        <w:t xml:space="preserve"> </w:t>
      </w:r>
      <w:r>
        <w:rPr>
          <w:i/>
        </w:rPr>
        <w:t xml:space="preserve">Here: A simpler way to find your files</w:t>
      </w:r>
      <w:r>
        <w:t xml:space="preserve">. Retrieved from</w:t>
      </w:r>
      <w:r>
        <w:t xml:space="preserve"> </w:t>
      </w:r>
      <w:hyperlink r:id="rId81">
        <w:r>
          <w:rPr>
            <w:rStyle w:val="Hyperlink"/>
          </w:rPr>
          <w:t xml:space="preserve">https://CRAN.R-project.org/package=here</w:t>
        </w:r>
      </w:hyperlink>
    </w:p>
    <w:bookmarkEnd w:id="82"/>
    <w:bookmarkStart w:id="84" w:name="ref-R-tibble"/>
    <w:p>
      <w:pPr>
        <w:pStyle w:val="Literaturverzeichnis"/>
      </w:pPr>
      <w:r>
        <w:t xml:space="preserve">Müller, K., &amp; Wickham, H. (2020).</w:t>
      </w:r>
      <w:r>
        <w:t xml:space="preserve"> </w:t>
      </w:r>
      <w:r>
        <w:rPr>
          <w:i/>
        </w:rPr>
        <w:t xml:space="preserve">Tibble: Simple data frames</w:t>
      </w:r>
      <w:r>
        <w:t xml:space="preserve">. Retrieved from</w:t>
      </w:r>
      <w:r>
        <w:t xml:space="preserve"> </w:t>
      </w:r>
      <w:hyperlink r:id="rId83">
        <w:r>
          <w:rPr>
            <w:rStyle w:val="Hyperlink"/>
          </w:rPr>
          <w:t xml:space="preserve">https://CRAN.R-project.org/package=tibble</w:t>
        </w:r>
      </w:hyperlink>
    </w:p>
    <w:bookmarkEnd w:id="84"/>
    <w:bookmarkStart w:id="86" w:name="ref-nosekPreregistrationRevolution2018"/>
    <w:p>
      <w:pPr>
        <w:pStyle w:val="Literaturverzeichnis"/>
      </w:pPr>
      <w:r>
        <w:t xml:space="preserve">Nosek, B. A., Ebersole, C. R., DeHaven, A. C., &amp; Mellor, D. T. (2018). The preregistration revolution.</w:t>
      </w:r>
      <w:r>
        <w:t xml:space="preserve"> </w:t>
      </w:r>
      <w:r>
        <w:rPr>
          <w:i/>
        </w:rPr>
        <w:t xml:space="preserve">Proceedings of the National Academy of Sciences</w:t>
      </w:r>
      <w:r>
        <w:t xml:space="preserve">,</w:t>
      </w:r>
      <w:r>
        <w:t xml:space="preserve"> </w:t>
      </w:r>
      <w:r>
        <w:rPr>
          <w:i/>
        </w:rPr>
        <w:t xml:space="preserve">115</w:t>
      </w:r>
      <w:r>
        <w:t xml:space="preserve">(11), 2600–2606. doi:</w:t>
      </w:r>
      <w:hyperlink r:id="rId85">
        <w:r>
          <w:rPr>
            <w:rStyle w:val="Hyperlink"/>
          </w:rPr>
          <w:t xml:space="preserve">10.1073/pnas.1708274114</w:t>
        </w:r>
      </w:hyperlink>
    </w:p>
    <w:bookmarkEnd w:id="86"/>
    <w:bookmarkStart w:id="87" w:name="X9b31099f85a34faf2e19c8bab4387932196b851"/>
    <w:p>
      <w:pPr>
        <w:pStyle w:val="Literaturverzeichnis"/>
      </w:pPr>
      <w:r>
        <w:t xml:space="preserve">O’Grady, C., 2020, &amp; Pm, 2. (2020). Psychology’s replication crisis inspires ecologists to push for more reliable research.</w:t>
      </w:r>
      <w:r>
        <w:t xml:space="preserve"> </w:t>
      </w:r>
      <w:r>
        <w:rPr>
          <w:i/>
        </w:rPr>
        <w:t xml:space="preserve">Science</w:t>
      </w:r>
      <w:r>
        <w:t xml:space="preserve">.</w:t>
      </w:r>
    </w:p>
    <w:bookmarkEnd w:id="87"/>
    <w:bookmarkStart w:id="89" w:name="ref-R-nlme"/>
    <w:p>
      <w:pPr>
        <w:pStyle w:val="Literaturverzeichnis"/>
      </w:pPr>
      <w:r>
        <w:t xml:space="preserve">Pinheiro, J., Bates, D., DebRoy, S., Sarkar, D., &amp; R Core Team. (2020).</w:t>
      </w:r>
      <w:r>
        <w:t xml:space="preserve"> </w:t>
      </w:r>
      <w:r>
        <w:rPr>
          <w:i/>
        </w:rPr>
        <w:t xml:space="preserve">nlme: Linear and nonlinear mixed effects models</w:t>
      </w:r>
      <w:r>
        <w:t xml:space="preserve">. Retrieved from</w:t>
      </w:r>
      <w:r>
        <w:t xml:space="preserve"> </w:t>
      </w:r>
      <w:hyperlink r:id="rId88">
        <w:r>
          <w:rPr>
            <w:rStyle w:val="Hyperlink"/>
          </w:rPr>
          <w:t xml:space="preserve">https://CRAN.R-project.org/package=nlme</w:t>
        </w:r>
      </w:hyperlink>
    </w:p>
    <w:bookmarkEnd w:id="89"/>
    <w:bookmarkStart w:id="91" w:name="ref-R-base"/>
    <w:p>
      <w:pPr>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90">
        <w:r>
          <w:rPr>
            <w:rStyle w:val="Hyperlink"/>
          </w:rPr>
          <w:t xml:space="preserve">https://www.R-project.org/</w:t>
        </w:r>
      </w:hyperlink>
    </w:p>
    <w:bookmarkEnd w:id="91"/>
    <w:bookmarkStart w:id="93" w:name="ref-R-psych"/>
    <w:p>
      <w:pPr>
        <w:pStyle w:val="Literaturverzeichnis"/>
      </w:pPr>
      <w:r>
        <w:t xml:space="preserve">Revelle, W. (2020).</w:t>
      </w:r>
      <w:r>
        <w:t xml:space="preserve"> </w:t>
      </w:r>
      <w:r>
        <w:rPr>
          <w:i/>
        </w:rPr>
        <w:t xml:space="preserve">Psych: Procedures for psychological, psychometric, and personality research</w:t>
      </w:r>
      <w:r>
        <w:t xml:space="preserve">. Evanston, Illinois: Northwestern University. Retrieved from</w:t>
      </w:r>
      <w:r>
        <w:t xml:space="preserve"> </w:t>
      </w:r>
      <w:hyperlink r:id="rId92">
        <w:r>
          <w:rPr>
            <w:rStyle w:val="Hyperlink"/>
          </w:rPr>
          <w:t xml:space="preserve">https://CRAN.R-project.org/package=psych</w:t>
        </w:r>
      </w:hyperlink>
    </w:p>
    <w:bookmarkEnd w:id="93"/>
    <w:bookmarkStart w:id="95" w:name="ref-R-broom"/>
    <w:p>
      <w:pPr>
        <w:pStyle w:val="Literaturverzeichnis"/>
      </w:pPr>
      <w:r>
        <w:t xml:space="preserve">Robinson, D., Hayes, A., &amp; Couch, S. (2020).</w:t>
      </w:r>
      <w:r>
        <w:t xml:space="preserve"> </w:t>
      </w:r>
      <w:r>
        <w:rPr>
          <w:i/>
        </w:rPr>
        <w:t xml:space="preserve">Broom: Convert statistical objects into tidy tibbles</w:t>
      </w:r>
      <w:r>
        <w:t xml:space="preserve">. Retrieved from</w:t>
      </w:r>
      <w:r>
        <w:t xml:space="preserve"> </w:t>
      </w:r>
      <w:hyperlink r:id="rId94">
        <w:r>
          <w:rPr>
            <w:rStyle w:val="Hyperlink"/>
          </w:rPr>
          <w:t xml:space="preserve">https://CRAN.R-project.org/package=broom</w:t>
        </w:r>
      </w:hyperlink>
    </w:p>
    <w:bookmarkEnd w:id="95"/>
    <w:bookmarkStart w:id="97" w:name="ref-schonbrodtTrainingStudentsOpen2019"/>
    <w:p>
      <w:pPr>
        <w:pStyle w:val="Literaturverzeichnis"/>
      </w:pPr>
      <w:r>
        <w:t xml:space="preserve">Schönbrodt, F. (2019). Training students for the Open Science future.</w:t>
      </w:r>
      <w:r>
        <w:t xml:space="preserve"> </w:t>
      </w:r>
      <w:r>
        <w:rPr>
          <w:i/>
        </w:rPr>
        <w:t xml:space="preserve">Nature Human Behaviour</w:t>
      </w:r>
      <w:r>
        <w:t xml:space="preserve">,</w:t>
      </w:r>
      <w:r>
        <w:t xml:space="preserve"> </w:t>
      </w:r>
      <w:r>
        <w:rPr>
          <w:i/>
        </w:rPr>
        <w:t xml:space="preserve">3</w:t>
      </w:r>
      <w:r>
        <w:t xml:space="preserve">(10), 1031–1031. doi:</w:t>
      </w:r>
      <w:hyperlink r:id="rId96">
        <w:r>
          <w:rPr>
            <w:rStyle w:val="Hyperlink"/>
          </w:rPr>
          <w:t xml:space="preserve">10.1038/s41562-019-0726-z</w:t>
        </w:r>
      </w:hyperlink>
    </w:p>
    <w:bookmarkEnd w:id="97"/>
    <w:bookmarkStart w:id="98" w:name="ref-simmons21WordSolution2012"/>
    <w:p>
      <w:pPr>
        <w:pStyle w:val="Literaturverzeichnis"/>
      </w:pPr>
      <w:r>
        <w:t xml:space="preserve">Simmons, J. P., Nelson, L. D., &amp; Simonsohn, U. (2012).</w:t>
      </w:r>
      <w:r>
        <w:t xml:space="preserve"> </w:t>
      </w:r>
      <w:r>
        <w:rPr>
          <w:i/>
        </w:rPr>
        <w:t xml:space="preserve">A 21 word solution</w:t>
      </w:r>
      <w:r>
        <w:t xml:space="preserve"> </w:t>
      </w:r>
      <w:r>
        <w:t xml:space="preserve">(SSRN Scholarly Paper No. ID 2160588). Rochester, NY: Social Science Research Network.</w:t>
      </w:r>
    </w:p>
    <w:bookmarkEnd w:id="98"/>
    <w:bookmarkStart w:id="100" w:name="ref-R-MASS"/>
    <w:p>
      <w:pPr>
        <w:pStyle w:val="Literaturverzeichnis"/>
      </w:pPr>
      <w:r>
        <w:t xml:space="preserve">Venables, W. N., &amp; Ripley, B. D. (2002).</w:t>
      </w:r>
      <w:r>
        <w:t xml:space="preserve"> </w:t>
      </w:r>
      <w:r>
        <w:rPr>
          <w:i/>
        </w:rPr>
        <w:t xml:space="preserve">Modern applied statistics with s</w:t>
      </w:r>
      <w:r>
        <w:t xml:space="preserve"> </w:t>
      </w:r>
      <w:r>
        <w:t xml:space="preserve">(Fourth.). New York: Springer. Retrieved from</w:t>
      </w:r>
      <w:r>
        <w:t xml:space="preserve"> </w:t>
      </w:r>
      <w:hyperlink r:id="rId99">
        <w:r>
          <w:rPr>
            <w:rStyle w:val="Hyperlink"/>
          </w:rPr>
          <w:t xml:space="preserve">http://www.stats.ox.ac.uk/pub/MASS4/</w:t>
        </w:r>
      </w:hyperlink>
    </w:p>
    <w:bookmarkEnd w:id="100"/>
    <w:bookmarkStart w:id="102" w:name="Xf063a555e8d98c0d3e2c06d30ef419830caaf87"/>
    <w:p>
      <w:pPr>
        <w:pStyle w:val="Literaturverzeichnis"/>
      </w:pPr>
      <w:r>
        <w:t xml:space="preserve">Wagenmakers, E.-J., Wetzels, R., Borsboom, D., van der Maas, H. L. J., &amp; Kievit, R. A. (2012). An agenda for purely confirmatory research.</w:t>
      </w:r>
      <w:r>
        <w:t xml:space="preserve"> </w:t>
      </w:r>
      <w:r>
        <w:rPr>
          <w:i/>
        </w:rPr>
        <w:t xml:space="preserve">Perspectives on Psychological Science</w:t>
      </w:r>
      <w:r>
        <w:t xml:space="preserve">,</w:t>
      </w:r>
      <w:r>
        <w:t xml:space="preserve"> </w:t>
      </w:r>
      <w:r>
        <w:rPr>
          <w:i/>
        </w:rPr>
        <w:t xml:space="preserve">7</w:t>
      </w:r>
      <w:r>
        <w:t xml:space="preserve">(6), 632–638. doi:</w:t>
      </w:r>
      <w:hyperlink r:id="rId101">
        <w:r>
          <w:rPr>
            <w:rStyle w:val="Hyperlink"/>
          </w:rPr>
          <w:t xml:space="preserve">10.1177/1745691612463078</w:t>
        </w:r>
      </w:hyperlink>
    </w:p>
    <w:bookmarkEnd w:id="102"/>
    <w:bookmarkStart w:id="104"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103">
        <w:r>
          <w:rPr>
            <w:rStyle w:val="Hyperlink"/>
          </w:rPr>
          <w:t xml:space="preserve">https://ggplot2.tidyverse.org</w:t>
        </w:r>
      </w:hyperlink>
    </w:p>
    <w:bookmarkEnd w:id="104"/>
    <w:bookmarkStart w:id="106" w:name="ref-R-stringr"/>
    <w:p>
      <w:pPr>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105">
        <w:r>
          <w:rPr>
            <w:rStyle w:val="Hyperlink"/>
          </w:rPr>
          <w:t xml:space="preserve">https://CRAN.R-project.org/package=stringr</w:t>
        </w:r>
      </w:hyperlink>
    </w:p>
    <w:bookmarkEnd w:id="106"/>
    <w:bookmarkStart w:id="108" w:name="ref-R-forcats"/>
    <w:p>
      <w:pPr>
        <w:pStyle w:val="Literaturverzeichnis"/>
      </w:pPr>
      <w:r>
        <w:t xml:space="preserve">Wickham, H. (2020).</w:t>
      </w:r>
      <w:r>
        <w:t xml:space="preserve"> </w:t>
      </w:r>
      <w:r>
        <w:rPr>
          <w:i/>
        </w:rPr>
        <w:t xml:space="preserve">Forcats: Tools for working with categorical variables (factors)</w:t>
      </w:r>
      <w:r>
        <w:t xml:space="preserve">. Retrieved from</w:t>
      </w:r>
      <w:r>
        <w:t xml:space="preserve"> </w:t>
      </w:r>
      <w:hyperlink r:id="rId107">
        <w:r>
          <w:rPr>
            <w:rStyle w:val="Hyperlink"/>
          </w:rPr>
          <w:t xml:space="preserve">https://CRAN.R-project.org/package=forcats</w:t>
        </w:r>
      </w:hyperlink>
    </w:p>
    <w:bookmarkEnd w:id="108"/>
    <w:bookmarkStart w:id="110" w:name="ref-R-tidyverse"/>
    <w:p>
      <w:pPr>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 doi:</w:t>
      </w:r>
      <w:hyperlink r:id="rId109">
        <w:r>
          <w:rPr>
            <w:rStyle w:val="Hyperlink"/>
          </w:rPr>
          <w:t xml:space="preserve">10.21105/joss.01686</w:t>
        </w:r>
      </w:hyperlink>
    </w:p>
    <w:bookmarkEnd w:id="110"/>
    <w:bookmarkStart w:id="112" w:name="ref-R-dplyr"/>
    <w:p>
      <w:pPr>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111">
        <w:r>
          <w:rPr>
            <w:rStyle w:val="Hyperlink"/>
          </w:rPr>
          <w:t xml:space="preserve">https://CRAN.R-project.org/package=dplyr</w:t>
        </w:r>
      </w:hyperlink>
    </w:p>
    <w:bookmarkEnd w:id="112"/>
    <w:bookmarkStart w:id="114" w:name="ref-R-tidyr"/>
    <w:p>
      <w:pPr>
        <w:pStyle w:val="Literaturverzeichnis"/>
      </w:pPr>
      <w:r>
        <w:t xml:space="preserve">Wickham, H., &amp; Henry, L. (2020).</w:t>
      </w:r>
      <w:r>
        <w:t xml:space="preserve"> </w:t>
      </w:r>
      <w:r>
        <w:rPr>
          <w:i/>
        </w:rPr>
        <w:t xml:space="preserve">Tidyr: Tidy messy data</w:t>
      </w:r>
      <w:r>
        <w:t xml:space="preserve">. Retrieved from</w:t>
      </w:r>
      <w:r>
        <w:t xml:space="preserve"> </w:t>
      </w:r>
      <w:hyperlink r:id="rId113">
        <w:r>
          <w:rPr>
            <w:rStyle w:val="Hyperlink"/>
          </w:rPr>
          <w:t xml:space="preserve">https://CRAN.R-project.org/package=tidyr</w:t>
        </w:r>
      </w:hyperlink>
    </w:p>
    <w:bookmarkEnd w:id="114"/>
    <w:bookmarkStart w:id="116" w:name="ref-R-readr"/>
    <w:p>
      <w:pPr>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115">
        <w:r>
          <w:rPr>
            <w:rStyle w:val="Hyperlink"/>
          </w:rPr>
          <w:t xml:space="preserve">https://CRAN.R-project.org/package=readr</w:t>
        </w:r>
      </w:hyperlink>
    </w:p>
    <w:bookmarkEnd w:id="116"/>
    <w:bookmarkStart w:id="117" w:name="ref-yongPsychologyReplicationCrisis2016"/>
    <w:p>
      <w:pPr>
        <w:pStyle w:val="Literaturverzeichnis"/>
      </w:pPr>
      <w:r>
        <w:t xml:space="preserve">Yong, E. (2016). Psychology’s replication crisis can’t be wished away.</w:t>
      </w:r>
      <w:r>
        <w:t xml:space="preserve"> </w:t>
      </w:r>
      <w:r>
        <w:rPr>
          <w:i/>
        </w:rPr>
        <w:t xml:space="preserve">The Atlantic</w:t>
      </w:r>
      <w:r>
        <w:t xml:space="preserve">.</w:t>
      </w:r>
    </w:p>
    <w:bookmarkEnd w:id="117"/>
    <w:bookmarkStart w:id="118" w:name="ref-yongPsychologyReplicationCrisis2018"/>
    <w:p>
      <w:pPr>
        <w:pStyle w:val="Literaturverzeichnis"/>
      </w:pPr>
      <w:r>
        <w:t xml:space="preserve">Yong, E. (2018). Psychology’s replication crisis is running out of excuses.</w:t>
      </w:r>
      <w:r>
        <w:t xml:space="preserve"> </w:t>
      </w:r>
      <w:r>
        <w:rPr>
          <w:i/>
        </w:rPr>
        <w:t xml:space="preserve">The Atlantic</w:t>
      </w:r>
      <w:r>
        <w:t xml:space="preserve">.</w:t>
      </w:r>
    </w:p>
    <w:bookmarkEnd w:id="118"/>
    <w:bookmarkStart w:id="119" w:name="X5c0c46ca4e18491629cc925353e9bfc6db54266"/>
    <w:p>
      <w:pPr>
        <w:pStyle w:val="Literaturverzeichnis"/>
      </w:pPr>
      <w:r>
        <w:t xml:space="preserve">Anderson, M. S., &amp; Louis, K. S. (1994). The graduate student experience and subscription to the norms of science.</w:t>
      </w:r>
      <w:r>
        <w:t xml:space="preserve"> </w:t>
      </w:r>
      <w:r>
        <w:rPr>
          <w:i/>
        </w:rPr>
        <w:t xml:space="preserve">Research in Higher Education</w:t>
      </w:r>
      <w:r>
        <w:t xml:space="preserve">,</w:t>
      </w:r>
      <w:r>
        <w:t xml:space="preserve"> </w:t>
      </w:r>
      <w:r>
        <w:rPr>
          <w:i/>
        </w:rPr>
        <w:t xml:space="preserve">35</w:t>
      </w:r>
      <w:r>
        <w:t xml:space="preserve">(3), 273–299. doi:</w:t>
      </w:r>
      <w:hyperlink r:id="rId39">
        <w:r>
          <w:rPr>
            <w:rStyle w:val="Hyperlink"/>
          </w:rPr>
          <w:t xml:space="preserve">10.1007/BF02496825</w:t>
        </w:r>
      </w:hyperlink>
    </w:p>
    <w:bookmarkEnd w:id="119"/>
    <w:bookmarkStart w:id="120" w:name="X8cef68f3725beeba7e423ab16a38ffc96300c2d"/>
    <w:p>
      <w:pPr>
        <w:pStyle w:val="Literaturverzeichnis"/>
      </w:pPr>
      <w:r>
        <w:t xml:space="preserve">Anderson, M. S., Martinson, B. C., &amp; De Vries, R. (2007). Normative dissonance in science: Results from a national survey of U.S. Scientists.</w:t>
      </w:r>
      <w:r>
        <w:t xml:space="preserve"> </w:t>
      </w:r>
      <w:r>
        <w:rPr>
          <w:i/>
        </w:rPr>
        <w:t xml:space="preserve">Journal of Empirical Research on Human Research Ethics</w:t>
      </w:r>
      <w:r>
        <w:t xml:space="preserve">,</w:t>
      </w:r>
      <w:r>
        <w:t xml:space="preserve"> </w:t>
      </w:r>
      <w:r>
        <w:rPr>
          <w:i/>
        </w:rPr>
        <w:t xml:space="preserve">2</w:t>
      </w:r>
      <w:r>
        <w:t xml:space="preserve">(4), 3–14. doi:</w:t>
      </w:r>
      <w:hyperlink r:id="rId41">
        <w:r>
          <w:rPr>
            <w:rStyle w:val="Hyperlink"/>
          </w:rPr>
          <w:t xml:space="preserve">10.1525/jer.2007.2.4.3</w:t>
        </w:r>
      </w:hyperlink>
    </w:p>
    <w:bookmarkEnd w:id="120"/>
    <w:bookmarkStart w:id="121"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3">
        <w:r>
          <w:rPr>
            <w:rStyle w:val="Hyperlink"/>
          </w:rPr>
          <w:t xml:space="preserve">https://github.com/crsh/papaja</w:t>
        </w:r>
      </w:hyperlink>
    </w:p>
    <w:bookmarkEnd w:id="121"/>
    <w:bookmarkStart w:id="122" w:name="ref-baker500ScientistsLift2016"/>
    <w:p>
      <w:pPr>
        <w:pStyle w:val="Literaturverzeichnis"/>
      </w:pPr>
      <w:r>
        <w:t xml:space="preserve">Baker, M. (2016). 1,500 scientists lift the lid on reproducibility.</w:t>
      </w:r>
      <w:r>
        <w:t xml:space="preserve"> </w:t>
      </w:r>
      <w:r>
        <w:rPr>
          <w:i/>
        </w:rPr>
        <w:t xml:space="preserve">Nature News</w:t>
      </w:r>
      <w:r>
        <w:t xml:space="preserve">,</w:t>
      </w:r>
      <w:r>
        <w:t xml:space="preserve"> </w:t>
      </w:r>
      <w:r>
        <w:rPr>
          <w:i/>
        </w:rPr>
        <w:t xml:space="preserve">533</w:t>
      </w:r>
      <w:r>
        <w:t xml:space="preserve">(7604), 452. doi:</w:t>
      </w:r>
      <w:hyperlink r:id="rId45">
        <w:r>
          <w:rPr>
            <w:rStyle w:val="Hyperlink"/>
          </w:rPr>
          <w:t xml:space="preserve">10.1038/533452a</w:t>
        </w:r>
      </w:hyperlink>
    </w:p>
    <w:bookmarkEnd w:id="122"/>
    <w:bookmarkStart w:id="123" w:name="ref-R-multilevel"/>
    <w:p>
      <w:pPr>
        <w:pStyle w:val="Literaturverzeichnis"/>
      </w:pPr>
      <w:r>
        <w:t xml:space="preserve">Bliese, P. (2016).</w:t>
      </w:r>
      <w:r>
        <w:t xml:space="preserve"> </w:t>
      </w:r>
      <w:r>
        <w:rPr>
          <w:i/>
        </w:rPr>
        <w:t xml:space="preserve">Multilevel: Multilevel functions</w:t>
      </w:r>
      <w:r>
        <w:t xml:space="preserve">. Retrieved from</w:t>
      </w:r>
      <w:r>
        <w:t xml:space="preserve"> </w:t>
      </w:r>
      <w:hyperlink r:id="rId47">
        <w:r>
          <w:rPr>
            <w:rStyle w:val="Hyperlink"/>
          </w:rPr>
          <w:t xml:space="preserve">https://CRAN.R-project.org/package=multilevel</w:t>
        </w:r>
      </w:hyperlink>
    </w:p>
    <w:bookmarkEnd w:id="123"/>
    <w:bookmarkStart w:id="124" w:name="ref-brandtReplicationRecipeWhat2014"/>
    <w:p>
      <w:pPr>
        <w:pStyle w:val="Literaturverzeichnis"/>
      </w:pPr>
      <w:r>
        <w:t xml:space="preserve">Brandt, M. J., IJzerman, H., Dijksterhuis, A., Farach, F. J., Geller, J., Giner-Sorolla, R., … van ’t Veer, A. (2014). The replication recipe: What makes for a convincing replication?</w:t>
      </w:r>
      <w:r>
        <w:t xml:space="preserve"> </w:t>
      </w:r>
      <w:r>
        <w:rPr>
          <w:i/>
        </w:rPr>
        <w:t xml:space="preserve">Journal of Experimental Social Psychology</w:t>
      </w:r>
      <w:r>
        <w:t xml:space="preserve">,</w:t>
      </w:r>
      <w:r>
        <w:t xml:space="preserve"> </w:t>
      </w:r>
      <w:r>
        <w:rPr>
          <w:i/>
        </w:rPr>
        <w:t xml:space="preserve">50</w:t>
      </w:r>
      <w:r>
        <w:t xml:space="preserve">, 217–224. doi:</w:t>
      </w:r>
      <w:hyperlink r:id="rId49">
        <w:r>
          <w:rPr>
            <w:rStyle w:val="Hyperlink"/>
          </w:rPr>
          <w:t xml:space="preserve">10.1016/j.jesp.2013.10.005</w:t>
        </w:r>
      </w:hyperlink>
    </w:p>
    <w:bookmarkEnd w:id="124"/>
    <w:bookmarkStart w:id="125" w:name="ref-burak_tunca_uygun_tunc_2021"/>
    <w:p>
      <w:pPr>
        <w:pStyle w:val="Literaturverzeichnis"/>
      </w:pPr>
      <w:r>
        <w:t xml:space="preserve">Burak Tunca [@tuncaburak]. (2021, March). @Uygun_tunc @rmounce @Meta_Psy Most naïve answers I heard so far during open science seminars: -(re open access) I thought those publishers were nonprofit and they give back to academia somehow (senior academic) -(ms student) I assumed peer review checks for stats and the journal store a copy of the dataset.</w:t>
      </w:r>
      <w:r>
        <w:t xml:space="preserve"> </w:t>
      </w:r>
      <w:r>
        <w:rPr>
          <w:i/>
        </w:rPr>
        <w:t xml:space="preserve">@tuncaburak</w:t>
      </w:r>
      <w:r>
        <w:t xml:space="preserve">. Tweet. Retrieved from</w:t>
      </w:r>
      <w:r>
        <w:t xml:space="preserve"> </w:t>
      </w:r>
      <w:hyperlink r:id="rId51">
        <w:r>
          <w:rPr>
            <w:rStyle w:val="Hyperlink"/>
          </w:rPr>
          <w:t xml:space="preserve">https://twitter.com/tuncaburak/status/1368892552305377288</w:t>
        </w:r>
      </w:hyperlink>
    </w:p>
    <w:bookmarkEnd w:id="125"/>
    <w:bookmarkStart w:id="126" w:name="ref-chopikHowWhetherTeach2018"/>
    <w:p>
      <w:pPr>
        <w:pStyle w:val="Literaturverzeichnis"/>
      </w:pPr>
      <w:r>
        <w:t xml:space="preserve">Chopik, W. J., Bremner, R. H., Defever, A. M., &amp; Keller, V. N. (2018). How (and whether) to teach undergraduates about the replication crisis in psychological science.</w:t>
      </w:r>
      <w:r>
        <w:t xml:space="preserve"> </w:t>
      </w:r>
      <w:r>
        <w:rPr>
          <w:i/>
        </w:rPr>
        <w:t xml:space="preserve">Teaching of Psychology</w:t>
      </w:r>
      <w:r>
        <w:t xml:space="preserve">,</w:t>
      </w:r>
      <w:r>
        <w:t xml:space="preserve"> </w:t>
      </w:r>
      <w:r>
        <w:rPr>
          <w:i/>
        </w:rPr>
        <w:t xml:space="preserve">45</w:t>
      </w:r>
      <w:r>
        <w:t xml:space="preserve">(2), 158–163. doi:</w:t>
      </w:r>
      <w:hyperlink r:id="rId53">
        <w:r>
          <w:rPr>
            <w:rStyle w:val="Hyperlink"/>
          </w:rPr>
          <w:t xml:space="preserve">10.1177/0098628318762900</w:t>
        </w:r>
      </w:hyperlink>
    </w:p>
    <w:bookmarkEnd w:id="126"/>
    <w:bookmarkStart w:id="127" w:name="X12b2ce9b70fc9809a658630023fc70709da977e"/>
    <w:p>
      <w:pPr>
        <w:pStyle w:val="Literaturverzeichnis"/>
      </w:pPr>
      <w:r>
        <w:t xml:space="preserve">Duygu Uygun-Tunc [@uygun_tunc]. (2021, March). Last night I was talking to a friend who was rather unfamiliar with the publication scene and I described how @Meta_Psy requires open data/code and has open PR. Then she asked: Of course that makes total sense, but isn’t what all journals already do? Retrieved from</w:t>
      </w:r>
      <w:r>
        <w:t xml:space="preserve"> </w:t>
      </w:r>
      <w:hyperlink r:id="rId55">
        <w:r>
          <w:rPr>
            <w:rStyle w:val="Hyperlink"/>
          </w:rPr>
          <w:t xml:space="preserve">https://twitter.com/uygun_tunc/status/1368634914611073029</w:t>
        </w:r>
      </w:hyperlink>
    </w:p>
    <w:bookmarkEnd w:id="127"/>
    <w:bookmarkStart w:id="128" w:name="ref-R-psychometric"/>
    <w:p>
      <w:pPr>
        <w:pStyle w:val="Literaturverzeichnis"/>
      </w:pPr>
      <w:r>
        <w:t xml:space="preserve">Fletcher, T. D. (2010).</w:t>
      </w:r>
      <w:r>
        <w:t xml:space="preserve"> </w:t>
      </w:r>
      <w:r>
        <w:rPr>
          <w:i/>
        </w:rPr>
        <w:t xml:space="preserve">Psychometric: Applied psychometric theory</w:t>
      </w:r>
      <w:r>
        <w:t xml:space="preserve">. Retrieved from</w:t>
      </w:r>
      <w:r>
        <w:t xml:space="preserve"> </w:t>
      </w:r>
      <w:hyperlink r:id="rId57">
        <w:r>
          <w:rPr>
            <w:rStyle w:val="Hyperlink"/>
          </w:rPr>
          <w:t xml:space="preserve">https://CRAN.R-project.org/package=psychometric</w:t>
        </w:r>
      </w:hyperlink>
    </w:p>
    <w:bookmarkEnd w:id="128"/>
    <w:bookmarkStart w:id="129" w:name="X160801838dafeb18e96e6197ad617a827b87415"/>
    <w:p>
      <w:pPr>
        <w:pStyle w:val="Literaturverzeichnis"/>
      </w:pPr>
      <w:r>
        <w:t xml:space="preserve">Grahe, J. E., Reifman, A., Hermann, A. D., Walker, M., Oleson, K. C., Nario-Redmond, M., &amp; Wiebe, R. P. (2012). Harnessing the undiscovered resource of student research projects.</w:t>
      </w:r>
      <w:r>
        <w:t xml:space="preserve"> </w:t>
      </w:r>
      <w:r>
        <w:rPr>
          <w:i/>
        </w:rPr>
        <w:t xml:space="preserve">Perspectives on Psychological Science</w:t>
      </w:r>
      <w:r>
        <w:t xml:space="preserve">,</w:t>
      </w:r>
      <w:r>
        <w:t xml:space="preserve"> </w:t>
      </w:r>
      <w:r>
        <w:rPr>
          <w:i/>
        </w:rPr>
        <w:t xml:space="preserve">7</w:t>
      </w:r>
      <w:r>
        <w:t xml:space="preserve">(6), 605–607. doi:</w:t>
      </w:r>
      <w:hyperlink r:id="rId59">
        <w:r>
          <w:rPr>
            <w:rStyle w:val="Hyperlink"/>
          </w:rPr>
          <w:t xml:space="preserve">10.1177/1745691612459057</w:t>
        </w:r>
      </w:hyperlink>
    </w:p>
    <w:bookmarkEnd w:id="129"/>
    <w:bookmarkStart w:id="130" w:name="Xfcc53e97d5678556e7418e0be237673b8534859"/>
    <w:p>
      <w:pPr>
        <w:pStyle w:val="Literaturverzeichnis"/>
      </w:pPr>
      <w:r>
        <w:t xml:space="preserve">Group, O. S. W. (2018).</w:t>
      </w:r>
      <w:r>
        <w:t xml:space="preserve"> </w:t>
      </w:r>
      <w:r>
        <w:rPr>
          <w:i/>
        </w:rPr>
        <w:t xml:space="preserve">2017 survey on open research practices administered by the School of Psychology, Cardiff University</w:t>
      </w:r>
      <w:r>
        <w:t xml:space="preserve">. Cardiff University.</w:t>
      </w:r>
    </w:p>
    <w:bookmarkEnd w:id="130"/>
    <w:bookmarkStart w:id="131" w:name="ref-harrisUseReproducibleResearch2018"/>
    <w:p>
      <w:pPr>
        <w:pStyle w:val="Literaturverzeichnis"/>
      </w:pPr>
      <w:r>
        <w:t xml:space="preserve">Harris, J. K., Johnson, K. J., Carothers, B. J., Combs, T. B., Luke, D. A., &amp; Wang, X. (2018). Use of reproducible research practices in public health: A survey of public health analysts.</w:t>
      </w:r>
      <w:r>
        <w:t xml:space="preserve"> </w:t>
      </w:r>
      <w:r>
        <w:rPr>
          <w:i/>
        </w:rPr>
        <w:t xml:space="preserve">PLOS ONE</w:t>
      </w:r>
      <w:r>
        <w:t xml:space="preserve">,</w:t>
      </w:r>
      <w:r>
        <w:t xml:space="preserve"> </w:t>
      </w:r>
      <w:r>
        <w:rPr>
          <w:i/>
        </w:rPr>
        <w:t xml:space="preserve">13</w:t>
      </w:r>
      <w:r>
        <w:t xml:space="preserve">(9), e0202447. doi:</w:t>
      </w:r>
      <w:hyperlink r:id="rId62">
        <w:r>
          <w:rPr>
            <w:rStyle w:val="Hyperlink"/>
          </w:rPr>
          <w:t xml:space="preserve">10.1371/journal.pone.0202447</w:t>
        </w:r>
      </w:hyperlink>
    </w:p>
    <w:bookmarkEnd w:id="131"/>
    <w:bookmarkStart w:id="132" w:name="ref-R-finalfit"/>
    <w:p>
      <w:pPr>
        <w:pStyle w:val="Literaturverzeichnis"/>
      </w:pPr>
      <w:r>
        <w:t xml:space="preserve">Harrison, E., Drake, T., &amp; Ots, R. (2020).</w:t>
      </w:r>
      <w:r>
        <w:t xml:space="preserve"> </w:t>
      </w:r>
      <w:r>
        <w:rPr>
          <w:i/>
        </w:rPr>
        <w:t xml:space="preserve">Finalfit: Quickly create elegant regression results tables and plots when modelling</w:t>
      </w:r>
      <w:r>
        <w:t xml:space="preserve">. Retrieved from</w:t>
      </w:r>
      <w:r>
        <w:t xml:space="preserve"> </w:t>
      </w:r>
      <w:hyperlink r:id="rId64">
        <w:r>
          <w:rPr>
            <w:rStyle w:val="Hyperlink"/>
          </w:rPr>
          <w:t xml:space="preserve">https://CRAN.R-project.org/package=finalfit</w:t>
        </w:r>
      </w:hyperlink>
    </w:p>
    <w:bookmarkEnd w:id="132"/>
    <w:bookmarkStart w:id="133" w:name="ref-R-purrr"/>
    <w:p>
      <w:pPr>
        <w:pStyle w:val="Literaturverzeichnis"/>
      </w:pPr>
      <w:r>
        <w:t xml:space="preserve">Henry, L., &amp; Wickham, H. (2020a).</w:t>
      </w:r>
      <w:r>
        <w:t xml:space="preserve"> </w:t>
      </w:r>
      <w:r>
        <w:rPr>
          <w:i/>
        </w:rPr>
        <w:t xml:space="preserve">Purrr: Functional programming tools</w:t>
      </w:r>
      <w:r>
        <w:t xml:space="preserve">. Retrieved from</w:t>
      </w:r>
      <w:r>
        <w:t xml:space="preserve"> </w:t>
      </w:r>
      <w:hyperlink r:id="rId66">
        <w:r>
          <w:rPr>
            <w:rStyle w:val="Hyperlink"/>
          </w:rPr>
          <w:t xml:space="preserve">https://CRAN.R-project.org/package=purrr</w:t>
        </w:r>
      </w:hyperlink>
    </w:p>
    <w:bookmarkEnd w:id="133"/>
    <w:bookmarkStart w:id="134" w:name="ref-R-tidyselect"/>
    <w:p>
      <w:pPr>
        <w:pStyle w:val="Literaturverzeichnis"/>
      </w:pPr>
      <w:r>
        <w:t xml:space="preserve">Henry, L., &amp; Wickham, H. (2020b).</w:t>
      </w:r>
      <w:r>
        <w:t xml:space="preserve"> </w:t>
      </w:r>
      <w:r>
        <w:rPr>
          <w:i/>
        </w:rPr>
        <w:t xml:space="preserve">Tidyselect: Select from a set of strings</w:t>
      </w:r>
      <w:r>
        <w:t xml:space="preserve">. Retrieved from</w:t>
      </w:r>
      <w:r>
        <w:t xml:space="preserve"> </w:t>
      </w:r>
      <w:hyperlink r:id="rId68">
        <w:r>
          <w:rPr>
            <w:rStyle w:val="Hyperlink"/>
          </w:rPr>
          <w:t xml:space="preserve">https://CRAN.R-project.org/package=tidyselect</w:t>
        </w:r>
      </w:hyperlink>
    </w:p>
    <w:bookmarkEnd w:id="134"/>
    <w:bookmarkStart w:id="135" w:name="ref-jekelHowTeachOpen2020"/>
    <w:p>
      <w:pPr>
        <w:pStyle w:val="Literaturverzeichnis"/>
      </w:pPr>
      <w:r>
        <w:t xml:space="preserve">Jekel, M., Fiedler, S., Allstadt Torras, R., Mischkowski, D., Dorrough, A. R., &amp; Glöckner, A. (2020). How to teach open science principles in the undergraduate curriculumthe Hagen cumulative science project.</w:t>
      </w:r>
      <w:r>
        <w:t xml:space="preserve"> </w:t>
      </w:r>
      <w:r>
        <w:rPr>
          <w:i/>
        </w:rPr>
        <w:t xml:space="preserve">Psychology Learning &amp; Teaching</w:t>
      </w:r>
      <w:r>
        <w:t xml:space="preserve">,</w:t>
      </w:r>
      <w:r>
        <w:t xml:space="preserve"> </w:t>
      </w:r>
      <w:r>
        <w:rPr>
          <w:i/>
        </w:rPr>
        <w:t xml:space="preserve">19</w:t>
      </w:r>
      <w:r>
        <w:t xml:space="preserve">(1), 91–106. doi:</w:t>
      </w:r>
      <w:hyperlink r:id="rId70">
        <w:r>
          <w:rPr>
            <w:rStyle w:val="Hyperlink"/>
          </w:rPr>
          <w:t xml:space="preserve">10.1177/1475725719868149</w:t>
        </w:r>
      </w:hyperlink>
    </w:p>
    <w:bookmarkEnd w:id="135"/>
    <w:bookmarkStart w:id="136" w:name="Xbed6fabe60fa85552bb12522959b983ddf39c3d"/>
    <w:p>
      <w:pPr>
        <w:pStyle w:val="Literaturverzeichnis"/>
      </w:pPr>
      <w:r>
        <w:t xml:space="preserve">Klein, R. A., Ratliff, K. A., Vianello, M., Adams Jr., R. B., Bahník, Š., Bernstein, M. J., … Nosek, B. A. (2014). Investigating variation in replicability: A “many labs” replication project.</w:t>
      </w:r>
      <w:r>
        <w:t xml:space="preserve"> </w:t>
      </w:r>
      <w:r>
        <w:rPr>
          <w:i/>
        </w:rPr>
        <w:t xml:space="preserve">Social Psychology</w:t>
      </w:r>
      <w:r>
        <w:t xml:space="preserve">,</w:t>
      </w:r>
      <w:r>
        <w:t xml:space="preserve"> </w:t>
      </w:r>
      <w:r>
        <w:rPr>
          <w:i/>
        </w:rPr>
        <w:t xml:space="preserve">45</w:t>
      </w:r>
      <w:r>
        <w:t xml:space="preserve">(3), 142–152. doi:</w:t>
      </w:r>
      <w:hyperlink r:id="rId72">
        <w:r>
          <w:rPr>
            <w:rStyle w:val="Hyperlink"/>
          </w:rPr>
          <w:t xml:space="preserve">10.1027/1864-9335/a000178</w:t>
        </w:r>
      </w:hyperlink>
    </w:p>
    <w:bookmarkEnd w:id="136"/>
    <w:bookmarkStart w:id="137" w:name="ref-kleinManyLabsInvestigating2018"/>
    <w:p>
      <w:pPr>
        <w:pStyle w:val="Literaturverzeichnis"/>
      </w:pPr>
      <w:r>
        <w:t xml:space="preserve">Klein, R. A., Vianello, M., Hasselman, F., Adams, B. G., Adams, R. B., Alper, S., … Nosek, B. A. (2018). Many labs 2: Investigating variation in replicability across samples and settings.</w:t>
      </w:r>
      <w:r>
        <w:t xml:space="preserve"> </w:t>
      </w:r>
      <w:r>
        <w:rPr>
          <w:i/>
        </w:rPr>
        <w:t xml:space="preserve">Advances in Methods and Practices in Psychological Science</w:t>
      </w:r>
      <w:r>
        <w:t xml:space="preserve">,</w:t>
      </w:r>
      <w:r>
        <w:t xml:space="preserve"> </w:t>
      </w:r>
      <w:r>
        <w:rPr>
          <w:i/>
        </w:rPr>
        <w:t xml:space="preserve">1</w:t>
      </w:r>
      <w:r>
        <w:t xml:space="preserve">(4), 443–490. doi:</w:t>
      </w:r>
      <w:hyperlink r:id="rId74">
        <w:r>
          <w:rPr>
            <w:rStyle w:val="Hyperlink"/>
          </w:rPr>
          <w:t xml:space="preserve">10.1177/2515245918810225</w:t>
        </w:r>
      </w:hyperlink>
    </w:p>
    <w:bookmarkEnd w:id="137"/>
    <w:bookmarkStart w:id="138" w:name="X58af8468948a6e79843d5b32ef1d50aaeadae70"/>
    <w:p>
      <w:pPr>
        <w:pStyle w:val="Literaturverzeichnis"/>
      </w:pPr>
      <w:r>
        <w:t xml:space="preserve">Lorne Campbell [@LorneJCampbell]. (2018, May). @Minzlicht @blackgoatpod Listened to this episode after seeing your reaction, and yes, wow. When I teach open science approaches to undergrads they typically are surprised the scientific process has not always been open. Will advise students to ask potential advisors about research philosophy.</w:t>
      </w:r>
      <w:r>
        <w:t xml:space="preserve"> </w:t>
      </w:r>
      <w:r>
        <w:rPr>
          <w:i/>
        </w:rPr>
        <w:t xml:space="preserve">@LorneJCampbell</w:t>
      </w:r>
      <w:r>
        <w:t xml:space="preserve">. Tweet. Retrieved from</w:t>
      </w:r>
      <w:r>
        <w:t xml:space="preserve"> </w:t>
      </w:r>
      <w:hyperlink r:id="rId76">
        <w:r>
          <w:rPr>
            <w:rStyle w:val="Hyperlink"/>
          </w:rPr>
          <w:t xml:space="preserve">https://twitter.com/LorneJCampbell/status/992076618616266758</w:t>
        </w:r>
      </w:hyperlink>
    </w:p>
    <w:bookmarkEnd w:id="138"/>
    <w:bookmarkStart w:id="139" w:name="ref-mertonNoteScienceDemocracy1942"/>
    <w:p>
      <w:pPr>
        <w:pStyle w:val="Literaturverzeichnis"/>
      </w:pPr>
      <w:r>
        <w:t xml:space="preserve">Merton, R. K. (1942). A note on science and democracy.</w:t>
      </w:r>
      <w:r>
        <w:t xml:space="preserve"> </w:t>
      </w:r>
      <w:r>
        <w:rPr>
          <w:i/>
        </w:rPr>
        <w:t xml:space="preserve">Journal of Legal and Political Sociology</w:t>
      </w:r>
      <w:r>
        <w:t xml:space="preserve">,</w:t>
      </w:r>
      <w:r>
        <w:t xml:space="preserve"> </w:t>
      </w:r>
      <w:r>
        <w:rPr>
          <w:i/>
        </w:rPr>
        <w:t xml:space="preserve">1</w:t>
      </w:r>
      <w:r>
        <w:t xml:space="preserve">, 115–126.</w:t>
      </w:r>
    </w:p>
    <w:bookmarkEnd w:id="139"/>
    <w:bookmarkStart w:id="140" w:name="ref-meyerPracticalTipsEthical2018"/>
    <w:p>
      <w:pPr>
        <w:pStyle w:val="Literaturverzeichnis"/>
      </w:pPr>
      <w:r>
        <w:t xml:space="preserve">Meyer, M. N. (2018). Practical tips for ethical data sharing.</w:t>
      </w:r>
      <w:r>
        <w:t xml:space="preserve"> </w:t>
      </w:r>
      <w:r>
        <w:rPr>
          <w:i/>
        </w:rPr>
        <w:t xml:space="preserve">Advances in Methods and Practices in Psychological Science</w:t>
      </w:r>
      <w:r>
        <w:t xml:space="preserve">,</w:t>
      </w:r>
      <w:r>
        <w:t xml:space="preserve"> </w:t>
      </w:r>
      <w:r>
        <w:rPr>
          <w:i/>
        </w:rPr>
        <w:t xml:space="preserve">1</w:t>
      </w:r>
      <w:r>
        <w:t xml:space="preserve">(1), 131–144. doi:</w:t>
      </w:r>
      <w:hyperlink r:id="rId79">
        <w:r>
          <w:rPr>
            <w:rStyle w:val="Hyperlink"/>
          </w:rPr>
          <w:t xml:space="preserve">10.1177/2515245917747656</w:t>
        </w:r>
      </w:hyperlink>
    </w:p>
    <w:bookmarkEnd w:id="140"/>
    <w:bookmarkStart w:id="141" w:name="ref-R-here"/>
    <w:p>
      <w:pPr>
        <w:pStyle w:val="Literaturverzeichnis"/>
      </w:pPr>
      <w:r>
        <w:t xml:space="preserve">Müller, K. (2017).</w:t>
      </w:r>
      <w:r>
        <w:t xml:space="preserve"> </w:t>
      </w:r>
      <w:r>
        <w:rPr>
          <w:i/>
        </w:rPr>
        <w:t xml:space="preserve">Here: A simpler way to find your files</w:t>
      </w:r>
      <w:r>
        <w:t xml:space="preserve">. Retrieved from</w:t>
      </w:r>
      <w:r>
        <w:t xml:space="preserve"> </w:t>
      </w:r>
      <w:hyperlink r:id="rId81">
        <w:r>
          <w:rPr>
            <w:rStyle w:val="Hyperlink"/>
          </w:rPr>
          <w:t xml:space="preserve">https://CRAN.R-project.org/package=here</w:t>
        </w:r>
      </w:hyperlink>
    </w:p>
    <w:bookmarkEnd w:id="141"/>
    <w:bookmarkStart w:id="142" w:name="ref-R-tibble"/>
    <w:p>
      <w:pPr>
        <w:pStyle w:val="Literaturverzeichnis"/>
      </w:pPr>
      <w:r>
        <w:t xml:space="preserve">Müller, K., &amp; Wickham, H. (2020).</w:t>
      </w:r>
      <w:r>
        <w:t xml:space="preserve"> </w:t>
      </w:r>
      <w:r>
        <w:rPr>
          <w:i/>
        </w:rPr>
        <w:t xml:space="preserve">Tibble: Simple data frames</w:t>
      </w:r>
      <w:r>
        <w:t xml:space="preserve">. Retrieved from</w:t>
      </w:r>
      <w:r>
        <w:t xml:space="preserve"> </w:t>
      </w:r>
      <w:hyperlink r:id="rId83">
        <w:r>
          <w:rPr>
            <w:rStyle w:val="Hyperlink"/>
          </w:rPr>
          <w:t xml:space="preserve">https://CRAN.R-project.org/package=tibble</w:t>
        </w:r>
      </w:hyperlink>
    </w:p>
    <w:bookmarkEnd w:id="142"/>
    <w:bookmarkStart w:id="143" w:name="ref-nosekPreregistrationRevolution2018"/>
    <w:p>
      <w:pPr>
        <w:pStyle w:val="Literaturverzeichnis"/>
      </w:pPr>
      <w:r>
        <w:t xml:space="preserve">Nosek, B. A., Ebersole, C. R., DeHaven, A. C., &amp; Mellor, D. T. (2018). The preregistration revolution.</w:t>
      </w:r>
      <w:r>
        <w:t xml:space="preserve"> </w:t>
      </w:r>
      <w:r>
        <w:rPr>
          <w:i/>
        </w:rPr>
        <w:t xml:space="preserve">Proceedings of the National Academy of Sciences</w:t>
      </w:r>
      <w:r>
        <w:t xml:space="preserve">,</w:t>
      </w:r>
      <w:r>
        <w:t xml:space="preserve"> </w:t>
      </w:r>
      <w:r>
        <w:rPr>
          <w:i/>
        </w:rPr>
        <w:t xml:space="preserve">115</w:t>
      </w:r>
      <w:r>
        <w:t xml:space="preserve">(11), 2600–2606. doi:</w:t>
      </w:r>
      <w:hyperlink r:id="rId85">
        <w:r>
          <w:rPr>
            <w:rStyle w:val="Hyperlink"/>
          </w:rPr>
          <w:t xml:space="preserve">10.1073/pnas.1708274114</w:t>
        </w:r>
      </w:hyperlink>
    </w:p>
    <w:bookmarkEnd w:id="143"/>
    <w:bookmarkStart w:id="144" w:name="X9b31099f85a34faf2e19c8bab4387932196b851"/>
    <w:p>
      <w:pPr>
        <w:pStyle w:val="Literaturverzeichnis"/>
      </w:pPr>
      <w:r>
        <w:t xml:space="preserve">O’Grady, C., 2020, &amp; Pm, 2. (2020). Psychology’s replication crisis inspires ecologists to push for more reliable research.</w:t>
      </w:r>
      <w:r>
        <w:t xml:space="preserve"> </w:t>
      </w:r>
      <w:r>
        <w:rPr>
          <w:i/>
        </w:rPr>
        <w:t xml:space="preserve">Science</w:t>
      </w:r>
      <w:r>
        <w:t xml:space="preserve">.</w:t>
      </w:r>
    </w:p>
    <w:bookmarkEnd w:id="144"/>
    <w:bookmarkStart w:id="145" w:name="ref-R-nlme"/>
    <w:p>
      <w:pPr>
        <w:pStyle w:val="Literaturverzeichnis"/>
      </w:pPr>
      <w:r>
        <w:t xml:space="preserve">Pinheiro, J., Bates, D., DebRoy, S., Sarkar, D., &amp; R Core Team. (2020).</w:t>
      </w:r>
      <w:r>
        <w:t xml:space="preserve"> </w:t>
      </w:r>
      <w:r>
        <w:rPr>
          <w:i/>
        </w:rPr>
        <w:t xml:space="preserve">nlme: Linear and nonlinear mixed effects models</w:t>
      </w:r>
      <w:r>
        <w:t xml:space="preserve">. Retrieved from</w:t>
      </w:r>
      <w:r>
        <w:t xml:space="preserve"> </w:t>
      </w:r>
      <w:hyperlink r:id="rId88">
        <w:r>
          <w:rPr>
            <w:rStyle w:val="Hyperlink"/>
          </w:rPr>
          <w:t xml:space="preserve">https://CRAN.R-project.org/package=nlme</w:t>
        </w:r>
      </w:hyperlink>
    </w:p>
    <w:bookmarkEnd w:id="145"/>
    <w:bookmarkStart w:id="146" w:name="ref-R-base"/>
    <w:p>
      <w:pPr>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90">
        <w:r>
          <w:rPr>
            <w:rStyle w:val="Hyperlink"/>
          </w:rPr>
          <w:t xml:space="preserve">https://www.R-project.org/</w:t>
        </w:r>
      </w:hyperlink>
    </w:p>
    <w:bookmarkEnd w:id="146"/>
    <w:bookmarkStart w:id="147" w:name="ref-R-psych"/>
    <w:p>
      <w:pPr>
        <w:pStyle w:val="Literaturverzeichnis"/>
      </w:pPr>
      <w:r>
        <w:t xml:space="preserve">Revelle, W. (2020).</w:t>
      </w:r>
      <w:r>
        <w:t xml:space="preserve"> </w:t>
      </w:r>
      <w:r>
        <w:rPr>
          <w:i/>
        </w:rPr>
        <w:t xml:space="preserve">Psych: Procedures for psychological, psychometric, and personality research</w:t>
      </w:r>
      <w:r>
        <w:t xml:space="preserve">. Evanston, Illinois: Northwestern University. Retrieved from</w:t>
      </w:r>
      <w:r>
        <w:t xml:space="preserve"> </w:t>
      </w:r>
      <w:hyperlink r:id="rId92">
        <w:r>
          <w:rPr>
            <w:rStyle w:val="Hyperlink"/>
          </w:rPr>
          <w:t xml:space="preserve">https://CRAN.R-project.org/package=psych</w:t>
        </w:r>
      </w:hyperlink>
    </w:p>
    <w:bookmarkEnd w:id="147"/>
    <w:bookmarkStart w:id="148" w:name="ref-R-broom"/>
    <w:p>
      <w:pPr>
        <w:pStyle w:val="Literaturverzeichnis"/>
      </w:pPr>
      <w:r>
        <w:t xml:space="preserve">Robinson, D., Hayes, A., &amp; Couch, S. (2020).</w:t>
      </w:r>
      <w:r>
        <w:t xml:space="preserve"> </w:t>
      </w:r>
      <w:r>
        <w:rPr>
          <w:i/>
        </w:rPr>
        <w:t xml:space="preserve">Broom: Convert statistical objects into tidy tibbles</w:t>
      </w:r>
      <w:r>
        <w:t xml:space="preserve">. Retrieved from</w:t>
      </w:r>
      <w:r>
        <w:t xml:space="preserve"> </w:t>
      </w:r>
      <w:hyperlink r:id="rId94">
        <w:r>
          <w:rPr>
            <w:rStyle w:val="Hyperlink"/>
          </w:rPr>
          <w:t xml:space="preserve">https://CRAN.R-project.org/package=broom</w:t>
        </w:r>
      </w:hyperlink>
    </w:p>
    <w:bookmarkEnd w:id="148"/>
    <w:bookmarkStart w:id="149" w:name="ref-schonbrodtTrainingStudentsOpen2019"/>
    <w:p>
      <w:pPr>
        <w:pStyle w:val="Literaturverzeichnis"/>
      </w:pPr>
      <w:r>
        <w:t xml:space="preserve">Schönbrodt, F. (2019). Training students for the Open Science future.</w:t>
      </w:r>
      <w:r>
        <w:t xml:space="preserve"> </w:t>
      </w:r>
      <w:r>
        <w:rPr>
          <w:i/>
        </w:rPr>
        <w:t xml:space="preserve">Nature Human Behaviour</w:t>
      </w:r>
      <w:r>
        <w:t xml:space="preserve">,</w:t>
      </w:r>
      <w:r>
        <w:t xml:space="preserve"> </w:t>
      </w:r>
      <w:r>
        <w:rPr>
          <w:i/>
        </w:rPr>
        <w:t xml:space="preserve">3</w:t>
      </w:r>
      <w:r>
        <w:t xml:space="preserve">(10), 1031–1031. doi:</w:t>
      </w:r>
      <w:hyperlink r:id="rId96">
        <w:r>
          <w:rPr>
            <w:rStyle w:val="Hyperlink"/>
          </w:rPr>
          <w:t xml:space="preserve">10.1038/s41562-019-0726-z</w:t>
        </w:r>
      </w:hyperlink>
    </w:p>
    <w:bookmarkEnd w:id="149"/>
    <w:bookmarkStart w:id="150" w:name="ref-simmons21WordSolution2012"/>
    <w:p>
      <w:pPr>
        <w:pStyle w:val="Literaturverzeichnis"/>
      </w:pPr>
      <w:r>
        <w:t xml:space="preserve">Simmons, J. P., Nelson, L. D., &amp; Simonsohn, U. (2012).</w:t>
      </w:r>
      <w:r>
        <w:t xml:space="preserve"> </w:t>
      </w:r>
      <w:r>
        <w:rPr>
          <w:i/>
        </w:rPr>
        <w:t xml:space="preserve">A 21 word solution</w:t>
      </w:r>
      <w:r>
        <w:t xml:space="preserve"> </w:t>
      </w:r>
      <w:r>
        <w:t xml:space="preserve">(SSRN Scholarly Paper No. ID 2160588). Rochester, NY: Social Science Research Network.</w:t>
      </w:r>
    </w:p>
    <w:bookmarkEnd w:id="150"/>
    <w:bookmarkStart w:id="151" w:name="ref-R-MASS"/>
    <w:p>
      <w:pPr>
        <w:pStyle w:val="Literaturverzeichnis"/>
      </w:pPr>
      <w:r>
        <w:t xml:space="preserve">Venables, W. N., &amp; Ripley, B. D. (2002).</w:t>
      </w:r>
      <w:r>
        <w:t xml:space="preserve"> </w:t>
      </w:r>
      <w:r>
        <w:rPr>
          <w:i/>
        </w:rPr>
        <w:t xml:space="preserve">Modern applied statistics with s</w:t>
      </w:r>
      <w:r>
        <w:t xml:space="preserve"> </w:t>
      </w:r>
      <w:r>
        <w:t xml:space="preserve">(Fourth.). New York: Springer. Retrieved from</w:t>
      </w:r>
      <w:r>
        <w:t xml:space="preserve"> </w:t>
      </w:r>
      <w:hyperlink r:id="rId99">
        <w:r>
          <w:rPr>
            <w:rStyle w:val="Hyperlink"/>
          </w:rPr>
          <w:t xml:space="preserve">http://www.stats.ox.ac.uk/pub/MASS4/</w:t>
        </w:r>
      </w:hyperlink>
    </w:p>
    <w:bookmarkEnd w:id="151"/>
    <w:bookmarkStart w:id="152" w:name="Xf063a555e8d98c0d3e2c06d30ef419830caaf87"/>
    <w:p>
      <w:pPr>
        <w:pStyle w:val="Literaturverzeichnis"/>
      </w:pPr>
      <w:r>
        <w:t xml:space="preserve">Wagenmakers, E.-J., Wetzels, R., Borsboom, D., van der Maas, H. L. J., &amp; Kievit, R. A. (2012). An agenda for purely confirmatory research.</w:t>
      </w:r>
      <w:r>
        <w:t xml:space="preserve"> </w:t>
      </w:r>
      <w:r>
        <w:rPr>
          <w:i/>
        </w:rPr>
        <w:t xml:space="preserve">Perspectives on Psychological Science</w:t>
      </w:r>
      <w:r>
        <w:t xml:space="preserve">,</w:t>
      </w:r>
      <w:r>
        <w:t xml:space="preserve"> </w:t>
      </w:r>
      <w:r>
        <w:rPr>
          <w:i/>
        </w:rPr>
        <w:t xml:space="preserve">7</w:t>
      </w:r>
      <w:r>
        <w:t xml:space="preserve">(6), 632–638. doi:</w:t>
      </w:r>
      <w:hyperlink r:id="rId101">
        <w:r>
          <w:rPr>
            <w:rStyle w:val="Hyperlink"/>
          </w:rPr>
          <w:t xml:space="preserve">10.1177/1745691612463078</w:t>
        </w:r>
      </w:hyperlink>
    </w:p>
    <w:bookmarkEnd w:id="152"/>
    <w:bookmarkStart w:id="153"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103">
        <w:r>
          <w:rPr>
            <w:rStyle w:val="Hyperlink"/>
          </w:rPr>
          <w:t xml:space="preserve">https://ggplot2.tidyverse.org</w:t>
        </w:r>
      </w:hyperlink>
    </w:p>
    <w:bookmarkEnd w:id="153"/>
    <w:bookmarkStart w:id="154" w:name="ref-R-stringr"/>
    <w:p>
      <w:pPr>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105">
        <w:r>
          <w:rPr>
            <w:rStyle w:val="Hyperlink"/>
          </w:rPr>
          <w:t xml:space="preserve">https://CRAN.R-project.org/package=stringr</w:t>
        </w:r>
      </w:hyperlink>
    </w:p>
    <w:bookmarkEnd w:id="154"/>
    <w:bookmarkStart w:id="155" w:name="ref-R-forcats"/>
    <w:p>
      <w:pPr>
        <w:pStyle w:val="Literaturverzeichnis"/>
      </w:pPr>
      <w:r>
        <w:t xml:space="preserve">Wickham, H. (2020).</w:t>
      </w:r>
      <w:r>
        <w:t xml:space="preserve"> </w:t>
      </w:r>
      <w:r>
        <w:rPr>
          <w:i/>
        </w:rPr>
        <w:t xml:space="preserve">Forcats: Tools for working with categorical variables (factors)</w:t>
      </w:r>
      <w:r>
        <w:t xml:space="preserve">. Retrieved from</w:t>
      </w:r>
      <w:r>
        <w:t xml:space="preserve"> </w:t>
      </w:r>
      <w:hyperlink r:id="rId107">
        <w:r>
          <w:rPr>
            <w:rStyle w:val="Hyperlink"/>
          </w:rPr>
          <w:t xml:space="preserve">https://CRAN.R-project.org/package=forcats</w:t>
        </w:r>
      </w:hyperlink>
    </w:p>
    <w:bookmarkEnd w:id="155"/>
    <w:bookmarkStart w:id="156" w:name="ref-R-tidyverse"/>
    <w:p>
      <w:pPr>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 doi:</w:t>
      </w:r>
      <w:hyperlink r:id="rId109">
        <w:r>
          <w:rPr>
            <w:rStyle w:val="Hyperlink"/>
          </w:rPr>
          <w:t xml:space="preserve">10.21105/joss.01686</w:t>
        </w:r>
      </w:hyperlink>
    </w:p>
    <w:bookmarkEnd w:id="156"/>
    <w:bookmarkStart w:id="157" w:name="ref-R-dplyr"/>
    <w:p>
      <w:pPr>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111">
        <w:r>
          <w:rPr>
            <w:rStyle w:val="Hyperlink"/>
          </w:rPr>
          <w:t xml:space="preserve">https://CRAN.R-project.org/package=dplyr</w:t>
        </w:r>
      </w:hyperlink>
    </w:p>
    <w:bookmarkEnd w:id="157"/>
    <w:bookmarkStart w:id="158" w:name="ref-R-tidyr"/>
    <w:p>
      <w:pPr>
        <w:pStyle w:val="Literaturverzeichnis"/>
      </w:pPr>
      <w:r>
        <w:t xml:space="preserve">Wickham, H., &amp; Henry, L. (2020).</w:t>
      </w:r>
      <w:r>
        <w:t xml:space="preserve"> </w:t>
      </w:r>
      <w:r>
        <w:rPr>
          <w:i/>
        </w:rPr>
        <w:t xml:space="preserve">Tidyr: Tidy messy data</w:t>
      </w:r>
      <w:r>
        <w:t xml:space="preserve">. Retrieved from</w:t>
      </w:r>
      <w:r>
        <w:t xml:space="preserve"> </w:t>
      </w:r>
      <w:hyperlink r:id="rId113">
        <w:r>
          <w:rPr>
            <w:rStyle w:val="Hyperlink"/>
          </w:rPr>
          <w:t xml:space="preserve">https://CRAN.R-project.org/package=tidyr</w:t>
        </w:r>
      </w:hyperlink>
    </w:p>
    <w:bookmarkEnd w:id="158"/>
    <w:bookmarkStart w:id="159" w:name="ref-R-readr"/>
    <w:p>
      <w:pPr>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115">
        <w:r>
          <w:rPr>
            <w:rStyle w:val="Hyperlink"/>
          </w:rPr>
          <w:t xml:space="preserve">https://CRAN.R-project.org/package=readr</w:t>
        </w:r>
      </w:hyperlink>
    </w:p>
    <w:bookmarkEnd w:id="159"/>
    <w:bookmarkStart w:id="160" w:name="ref-yongPsychologyReplicationCrisis2016"/>
    <w:p>
      <w:pPr>
        <w:pStyle w:val="Literaturverzeichnis"/>
      </w:pPr>
      <w:r>
        <w:t xml:space="preserve">Yong, E. (2016). Psychology’s replication crisis can’t be wished away.</w:t>
      </w:r>
      <w:r>
        <w:t xml:space="preserve"> </w:t>
      </w:r>
      <w:r>
        <w:rPr>
          <w:i/>
        </w:rPr>
        <w:t xml:space="preserve">The Atlantic</w:t>
      </w:r>
      <w:r>
        <w:t xml:space="preserve">.</w:t>
      </w:r>
    </w:p>
    <w:bookmarkEnd w:id="160"/>
    <w:bookmarkStart w:id="161" w:name="ref-yongPsychologyReplicationCrisis2018"/>
    <w:p>
      <w:pPr>
        <w:pStyle w:val="Literaturverzeichnis"/>
      </w:pPr>
      <w:r>
        <w:t xml:space="preserve">Yong, E. (2018). Psychology’s replication crisis is running out of excuses.</w:t>
      </w:r>
      <w:r>
        <w:t xml:space="preserve"> </w:t>
      </w:r>
      <w:r>
        <w:rPr>
          <w:i/>
        </w:rPr>
        <w:t xml:space="preserve">The Atlantic</w:t>
      </w:r>
      <w:r>
        <w:t xml:space="preserve">.</w:t>
      </w:r>
    </w:p>
    <w:bookmarkEnd w:id="161"/>
    <w:bookmarkEnd w:id="162"/>
    <w:bookmarkEnd w:id="163"/>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unotentext"/>
      </w:pPr>
      <w:r>
        <w:rPr>
          <w:rStyle w:val="Funotenzeichen"/>
        </w:rPr>
        <w:footnoteRef/>
      </w:r>
      <w:r>
        <w:t xml:space="preserve"> </w:t>
      </w:r>
      <w:r>
        <w:t xml:space="preserve">1 Notably, the effect of the lecture on trust of psychological studies was relatively small (d = -.36), and mean trust levels remained fairly high after the lecture (M = 4.94 on a scale of 1 to 7).</w:t>
      </w:r>
    </w:p>
  </w:footnote>
  <w:footnote w:id="21">
    <w:p>
      <w:pPr>
        <w:pStyle w:val="Funotentext"/>
      </w:pPr>
      <w:r>
        <w:rPr>
          <w:rStyle w:val="Funotenzeichen"/>
        </w:rPr>
        <w:footnoteRef/>
      </w:r>
      <w:r>
        <w:t xml:space="preserve"> </w:t>
      </w:r>
      <w:r>
        <w:t xml:space="preserve">While the response</w:t>
      </w:r>
      <w:r>
        <w:t xml:space="preserve"> </w:t>
      </w:r>
      <w:r>
        <w:t xml:space="preserve">“</w:t>
      </w:r>
      <w:r>
        <w:t xml:space="preserve">queer man</w:t>
      </w:r>
      <w:r>
        <w:t xml:space="preserve">”</w:t>
      </w:r>
      <w:r>
        <w:t xml:space="preserve"> </w:t>
      </w:r>
      <w:r>
        <w:t xml:space="preserve">could potentially be coded as</w:t>
      </w:r>
      <w:r>
        <w:t xml:space="preserve"> </w:t>
      </w:r>
      <w:r>
        <w:t xml:space="preserve">“</w:t>
      </w:r>
      <w:r>
        <w:t xml:space="preserve">male</w:t>
      </w:r>
      <w:r>
        <w:t xml:space="preserve">”</w:t>
      </w:r>
      <w:r>
        <w:t xml:space="preserve">, we are aware that some individuals who report gender in this way would</w:t>
      </w:r>
      <w:r>
        <w:t xml:space="preserve"> </w:t>
      </w:r>
      <w:r>
        <w:t xml:space="preserve">not feel that such reclassification was appropriate. We have retained the original</w:t>
      </w:r>
      <w:r>
        <w:t xml:space="preserve"> </w:t>
      </w:r>
      <w:r>
        <w:t xml:space="preserve">response in order to provide a faithful representation of the participant’s</w:t>
      </w:r>
      <w:r>
        <w:t xml:space="preserve"> </w:t>
      </w:r>
      <w:r>
        <w:t xml:space="preserve">self-reported gender.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99" Target="http://www.stats.ox.ac.uk/pub/MASS4/" TargetMode="External" /><Relationship Type="http://schemas.openxmlformats.org/officeDocument/2006/relationships/hyperlink" Id="rId94" Target="https://CRAN.R-project.org/package=broom" TargetMode="External" /><Relationship Type="http://schemas.openxmlformats.org/officeDocument/2006/relationships/hyperlink" Id="rId111" Target="https://CRAN.R-project.org/package=dplyr" TargetMode="External" /><Relationship Type="http://schemas.openxmlformats.org/officeDocument/2006/relationships/hyperlink" Id="rId64" Target="https://CRAN.R-project.org/package=finalfit" TargetMode="External" /><Relationship Type="http://schemas.openxmlformats.org/officeDocument/2006/relationships/hyperlink" Id="rId107" Target="https://CRAN.R-project.org/package=forcats" TargetMode="External" /><Relationship Type="http://schemas.openxmlformats.org/officeDocument/2006/relationships/hyperlink" Id="rId81" Target="https://CRAN.R-project.org/package=here" TargetMode="External" /><Relationship Type="http://schemas.openxmlformats.org/officeDocument/2006/relationships/hyperlink" Id="rId47" Target="https://CRAN.R-project.org/package=multilevel" TargetMode="External" /><Relationship Type="http://schemas.openxmlformats.org/officeDocument/2006/relationships/hyperlink" Id="rId88" Target="https://CRAN.R-project.org/package=nlme" TargetMode="External" /><Relationship Type="http://schemas.openxmlformats.org/officeDocument/2006/relationships/hyperlink" Id="rId92" Target="https://CRAN.R-project.org/package=psych" TargetMode="External" /><Relationship Type="http://schemas.openxmlformats.org/officeDocument/2006/relationships/hyperlink" Id="rId57" Target="https://CRAN.R-project.org/package=psychometric" TargetMode="External" /><Relationship Type="http://schemas.openxmlformats.org/officeDocument/2006/relationships/hyperlink" Id="rId66" Target="https://CRAN.R-project.org/package=purrr" TargetMode="External" /><Relationship Type="http://schemas.openxmlformats.org/officeDocument/2006/relationships/hyperlink" Id="rId115" Target="https://CRAN.R-project.org/package=readr" TargetMode="External" /><Relationship Type="http://schemas.openxmlformats.org/officeDocument/2006/relationships/hyperlink" Id="rId105" Target="https://CRAN.R-project.org/package=stringr" TargetMode="External" /><Relationship Type="http://schemas.openxmlformats.org/officeDocument/2006/relationships/hyperlink" Id="rId83" Target="https://CRAN.R-project.org/package=tibble" TargetMode="External" /><Relationship Type="http://schemas.openxmlformats.org/officeDocument/2006/relationships/hyperlink" Id="rId113" Target="https://CRAN.R-project.org/package=tidyr" TargetMode="External" /><Relationship Type="http://schemas.openxmlformats.org/officeDocument/2006/relationships/hyperlink" Id="rId68" Target="https://CRAN.R-project.org/package=tidyselect" TargetMode="External" /><Relationship Type="http://schemas.openxmlformats.org/officeDocument/2006/relationships/hyperlink" Id="rId39" Target="https://doi.org/10.1007/BF02496825" TargetMode="External" /><Relationship Type="http://schemas.openxmlformats.org/officeDocument/2006/relationships/hyperlink" Id="rId49" Target="https://doi.org/10.1016/j.jesp.2013.10.005" TargetMode="External" /><Relationship Type="http://schemas.openxmlformats.org/officeDocument/2006/relationships/hyperlink" Id="rId72" Target="https://doi.org/10.1027/1864-9335/a000178" TargetMode="External" /><Relationship Type="http://schemas.openxmlformats.org/officeDocument/2006/relationships/hyperlink" Id="rId45" Target="https://doi.org/10.1038/533452a" TargetMode="External" /><Relationship Type="http://schemas.openxmlformats.org/officeDocument/2006/relationships/hyperlink" Id="rId96" Target="https://doi.org/10.1038/s41562-019-0726-z" TargetMode="External" /><Relationship Type="http://schemas.openxmlformats.org/officeDocument/2006/relationships/hyperlink" Id="rId85" Target="https://doi.org/10.1073/pnas.1708274114" TargetMode="External" /><Relationship Type="http://schemas.openxmlformats.org/officeDocument/2006/relationships/hyperlink" Id="rId53" Target="https://doi.org/10.1177/0098628318762900" TargetMode="External" /><Relationship Type="http://schemas.openxmlformats.org/officeDocument/2006/relationships/hyperlink" Id="rId70" Target="https://doi.org/10.1177/1475725719868149" TargetMode="External" /><Relationship Type="http://schemas.openxmlformats.org/officeDocument/2006/relationships/hyperlink" Id="rId59" Target="https://doi.org/10.1177/1745691612459057" TargetMode="External" /><Relationship Type="http://schemas.openxmlformats.org/officeDocument/2006/relationships/hyperlink" Id="rId101" Target="https://doi.org/10.1177/1745691612463078" TargetMode="External" /><Relationship Type="http://schemas.openxmlformats.org/officeDocument/2006/relationships/hyperlink" Id="rId79" Target="https://doi.org/10.1177/2515245917747656" TargetMode="External" /><Relationship Type="http://schemas.openxmlformats.org/officeDocument/2006/relationships/hyperlink" Id="rId74" Target="https://doi.org/10.1177/2515245918810225" TargetMode="External" /><Relationship Type="http://schemas.openxmlformats.org/officeDocument/2006/relationships/hyperlink" Id="rId62" Target="https://doi.org/10.1371/journal.pone.0202447" TargetMode="External" /><Relationship Type="http://schemas.openxmlformats.org/officeDocument/2006/relationships/hyperlink" Id="rId41" Target="https://doi.org/10.1525/jer.2007.2.4.3" TargetMode="External" /><Relationship Type="http://schemas.openxmlformats.org/officeDocument/2006/relationships/hyperlink" Id="rId109" Target="https://doi.org/10.21105/joss.01686" TargetMode="External" /><Relationship Type="http://schemas.openxmlformats.org/officeDocument/2006/relationships/hyperlink" Id="rId103" Target="https://ggplot2.tidyverse.org" TargetMode="External" /><Relationship Type="http://schemas.openxmlformats.org/officeDocument/2006/relationships/hyperlink" Id="rId43" Target="https://github.com/crsh/papaja" TargetMode="External" /><Relationship Type="http://schemas.openxmlformats.org/officeDocument/2006/relationships/hyperlink" Id="rId76" Target="https://twitter.com/LorneJCampbell/status/992076618616266758" TargetMode="External" /><Relationship Type="http://schemas.openxmlformats.org/officeDocument/2006/relationships/hyperlink" Id="rId51" Target="https://twitter.com/tuncaburak/status/1368892552305377288" TargetMode="External" /><Relationship Type="http://schemas.openxmlformats.org/officeDocument/2006/relationships/hyperlink" Id="rId55" Target="https://twitter.com/uygun_tunc/status/1368634914611073029" TargetMode="External" /><Relationship Type="http://schemas.openxmlformats.org/officeDocument/2006/relationships/hyperlink" Id="rId9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99" Target="http://www.stats.ox.ac.uk/pub/MASS4/" TargetMode="External" /><Relationship Type="http://schemas.openxmlformats.org/officeDocument/2006/relationships/hyperlink" Id="rId94" Target="https://CRAN.R-project.org/package=broom" TargetMode="External" /><Relationship Type="http://schemas.openxmlformats.org/officeDocument/2006/relationships/hyperlink" Id="rId111" Target="https://CRAN.R-project.org/package=dplyr" TargetMode="External" /><Relationship Type="http://schemas.openxmlformats.org/officeDocument/2006/relationships/hyperlink" Id="rId64" Target="https://CRAN.R-project.org/package=finalfit" TargetMode="External" /><Relationship Type="http://schemas.openxmlformats.org/officeDocument/2006/relationships/hyperlink" Id="rId107" Target="https://CRAN.R-project.org/package=forcats" TargetMode="External" /><Relationship Type="http://schemas.openxmlformats.org/officeDocument/2006/relationships/hyperlink" Id="rId81" Target="https://CRAN.R-project.org/package=here" TargetMode="External" /><Relationship Type="http://schemas.openxmlformats.org/officeDocument/2006/relationships/hyperlink" Id="rId47" Target="https://CRAN.R-project.org/package=multilevel" TargetMode="External" /><Relationship Type="http://schemas.openxmlformats.org/officeDocument/2006/relationships/hyperlink" Id="rId88" Target="https://CRAN.R-project.org/package=nlme" TargetMode="External" /><Relationship Type="http://schemas.openxmlformats.org/officeDocument/2006/relationships/hyperlink" Id="rId92" Target="https://CRAN.R-project.org/package=psych" TargetMode="External" /><Relationship Type="http://schemas.openxmlformats.org/officeDocument/2006/relationships/hyperlink" Id="rId57" Target="https://CRAN.R-project.org/package=psychometric" TargetMode="External" /><Relationship Type="http://schemas.openxmlformats.org/officeDocument/2006/relationships/hyperlink" Id="rId66" Target="https://CRAN.R-project.org/package=purrr" TargetMode="External" /><Relationship Type="http://schemas.openxmlformats.org/officeDocument/2006/relationships/hyperlink" Id="rId115" Target="https://CRAN.R-project.org/package=readr" TargetMode="External" /><Relationship Type="http://schemas.openxmlformats.org/officeDocument/2006/relationships/hyperlink" Id="rId105" Target="https://CRAN.R-project.org/package=stringr" TargetMode="External" /><Relationship Type="http://schemas.openxmlformats.org/officeDocument/2006/relationships/hyperlink" Id="rId83" Target="https://CRAN.R-project.org/package=tibble" TargetMode="External" /><Relationship Type="http://schemas.openxmlformats.org/officeDocument/2006/relationships/hyperlink" Id="rId113" Target="https://CRAN.R-project.org/package=tidyr" TargetMode="External" /><Relationship Type="http://schemas.openxmlformats.org/officeDocument/2006/relationships/hyperlink" Id="rId68" Target="https://CRAN.R-project.org/package=tidyselect" TargetMode="External" /><Relationship Type="http://schemas.openxmlformats.org/officeDocument/2006/relationships/hyperlink" Id="rId39" Target="https://doi.org/10.1007/BF02496825" TargetMode="External" /><Relationship Type="http://schemas.openxmlformats.org/officeDocument/2006/relationships/hyperlink" Id="rId49" Target="https://doi.org/10.1016/j.jesp.2013.10.005" TargetMode="External" /><Relationship Type="http://schemas.openxmlformats.org/officeDocument/2006/relationships/hyperlink" Id="rId72" Target="https://doi.org/10.1027/1864-9335/a000178" TargetMode="External" /><Relationship Type="http://schemas.openxmlformats.org/officeDocument/2006/relationships/hyperlink" Id="rId45" Target="https://doi.org/10.1038/533452a" TargetMode="External" /><Relationship Type="http://schemas.openxmlformats.org/officeDocument/2006/relationships/hyperlink" Id="rId96" Target="https://doi.org/10.1038/s41562-019-0726-z" TargetMode="External" /><Relationship Type="http://schemas.openxmlformats.org/officeDocument/2006/relationships/hyperlink" Id="rId85" Target="https://doi.org/10.1073/pnas.1708274114" TargetMode="External" /><Relationship Type="http://schemas.openxmlformats.org/officeDocument/2006/relationships/hyperlink" Id="rId53" Target="https://doi.org/10.1177/0098628318762900" TargetMode="External" /><Relationship Type="http://schemas.openxmlformats.org/officeDocument/2006/relationships/hyperlink" Id="rId70" Target="https://doi.org/10.1177/1475725719868149" TargetMode="External" /><Relationship Type="http://schemas.openxmlformats.org/officeDocument/2006/relationships/hyperlink" Id="rId59" Target="https://doi.org/10.1177/1745691612459057" TargetMode="External" /><Relationship Type="http://schemas.openxmlformats.org/officeDocument/2006/relationships/hyperlink" Id="rId101" Target="https://doi.org/10.1177/1745691612463078" TargetMode="External" /><Relationship Type="http://schemas.openxmlformats.org/officeDocument/2006/relationships/hyperlink" Id="rId79" Target="https://doi.org/10.1177/2515245917747656" TargetMode="External" /><Relationship Type="http://schemas.openxmlformats.org/officeDocument/2006/relationships/hyperlink" Id="rId74" Target="https://doi.org/10.1177/2515245918810225" TargetMode="External" /><Relationship Type="http://schemas.openxmlformats.org/officeDocument/2006/relationships/hyperlink" Id="rId62" Target="https://doi.org/10.1371/journal.pone.0202447" TargetMode="External" /><Relationship Type="http://schemas.openxmlformats.org/officeDocument/2006/relationships/hyperlink" Id="rId41" Target="https://doi.org/10.1525/jer.2007.2.4.3" TargetMode="External" /><Relationship Type="http://schemas.openxmlformats.org/officeDocument/2006/relationships/hyperlink" Id="rId109" Target="https://doi.org/10.21105/joss.01686" TargetMode="External" /><Relationship Type="http://schemas.openxmlformats.org/officeDocument/2006/relationships/hyperlink" Id="rId103" Target="https://ggplot2.tidyverse.org" TargetMode="External" /><Relationship Type="http://schemas.openxmlformats.org/officeDocument/2006/relationships/hyperlink" Id="rId43" Target="https://github.com/crsh/papaja" TargetMode="External" /><Relationship Type="http://schemas.openxmlformats.org/officeDocument/2006/relationships/hyperlink" Id="rId76" Target="https://twitter.com/LorneJCampbell/status/992076618616266758" TargetMode="External" /><Relationship Type="http://schemas.openxmlformats.org/officeDocument/2006/relationships/hyperlink" Id="rId51" Target="https://twitter.com/tuncaburak/status/1368892552305377288" TargetMode="External" /><Relationship Type="http://schemas.openxmlformats.org/officeDocument/2006/relationships/hyperlink" Id="rId55" Target="https://twitter.com/uygun_tunc/status/1368634914611073029" TargetMode="External" /><Relationship Type="http://schemas.openxmlformats.org/officeDocument/2006/relationships/hyperlink" Id="rId9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incoming university students believe about open science practices in psychology?</dc:title>
  <dc:creator/>
  <cp:keywords/>
  <dcterms:created xsi:type="dcterms:W3CDTF">2021-05-11T00:30:35Z</dcterms:created>
  <dcterms:modified xsi:type="dcterms:W3CDTF">2021-05-11T00:30:35Z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 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yes</vt:lpwstr>
  </property>
  <property fmtid="{D5CDD505-2E9C-101B-9397-08002B2CF9AE}" pid="14" name="output">
    <vt:lpwstr/>
  </property>
  <property fmtid="{D5CDD505-2E9C-101B-9397-08002B2CF9AE}" pid="15" name="shorttitle">
    <vt:lpwstr>Psychology students’ beliefs about open science</vt:lpwstr>
  </property>
  <property fmtid="{D5CDD505-2E9C-101B-9397-08002B2CF9AE}" pid="16" name="tablelist">
    <vt:lpwstr>no</vt:lpwstr>
  </property>
  <property fmtid="{D5CDD505-2E9C-101B-9397-08002B2CF9AE}" pid="17" name="wordcount">
    <vt:lpwstr>X</vt:lpwstr>
  </property>
</Properties>
</file>