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656E879F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Pr="00D86945" w:rsidR="0046337B" w:rsidP="005D55B2" w:rsidRDefault="05C88CAE" w14:paraId="30FA56EF" w14:textId="639CDD15">
            <w:pPr>
              <w:pStyle w:val="Title"/>
            </w:pPr>
            <w:r w:rsidRPr="629B9648" w:rsidR="05C88CAE">
              <w:rPr>
                <w:lang w:bidi="fr-FR"/>
              </w:rPr>
              <w:t>RAPPORT</w:t>
            </w:r>
          </w:p>
          <w:p w:rsidR="600E6A3E" w:rsidP="629B9648" w:rsidRDefault="600E6A3E" w14:paraId="5218828C" w14:textId="654589A8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656E879F" w:rsidR="600E6A3E">
              <w:rPr>
                <w:lang w:bidi="fr-FR"/>
              </w:rPr>
              <w:t>D'ACTIVITÉ 20</w:t>
            </w:r>
            <w:r w:rsidRPr="656E879F" w:rsidR="75EB77FD">
              <w:rPr>
                <w:lang w:bidi="fr-FR"/>
              </w:rPr>
              <w:t>2</w:t>
            </w:r>
            <w:r w:rsidRPr="656E879F" w:rsidR="4DB72BEF">
              <w:rPr>
                <w:lang w:bidi="fr-FR"/>
              </w:rPr>
              <w:t>4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656E879F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656E879F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3CAB7797">
            <w:pPr>
              <w:rPr>
                <w:rStyle w:val="SubtitleChar"/>
                <w:b w:val="0"/>
                <w:bCs w:val="0"/>
                <w:lang w:bidi="fr-FR"/>
              </w:rPr>
            </w:pPr>
            <w:r w:rsidRPr="656E879F" w:rsidR="51400C8F">
              <w:rPr>
                <w:rStyle w:val="SubtitleChar"/>
                <w:b w:val="0"/>
                <w:bCs w:val="0"/>
                <w:lang w:bidi="fr-FR"/>
              </w:rPr>
              <w:t>1</w:t>
            </w:r>
            <w:r w:rsidRPr="656E879F" w:rsidR="0D4C3A16">
              <w:rPr>
                <w:rStyle w:val="SubtitleChar"/>
                <w:b w:val="0"/>
                <w:bCs w:val="0"/>
                <w:lang w:bidi="fr-FR"/>
              </w:rPr>
              <w:t>7</w:t>
            </w:r>
            <w:r w:rsidRPr="656E879F" w:rsidR="51400C8F">
              <w:rPr>
                <w:rStyle w:val="SubtitleChar"/>
                <w:b w:val="0"/>
                <w:bCs w:val="0"/>
                <w:lang w:bidi="fr-FR"/>
              </w:rPr>
              <w:t>/01/202</w:t>
            </w:r>
            <w:r w:rsidRPr="656E879F" w:rsidR="34478689">
              <w:rPr>
                <w:rStyle w:val="SubtitleChar"/>
                <w:b w:val="0"/>
                <w:bCs w:val="0"/>
                <w:lang w:bidi="fr-FR"/>
              </w:rPr>
              <w:t>5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2FF2A2ED">
              <w:drawing>
                <wp:inline wp14:editId="5D30D72A" wp14:anchorId="737C1255">
                  <wp:extent cx="1777364" cy="17640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364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2F9FFEF0">
      <w:pPr>
        <w:pStyle w:val="Heading1"/>
        <w:spacing w:after="200"/>
      </w:pPr>
      <w:r w:rsidRPr="656E879F" w:rsidR="4BACBA7A">
        <w:rPr>
          <w:lang w:bidi="fr-FR"/>
        </w:rPr>
        <w:t>Rapport financier – Exercice 20</w:t>
      </w:r>
      <w:r w:rsidRPr="656E879F" w:rsidR="47CE9215">
        <w:rPr>
          <w:lang w:bidi="fr-FR"/>
        </w:rPr>
        <w:t>2</w:t>
      </w:r>
      <w:r w:rsidRPr="656E879F" w:rsidR="17C84B89">
        <w:rPr>
          <w:lang w:bidi="fr-FR"/>
        </w:rPr>
        <w:t>4</w:t>
      </w:r>
    </w:p>
    <w:p w:rsidR="3B0D2921" w:rsidP="656E879F" w:rsidRDefault="3B0D2921" w14:paraId="794BC553" w14:textId="198FFBAE">
      <w:pPr>
        <w:pStyle w:val="Normal"/>
      </w:pPr>
      <w:r w:rsidR="3B0D2921">
        <w:rPr/>
        <w:t>Phase de maintien opérationnel et stabilisation budgétaire</w:t>
      </w:r>
    </w:p>
    <w:p w:rsidR="656E879F" w:rsidRDefault="656E879F" w14:paraId="21BEB7E6"/>
    <w:p w:rsidR="3B0D2921" w:rsidP="656E879F" w:rsidRDefault="3B0D2921" w14:paraId="2171BDE5" w14:textId="5410A17E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3B0D292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2024 s’inscrit dans une logique de stabilisation après les investissements infrastructurels significatifs réalisés en 2023.</w:t>
      </w:r>
    </w:p>
    <w:p w:rsidR="3B0D2921" w:rsidP="656E879F" w:rsidRDefault="3B0D2921" w14:paraId="69F663BD" w14:textId="5B28A75A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3B0D292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L’exercice se caractérise par une prédominance de dépenses liées au fonctionnement courant et au maintien des structures existantes.</w:t>
      </w:r>
    </w:p>
    <w:p w:rsidR="3B0D2921" w:rsidP="656E879F" w:rsidRDefault="3B0D2921" w14:paraId="22D4D354" w14:textId="0A94A1FC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3B0D292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Les ressources mobilisées, intégralement issues de fonds propres, ont permis :</w:t>
      </w:r>
    </w:p>
    <w:p w:rsidR="3B0D2921" w:rsidP="656E879F" w:rsidRDefault="3B0D2921" w14:paraId="53237679" w14:textId="4F0AB0E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3B0D292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maintien des locaux opérationnels (loyers),</w:t>
      </w:r>
    </w:p>
    <w:p w:rsidR="3B0D2921" w:rsidP="656E879F" w:rsidRDefault="3B0D2921" w14:paraId="5A1CF81B" w14:textId="10BD978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3B0D292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continuité des activités,</w:t>
      </w:r>
    </w:p>
    <w:p w:rsidR="3B0D2921" w:rsidP="656E879F" w:rsidRDefault="3B0D2921" w14:paraId="54F7DF90" w14:textId="2600CA8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3B0D292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couverture des charges de fonctionnement nécessaires à la stabilité du projet.</w:t>
      </w:r>
    </w:p>
    <w:p w:rsidR="3B0D2921" w:rsidP="656E879F" w:rsidRDefault="3B0D2921" w14:paraId="63072625" w14:textId="184B6E37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3B0D292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2024 traduit une volonté de consolidation et de maîtrise budgétaire, privilégiant la continuité et la solidité financière plutôt qu’une nouvelle phase d’expansion.</w:t>
      </w:r>
    </w:p>
    <w:p w:rsidR="656E879F" w:rsidP="656E879F" w:rsidRDefault="656E879F" w14:paraId="65A525E0" w14:textId="147BECC1">
      <w:pPr>
        <w:pStyle w:val="Normal"/>
      </w:pPr>
    </w:p>
    <w:tbl>
      <w:tblPr>
        <w:tblStyle w:val="TableGrid"/>
        <w:tblW w:w="0" w:type="auto"/>
        <w:tblBorders>
          <w:top w:val="none" w:color="000000" w:sz="12"/>
          <w:left w:val="none" w:color="000000" w:sz="12"/>
          <w:bottom w:val="none" w:color="000000" w:sz="12"/>
          <w:right w:val="none" w:color="000000" w:sz="12"/>
          <w:insideH w:val="none" w:color="000000" w:sz="12"/>
          <w:insideV w:val="none" w:color="000000" w:sz="12"/>
        </w:tblBorders>
        <w:tblLook w:val="06A0" w:firstRow="1" w:lastRow="0" w:firstColumn="1" w:lastColumn="0" w:noHBand="1" w:noVBand="1"/>
      </w:tblPr>
      <w:tblGrid>
        <w:gridCol w:w="9600"/>
      </w:tblGrid>
      <w:tr w:rsidR="656E879F" w:rsidTr="656E879F" w14:paraId="7BA3F416">
        <w:trPr>
          <w:trHeight w:val="300"/>
        </w:trPr>
        <w:tc>
          <w:tcPr>
            <w:tcW w:w="9600" w:type="dxa"/>
            <w:shd w:val="clear" w:color="auto" w:fill="F2F2F2" w:themeFill="background1" w:themeFillShade="F2"/>
            <w:tcMar/>
            <w:vAlign w:val="center"/>
          </w:tcPr>
          <w:p w:rsidR="656E879F" w:rsidP="656E879F" w:rsidRDefault="656E879F" w14:paraId="50E65855" w14:textId="310566B9">
            <w:pPr>
              <w:pStyle w:val="Normal"/>
              <w:jc w:val="center"/>
              <w:rPr>
                <w:i w:val="1"/>
                <w:iCs w:val="1"/>
                <w:sz w:val="36"/>
                <w:szCs w:val="36"/>
                <w:lang w:bidi="fr-FR"/>
              </w:rPr>
            </w:pPr>
            <w:r>
              <w:br/>
            </w:r>
            <w:r w:rsidRPr="656E879F" w:rsidR="3B0D2921">
              <w:rPr>
                <w:i w:val="1"/>
                <w:iCs w:val="1"/>
                <w:sz w:val="36"/>
                <w:szCs w:val="36"/>
                <w:lang w:bidi="fr-FR"/>
              </w:rPr>
              <w:t>« 2024 a été l’année de la stabilité : préserver les acquis et consolider les bases avant la prochaine phase d’évolution. »</w:t>
            </w:r>
          </w:p>
          <w:p w:rsidR="656E879F" w:rsidP="656E879F" w:rsidRDefault="656E879F" w14:paraId="2ADC3D67" w14:textId="0EB47F45">
            <w:pPr>
              <w:pStyle w:val="Normal"/>
              <w:jc w:val="center"/>
              <w:rPr>
                <w:i w:val="1"/>
                <w:iCs w:val="1"/>
                <w:sz w:val="36"/>
                <w:szCs w:val="36"/>
                <w:lang w:bidi="fr-FR"/>
              </w:rPr>
            </w:pPr>
          </w:p>
        </w:tc>
      </w:tr>
    </w:tbl>
    <w:p w:rsidR="656E879F" w:rsidP="656E879F" w:rsidRDefault="656E879F" w14:paraId="47F62D9E" w14:textId="394EF016">
      <w:pPr>
        <w:pStyle w:val="Normal"/>
      </w:pPr>
    </w:p>
    <w:p w:rsidR="656E879F" w:rsidP="656E879F" w:rsidRDefault="656E879F" w14:paraId="4112C433" w14:textId="59733877">
      <w:pPr>
        <w:pStyle w:val="Normal"/>
      </w:pPr>
    </w:p>
    <w:p w:rsidR="656E879F" w:rsidRDefault="656E879F" w14:paraId="47BD1C21" w14:textId="050D6F36">
      <w:r>
        <w:br w:type="page"/>
      </w:r>
    </w:p>
    <w:p w:rsidR="174F6729" w:rsidP="656E879F" w:rsidRDefault="174F6729" w14:paraId="7335155F" w14:textId="374DCA1B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  <w:r w:rsidRPr="656E879F" w:rsidR="174F6729">
        <w:rPr>
          <w:b w:val="1"/>
          <w:bCs w:val="1"/>
          <w:noProof w:val="0"/>
          <w:lang w:val="fr-FR"/>
        </w:rPr>
        <w:t>Synthèse financière</w:t>
      </w:r>
    </w:p>
    <w:p w:rsidR="174F6729" w:rsidP="656E879F" w:rsidRDefault="174F6729" w14:paraId="11F5FD78" w14:textId="364C1CA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fr-FR"/>
        </w:rPr>
      </w:pPr>
      <w:r w:rsidRPr="656E879F" w:rsidR="174F6729">
        <w:rPr>
          <w:b w:val="0"/>
          <w:bCs w:val="0"/>
          <w:noProof w:val="0"/>
          <w:sz w:val="24"/>
          <w:szCs w:val="24"/>
          <w:lang w:val="fr-FR"/>
        </w:rPr>
        <w:t xml:space="preserve">Total engagé : </w:t>
      </w:r>
      <w:r w:rsidRPr="656E879F" w:rsidR="174F6729">
        <w:rPr>
          <w:b w:val="1"/>
          <w:bCs w:val="1"/>
          <w:noProof w:val="0"/>
          <w:sz w:val="24"/>
          <w:szCs w:val="24"/>
          <w:lang w:val="fr-FR"/>
        </w:rPr>
        <w:t>1 251 985 XAF</w:t>
      </w:r>
    </w:p>
    <w:p w:rsidR="174F6729" w:rsidP="656E879F" w:rsidRDefault="174F6729" w14:paraId="517BF5F5" w14:textId="13BCCA5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656E879F" w:rsidR="174F6729">
        <w:rPr>
          <w:b w:val="0"/>
          <w:bCs w:val="0"/>
          <w:noProof w:val="0"/>
          <w:sz w:val="24"/>
          <w:szCs w:val="24"/>
          <w:lang w:val="fr-FR"/>
        </w:rPr>
        <w:t>Répartition dominante :</w:t>
      </w:r>
    </w:p>
    <w:p w:rsidR="174F6729" w:rsidP="656E879F" w:rsidRDefault="174F6729" w14:paraId="7D4FE302" w14:textId="534412F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656E879F" w:rsidR="174F6729">
        <w:rPr>
          <w:b w:val="0"/>
          <w:bCs w:val="0"/>
          <w:noProof w:val="0"/>
          <w:sz w:val="24"/>
          <w:szCs w:val="24"/>
          <w:lang w:val="fr-FR"/>
        </w:rPr>
        <w:t>Loyers des locaux opérationnels</w:t>
      </w:r>
    </w:p>
    <w:p w:rsidR="174F6729" w:rsidP="656E879F" w:rsidRDefault="174F6729" w14:paraId="544EE27A" w14:textId="11B70E2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656E879F" w:rsidR="174F6729">
        <w:rPr>
          <w:b w:val="0"/>
          <w:bCs w:val="0"/>
          <w:noProof w:val="0"/>
          <w:sz w:val="24"/>
          <w:szCs w:val="24"/>
          <w:lang w:val="fr-FR"/>
        </w:rPr>
        <w:t>Dépenses de fonctionnement</w:t>
      </w:r>
    </w:p>
    <w:p w:rsidR="656E879F" w:rsidP="656E879F" w:rsidRDefault="656E879F" w14:paraId="25345B07" w14:textId="17463E6E">
      <w:pPr>
        <w:pStyle w:val="Normal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noProof w:val="0"/>
          <w:sz w:val="28"/>
          <w:szCs w:val="28"/>
          <w:lang w:val="fr-FR"/>
        </w:rPr>
      </w:pPr>
    </w:p>
    <w:p w:rsidR="656E879F" w:rsidRDefault="656E879F" w14:paraId="499D2DBD" w14:textId="3212386F">
      <w:pPr>
        <w:rPr>
          <w:b w:val="0"/>
          <w:bCs w:val="0"/>
        </w:rPr>
      </w:pPr>
    </w:p>
    <w:p w:rsidR="656E879F" w:rsidRDefault="656E879F" w14:paraId="791B5CF6" w14:textId="4C9CD12F">
      <w:pPr>
        <w:rPr>
          <w:b w:val="0"/>
          <w:bCs w:val="0"/>
        </w:rPr>
      </w:pPr>
    </w:p>
    <w:p w:rsidR="174F6729" w:rsidP="656E879F" w:rsidRDefault="174F6729" w14:paraId="0BA9A9FD" w14:textId="74E9572F">
      <w:pPr>
        <w:pStyle w:val="Heading2"/>
        <w:suppressLineNumbers w:val="0"/>
        <w:bidi w:val="0"/>
        <w:spacing w:before="0" w:beforeAutospacing="off" w:after="299" w:afterAutospacing="off" w:line="240" w:lineRule="auto"/>
        <w:ind w:left="0" w:right="0"/>
        <w:jc w:val="left"/>
        <w:rPr>
          <w:b w:val="1"/>
          <w:bCs w:val="1"/>
          <w:noProof w:val="0"/>
          <w:lang w:val="fr-FR"/>
        </w:rPr>
      </w:pPr>
      <w:r w:rsidRPr="656E879F" w:rsidR="174F6729">
        <w:rPr>
          <w:b w:val="1"/>
          <w:bCs w:val="1"/>
          <w:noProof w:val="0"/>
          <w:lang w:val="fr-FR"/>
        </w:rPr>
        <w:t>Analyse stratégique</w:t>
      </w:r>
    </w:p>
    <w:p w:rsidR="174F6729" w:rsidP="656E879F" w:rsidRDefault="174F6729" w14:paraId="427885F1" w14:textId="7CCC38EF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656E879F" w:rsidR="174F6729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2024 représente une phase de respiration stratégique.  </w:t>
      </w:r>
    </w:p>
    <w:p w:rsidR="174F6729" w:rsidP="656E879F" w:rsidRDefault="174F6729" w14:paraId="21EBAAA8" w14:textId="2E2D378E">
      <w:pPr>
        <w:pStyle w:val="Normal"/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656E879F" w:rsidR="174F6729">
        <w:rPr>
          <w:b w:val="0"/>
          <w:bCs w:val="0"/>
          <w:noProof w:val="0"/>
          <w:sz w:val="24"/>
          <w:szCs w:val="24"/>
          <w:lang w:val="fr-FR"/>
        </w:rPr>
        <w:t>Après la montée en puissance infrastructurelle de 2023, l’objectif a été d’assurer la stabilité des actifs constitués et de préserver l’équilibre financier.</w:t>
      </w:r>
    </w:p>
    <w:p w:rsidR="174F6729" w:rsidP="656E879F" w:rsidRDefault="174F6729" w14:paraId="033CBA09" w14:textId="48BD4160">
      <w:pPr>
        <w:pStyle w:val="Normal"/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656E879F" w:rsidR="174F6729">
        <w:rPr>
          <w:b w:val="0"/>
          <w:bCs w:val="0"/>
          <w:noProof w:val="0"/>
          <w:sz w:val="24"/>
          <w:szCs w:val="24"/>
          <w:lang w:val="fr-FR"/>
        </w:rPr>
        <w:t>Cette année confirme la capacité du projet à maintenir ses structures sans dépendance externe.</w:t>
      </w:r>
    </w:p>
    <w:p w:rsidR="656E879F" w:rsidP="656E879F" w:rsidRDefault="656E879F" w14:paraId="59E08A19" w14:textId="67CFC2E8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8"/>
          <w:szCs w:val="28"/>
          <w:lang w:val="fr-FR"/>
        </w:rPr>
      </w:pPr>
    </w:p>
    <w:p w:rsidR="174F6729" w:rsidP="656E879F" w:rsidRDefault="174F6729" w14:paraId="7DAB6A7F" w14:textId="5F0283AC">
      <w:pPr>
        <w:pStyle w:val="Heading2"/>
        <w:spacing w:before="0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656E879F" w:rsidR="174F672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Répartition par catégorie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4229"/>
        <w:gridCol w:w="5326"/>
      </w:tblGrid>
      <w:tr w:rsidR="656E879F" w:rsidTr="656E879F" w14:paraId="040B33D8">
        <w:trPr>
          <w:trHeight w:val="300"/>
        </w:trPr>
        <w:tc>
          <w:tcPr>
            <w:tcW w:w="42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DFEC9AF" w14:textId="4DBF86EB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53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8FF6AEF" w14:textId="10D64B01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Total</w:t>
            </w:r>
          </w:p>
        </w:tc>
      </w:tr>
      <w:tr w:rsidR="656E879F" w:rsidTr="656E879F" w14:paraId="3F8322E6">
        <w:trPr>
          <w:trHeight w:val="300"/>
        </w:trPr>
        <w:tc>
          <w:tcPr>
            <w:tcW w:w="42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214FF59" w14:textId="6E970392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53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194B3F56" w14:textId="4C4A5450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699 476 XAF</w:t>
            </w:r>
          </w:p>
        </w:tc>
      </w:tr>
      <w:tr w:rsidR="656E879F" w:rsidTr="656E879F" w14:paraId="506CCCD2">
        <w:trPr>
          <w:trHeight w:val="300"/>
        </w:trPr>
        <w:tc>
          <w:tcPr>
            <w:tcW w:w="42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BDAB63A" w14:textId="286ECB2C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Courses</w:t>
            </w:r>
          </w:p>
        </w:tc>
        <w:tc>
          <w:tcPr>
            <w:tcW w:w="53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A38D460" w14:textId="5725C12D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552 509 XAF</w:t>
            </w:r>
          </w:p>
        </w:tc>
      </w:tr>
    </w:tbl>
    <w:p w:rsidR="656E879F" w:rsidP="656E879F" w:rsidRDefault="656E879F" w14:paraId="747C8B5A" w14:textId="34EC617E">
      <w:pPr>
        <w:pStyle w:val="Normal"/>
      </w:pPr>
    </w:p>
    <w:p w:rsidR="4EC0DB50" w:rsidP="656E879F" w:rsidRDefault="4EC0DB50" w14:paraId="4682B8B4" w14:textId="0347EF8D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656E879F" w:rsidR="4EC0DB5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Détail des opérations (ordre chronologique)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1867"/>
        <w:gridCol w:w="1733"/>
        <w:gridCol w:w="2192"/>
        <w:gridCol w:w="2348"/>
        <w:gridCol w:w="1415"/>
      </w:tblGrid>
      <w:tr w:rsidR="656E879F" w:rsidTr="656E879F" w14:paraId="56A0BB4C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3C5B91F" w14:textId="13C612A4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DDD27AF" w14:textId="22295562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4FF7ADA" w14:textId="579B9643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Montant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687F604" w14:textId="0FD9EFF0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Projet (détail)</w:t>
            </w: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6B17049" w14:textId="7F141816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Terrain</w:t>
            </w:r>
          </w:p>
        </w:tc>
      </w:tr>
      <w:tr w:rsidR="656E879F" w:rsidTr="656E879F" w14:paraId="33984846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7154CD27" w14:textId="56BA450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12/01/2024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702160AE" w14:textId="4769EE2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537FBA3" w14:textId="0DF0FB8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45 998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0A7B8D8" w14:textId="1444F0B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D8F3B3F" w14:textId="00732F6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29F416B0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7F4FDE12" w14:textId="5424682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24/02/2024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DA8EB22" w14:textId="34E2EB4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CF6FBB5" w14:textId="385B507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45 998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6F64277" w14:textId="762918F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D574CD8" w14:textId="1883305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1F74EFC4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51258643" w14:textId="32814BB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25/03/2024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14E86D4" w14:textId="640DA5E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18833BE7" w14:textId="16AEDB5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45 998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6A88836" w14:textId="615439CA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1E40A79B" w14:textId="4A5110F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4A2ED5C9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7B692B3" w14:textId="3E37BFC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15/04/2024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4C31DC8" w14:textId="5599D25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F5BFAF8" w14:textId="6EFF7C9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85 004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AAEF580" w14:textId="4D312BC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DD14695" w14:textId="3FE3465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159BF341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B09622B" w14:textId="4DEC01E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11/05/2024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C35C800" w14:textId="67FA54C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5907365F" w14:textId="69B972E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81 344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B870079" w14:textId="684D584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7CD2F91F" w14:textId="4E9267F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73CD883F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3315E20" w14:textId="2608C9B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25/05/2024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77C533F7" w14:textId="3975F11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Courses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ADCBC00" w14:textId="3472EB7A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500 029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6FF9ECA" w14:textId="0F462B7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90E3A5C" w14:textId="1BD653A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22B74D5F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9F583E4" w14:textId="730FC24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03/06/2024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F27D37F" w14:textId="7DAB3CD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Courses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5C3D9446" w14:textId="35EFF53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52 480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A2CCC48" w14:textId="17F39A0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4892A32" w14:textId="32EDB50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2E966B88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1AADC8C8" w14:textId="4105F79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10/07/2024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1071F7C" w14:textId="7A143E1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C95DAF5" w14:textId="4CC8A235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95 001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07A39BC" w14:textId="1687B5F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CEBE7AA" w14:textId="7F453B2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0363997A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D959B1F" w14:textId="6B33230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29/07/2024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A742D54" w14:textId="07A7FA5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66026C7C" w14:textId="1DAD747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72 160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23AF68A4" w14:textId="7EB3523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1F4A3321" w14:textId="3B22F16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31EEFB9D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D1FB1B7" w14:textId="588B642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25/10/2024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21CFEE4" w14:textId="632FA51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C57A7B9" w14:textId="017174D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91 840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0F06788" w14:textId="28F6CDBD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5BED3255" w14:textId="1E23448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656E879F" w:rsidTr="656E879F" w14:paraId="63F7A645">
        <w:trPr>
          <w:trHeight w:val="300"/>
        </w:trPr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27C38E6" w14:textId="1EB6120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24/12/2024</w:t>
            </w:r>
          </w:p>
        </w:tc>
        <w:tc>
          <w:tcPr>
            <w:tcW w:w="173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45A0759A" w14:textId="6F59C61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Loyer</w:t>
            </w:r>
          </w:p>
        </w:tc>
        <w:tc>
          <w:tcPr>
            <w:tcW w:w="219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0FE25BB1" w14:textId="288848FF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656E879F" w:rsidR="656E879F">
              <w:rPr>
                <w:b w:val="0"/>
                <w:bCs w:val="0"/>
                <w:sz w:val="20"/>
                <w:szCs w:val="20"/>
              </w:rPr>
              <w:t>136 133 XAF</w:t>
            </w:r>
          </w:p>
        </w:tc>
        <w:tc>
          <w:tcPr>
            <w:tcW w:w="23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34FA2B86" w14:textId="164010A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6E879F" w:rsidP="656E879F" w:rsidRDefault="656E879F" w14:paraId="1496E44F" w14:textId="7C5A403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656E879F" w:rsidP="656E879F" w:rsidRDefault="656E879F" w14:paraId="6DEA0C3E" w14:textId="3DC12F7B">
      <w:pPr>
        <w:pStyle w:val="Normal"/>
      </w:pPr>
    </w:p>
    <w:p w:rsidR="656E879F" w:rsidP="656E879F" w:rsidRDefault="656E879F" w14:paraId="27BEB76A" w14:textId="2004A4B4">
      <w:pPr>
        <w:pStyle w:val="Normal"/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3046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1c9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3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91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754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459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4c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b6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fc0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4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6a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650A0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4DCF3"/>
    <w:rsid w:val="00E620B0"/>
    <w:rsid w:val="00E74F7F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132759D"/>
    <w:rsid w:val="0187C650"/>
    <w:rsid w:val="02BC6DC9"/>
    <w:rsid w:val="02F81800"/>
    <w:rsid w:val="057DB36D"/>
    <w:rsid w:val="05C88CAE"/>
    <w:rsid w:val="0680EABD"/>
    <w:rsid w:val="07A5FB9D"/>
    <w:rsid w:val="08050668"/>
    <w:rsid w:val="0A5065CB"/>
    <w:rsid w:val="0A860065"/>
    <w:rsid w:val="0BB6207C"/>
    <w:rsid w:val="0CF69D98"/>
    <w:rsid w:val="0D4C3A16"/>
    <w:rsid w:val="0DD09077"/>
    <w:rsid w:val="0DDA031C"/>
    <w:rsid w:val="0E5A95F9"/>
    <w:rsid w:val="125330E1"/>
    <w:rsid w:val="132D6FDB"/>
    <w:rsid w:val="136B5A80"/>
    <w:rsid w:val="13844478"/>
    <w:rsid w:val="151E8B1D"/>
    <w:rsid w:val="15432F71"/>
    <w:rsid w:val="16B6821B"/>
    <w:rsid w:val="174F6729"/>
    <w:rsid w:val="1783AEFF"/>
    <w:rsid w:val="17AD3021"/>
    <w:rsid w:val="17C84B89"/>
    <w:rsid w:val="18B86F6E"/>
    <w:rsid w:val="1A232DA5"/>
    <w:rsid w:val="1B18AE8F"/>
    <w:rsid w:val="1B18AE8F"/>
    <w:rsid w:val="1C0C96C3"/>
    <w:rsid w:val="1EECEB94"/>
    <w:rsid w:val="21908395"/>
    <w:rsid w:val="2291CEAA"/>
    <w:rsid w:val="233104AF"/>
    <w:rsid w:val="23656548"/>
    <w:rsid w:val="2523C8CA"/>
    <w:rsid w:val="26F4FC07"/>
    <w:rsid w:val="28E9E843"/>
    <w:rsid w:val="2A527A8D"/>
    <w:rsid w:val="2AB2A413"/>
    <w:rsid w:val="2C110405"/>
    <w:rsid w:val="2FAD1D99"/>
    <w:rsid w:val="2FAD3B44"/>
    <w:rsid w:val="2FF2A2ED"/>
    <w:rsid w:val="3034288E"/>
    <w:rsid w:val="305238DE"/>
    <w:rsid w:val="30BB9D46"/>
    <w:rsid w:val="30E385BF"/>
    <w:rsid w:val="31BE28E6"/>
    <w:rsid w:val="32E5203D"/>
    <w:rsid w:val="34478689"/>
    <w:rsid w:val="3475702A"/>
    <w:rsid w:val="34F8197F"/>
    <w:rsid w:val="35B94CC5"/>
    <w:rsid w:val="35CDC383"/>
    <w:rsid w:val="36F55A0E"/>
    <w:rsid w:val="37F83B53"/>
    <w:rsid w:val="3890B2EA"/>
    <w:rsid w:val="393D5314"/>
    <w:rsid w:val="3B0D2921"/>
    <w:rsid w:val="3E9A9399"/>
    <w:rsid w:val="3EB7AB3E"/>
    <w:rsid w:val="407C01F3"/>
    <w:rsid w:val="42A42125"/>
    <w:rsid w:val="4336AB20"/>
    <w:rsid w:val="4477A9CF"/>
    <w:rsid w:val="46C2EDA0"/>
    <w:rsid w:val="47736A17"/>
    <w:rsid w:val="47CE9215"/>
    <w:rsid w:val="482541A9"/>
    <w:rsid w:val="4890C7D9"/>
    <w:rsid w:val="4BACBA7A"/>
    <w:rsid w:val="4BD25476"/>
    <w:rsid w:val="4D7CDD7B"/>
    <w:rsid w:val="4DAE3361"/>
    <w:rsid w:val="4DB72BEF"/>
    <w:rsid w:val="4E0DA5B2"/>
    <w:rsid w:val="4EA8B6A8"/>
    <w:rsid w:val="4EC0DB50"/>
    <w:rsid w:val="4EE218A4"/>
    <w:rsid w:val="4FBC5546"/>
    <w:rsid w:val="4FC457D1"/>
    <w:rsid w:val="4FDD33E2"/>
    <w:rsid w:val="4FEDE194"/>
    <w:rsid w:val="50984DF2"/>
    <w:rsid w:val="51400C8F"/>
    <w:rsid w:val="51406870"/>
    <w:rsid w:val="52A8CC4E"/>
    <w:rsid w:val="52F9E3DB"/>
    <w:rsid w:val="53C108BE"/>
    <w:rsid w:val="5464F1BD"/>
    <w:rsid w:val="55950C95"/>
    <w:rsid w:val="58151F25"/>
    <w:rsid w:val="59E53B7B"/>
    <w:rsid w:val="5A187738"/>
    <w:rsid w:val="5AFADC2A"/>
    <w:rsid w:val="5C1432B3"/>
    <w:rsid w:val="5E52140B"/>
    <w:rsid w:val="5E891C2A"/>
    <w:rsid w:val="5EC8AFFA"/>
    <w:rsid w:val="5F79986D"/>
    <w:rsid w:val="5F963909"/>
    <w:rsid w:val="600E6A3E"/>
    <w:rsid w:val="60BEE658"/>
    <w:rsid w:val="61D74F68"/>
    <w:rsid w:val="629B9648"/>
    <w:rsid w:val="62EA11F4"/>
    <w:rsid w:val="63DB33FB"/>
    <w:rsid w:val="654AE31F"/>
    <w:rsid w:val="656E879F"/>
    <w:rsid w:val="65B81188"/>
    <w:rsid w:val="669C0F0A"/>
    <w:rsid w:val="68A0F930"/>
    <w:rsid w:val="6A2C5231"/>
    <w:rsid w:val="6A9B066F"/>
    <w:rsid w:val="6ADCFE28"/>
    <w:rsid w:val="6ADEBBB4"/>
    <w:rsid w:val="6D255764"/>
    <w:rsid w:val="6E72C345"/>
    <w:rsid w:val="71CF4D47"/>
    <w:rsid w:val="723DBA32"/>
    <w:rsid w:val="737E115A"/>
    <w:rsid w:val="75EB77FD"/>
    <w:rsid w:val="763D909A"/>
    <w:rsid w:val="7757FAB3"/>
    <w:rsid w:val="781DE70F"/>
    <w:rsid w:val="788E0E3E"/>
    <w:rsid w:val="78F3AD68"/>
    <w:rsid w:val="7B65E90A"/>
    <w:rsid w:val="7D4F8D50"/>
    <w:rsid w:val="7DEDC038"/>
    <w:rsid w:val="7F34C33E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2026-02-25T12:56:04.5360944Z</dcterms:modified>
  <version/>
  <dc:creator>Jean Luc BIAH</dc:creator>
</coreProperties>
</file>