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FLOTILLA-LEVEL FIELD SOP • COMMUNICATIONS</w:t>
      </w:r>
    </w:p>
    <w:p>
      <w:pPr>
        <w:pStyle w:val="Normal"/>
        <w:bidi w:val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VHF/HF Radio Facility Inspection</w:t>
      </w:r>
    </w:p>
    <w:p>
      <w:pPr>
        <w:pStyle w:val="Normal"/>
        <w:bidi w:val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/>
      </w:pPr>
      <w:r>
        <w:rPr/>
        <w:t>A combined documentation, technical, and net-readiness checklist for examining a member's VHF and/or HF radio station offered as a U.S. Coast Guard Auxiliary operational facility.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Field aid, not the official record. This checklist is a working tool for flotilla examiners. It does not replace the current Auxiliary Manual (COMDTINST M16790.1), your District's Facility program SOPs, or the official Facility Examination form — confirm current 7004 form, required signatures, and standards with your FSO-CM / SO-CM / DSO-CM or DIRAUX before filing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results.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Owner/Operator, Member Number</w:t>
            </w:r>
          </w:p>
        </w:tc>
        <w:tc>
          <w:tcPr>
            <w:tcW w:w="3324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Call Signs (VHF/HF)</w:t>
            </w:r>
          </w:p>
        </w:tc>
        <w:tc>
          <w:tcPr>
            <w:tcW w:w="3324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TeleCommunications Operator (TCO) Qualification Date</w:t>
            </w:r>
          </w:p>
        </w:tc>
      </w:tr>
      <w:tr>
        <w:trPr>
          <w:trHeight w:val="523" w:hRule="atLeast"/>
        </w:trPr>
        <w:tc>
          <w:tcPr>
            <w:tcW w:w="332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32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32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188" w:hRule="atLeast"/>
        </w:trPr>
        <w:tc>
          <w:tcPr>
            <w:tcW w:w="3324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Facility Type</w:t>
            </w:r>
          </w:p>
        </w:tc>
        <w:tc>
          <w:tcPr>
            <w:tcW w:w="3324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Frequency Ranges</w:t>
            </w:r>
          </w:p>
        </w:tc>
        <w:tc>
          <w:tcPr>
            <w:tcW w:w="3324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Flotilla/Division</w:t>
            </w:r>
          </w:p>
        </w:tc>
      </w:tr>
      <w:tr>
        <w:trPr>
          <w:trHeight w:val="537" w:hRule="atLeast"/>
        </w:trPr>
        <w:tc>
          <w:tcPr>
            <w:tcW w:w="332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32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32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Examiner’s Name, Member Number</w:t>
            </w:r>
          </w:p>
        </w:tc>
        <w:tc>
          <w:tcPr>
            <w:tcW w:w="3324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Prior Inspection Date</w:t>
            </w:r>
          </w:p>
        </w:tc>
        <w:tc>
          <w:tcPr>
            <w:tcW w:w="3324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Inspection Date</w:t>
            </w:r>
          </w:p>
        </w:tc>
      </w:tr>
      <w:tr>
        <w:trPr>
          <w:trHeight w:val="623" w:hRule="atLeast"/>
        </w:trPr>
        <w:tc>
          <w:tcPr>
            <w:tcW w:w="332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32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32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A. Documentation &amp; Administrative Review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tbl>
      <w:tblPr>
        <w:tblW w:w="1017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5"/>
        <w:gridCol w:w="9450"/>
      </w:tblGrid>
      <w:tr>
        <w:trPr/>
        <w:tc>
          <w:tcPr>
            <w:tcW w:w="72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Operator's Auxiliary membership and required Communications specialty training are current</w:t>
            </w:r>
          </w:p>
        </w:tc>
      </w:tr>
      <w:tr>
        <w:trPr/>
        <w:tc>
          <w:tcPr>
            <w:tcW w:w="72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Facility offer / agreement for use is on file and matches equipment being inspected</w:t>
            </w:r>
          </w:p>
        </w:tc>
      </w:tr>
      <w:tr>
        <w:trPr/>
        <w:tc>
          <w:tcPr>
            <w:tcW w:w="72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Equipment list (make, model, serial) matches what is physically installed</w:t>
            </w:r>
          </w:p>
        </w:tc>
      </w:tr>
      <w:tr>
        <w:trPr/>
        <w:tc>
          <w:tcPr>
            <w:tcW w:w="72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Operator holds a current TCO certification</w:t>
            </w:r>
          </w:p>
        </w:tc>
      </w:tr>
      <w:tr>
        <w:trPr/>
        <w:tc>
          <w:tcPr>
            <w:tcW w:w="72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Prior year's inspection report on file, deficiencies (if any) corrected</w:t>
            </w:r>
          </w:p>
        </w:tc>
      </w:tr>
      <w:tr>
        <w:trPr/>
        <w:tc>
          <w:tcPr>
            <w:tcW w:w="72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Address of Radio Facility and Latitude/Longitude agree of Form 7004</w:t>
            </w:r>
          </w:p>
        </w:tc>
      </w:tr>
      <w:tr>
        <w:trPr/>
        <w:tc>
          <w:tcPr>
            <w:tcW w:w="72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4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Ensure that the Form 7004 and AUXDATA II agree</w:t>
            </w:r>
          </w:p>
        </w:tc>
      </w:tr>
    </w:tbl>
    <w:p>
      <w:pPr>
        <w:pStyle w:val="Normal"/>
        <w:bidi w:val="0"/>
        <w:jc w:val="left"/>
        <w:rPr/>
      </w:pP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B. VHF Equipment &amp; Installation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2"/>
        <w:gridCol w:w="9250"/>
      </w:tblGrid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Transceiver powers up cleanly; make/model/serial recorded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Transmit power within spec on high and low settings ( ~25 W high /1 W low, fixed or mobile marine VHF)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Ch. 16 and required working/weather channels programmed and receive clearly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Antenna, coax, and connectors in good condition; connections weatherproofed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SWR measured at feedpoint and within spec &lt; 2:1 acceptable, &lt; 1.5:1_preferred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Antenna mount secure; coax routed with drip loop, no chafe points</w:t>
            </w:r>
          </w:p>
        </w:tc>
      </w:tr>
    </w:tbl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C.  HF Equipment &amp; Installation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2"/>
        <w:gridCol w:w="9250"/>
      </w:tblGrid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Transceiver powers up cleanly; make/model/serial recorded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Frequency coverage includes assigned Auxiliary/CG and/or net working frequencies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Transmit power matches the equipment rating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Antenna tuner present and achieves match across bands in use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SWR acceptable on each band used for net operations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Antenna type/height suits mission — NVIS for regional net coverage vs. higher/ directional for long-haul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Ground / counterpoise system adequate for antenna type</w:t>
            </w:r>
          </w:p>
        </w:tc>
      </w:tr>
    </w:tbl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D.  Power Systems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2"/>
        <w:gridCol w:w="9250"/>
      </w:tblGrid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Primary power connection secure and properly fused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Backup power source present and sized to run the station through an outage</w:t>
            </w:r>
          </w:p>
          <w:p>
            <w:pPr>
              <w:pStyle w:val="Normal"/>
              <w:bidi w:val="0"/>
              <w:jc w:val="left"/>
              <w:rPr/>
            </w:pPr>
            <w:r>
              <w:rPr/>
              <w:t>Battery / generator / solar - confirm runtime against unit's expected net duration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Battery voltage checked under transmit load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Operator can demonstrate switch-over to backup power without assistance</w:t>
            </w:r>
          </w:p>
        </w:tc>
      </w:tr>
    </w:tbl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E. Grounding, Lightning &amp; Safety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2"/>
        <w:gridCol w:w="9250"/>
      </w:tblGrid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Station ground rod / bond to structural ground present and intact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Coax surge suppressor and a means to disconnect/ground antenna feedlines when not in use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Antenna placement keeps personnel clear of the RF exposure zone at rated power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Cabling secured, no trip hazards; outdoor connections weatherproofed</w:t>
            </w:r>
          </w:p>
        </w:tc>
      </w:tr>
    </w:tbl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F.  Operational &amp; Net Readiness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2"/>
        <w:gridCol w:w="9250"/>
      </w:tblGrid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Voice check completed with NCS or another qualified station on the VHF working channel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Voice check completed with NCS or another qualified station on the HF working frequency. Note propagation/time-of-day if signal was marginal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Signal report obtained and logged</w:t>
            </w:r>
          </w:p>
          <w:p>
            <w:pPr>
              <w:pStyle w:val="Normal"/>
              <w:bidi w:val="0"/>
              <w:jc w:val="left"/>
              <w:rPr/>
            </w:pPr>
            <w:r>
              <w:rPr/>
              <w:t>e.g. readability/strength "5x5" or RST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Alternate/backup frequency known and tested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Operator demonstrates net log procedure (paper or digital) and can record a check-in correctly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Operator can describe emergency/priority traffic handling procedure</w:t>
            </w:r>
          </w:p>
        </w:tc>
      </w:tr>
    </w:tbl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G.  Examiner Findings &amp; Certification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48"/>
        <w:gridCol w:w="5024"/>
      </w:tblGrid>
      <w:tr>
        <w:trPr/>
        <w:tc>
          <w:tcPr>
            <w:tcW w:w="4948" w:type="dxa"/>
            <w:tcBorders/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PASS / CONDITIONAL / FAIL</w:t>
            </w:r>
          </w:p>
        </w:tc>
        <w:tc>
          <w:tcPr>
            <w:tcW w:w="5024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Describe any items marked unsatisfactory and the date by which they must be corrected.</w:t>
            </w:r>
          </w:p>
        </w:tc>
      </w:tr>
      <w:tr>
        <w:trPr>
          <w:trHeight w:val="973" w:hRule="atLeast"/>
        </w:trPr>
        <w:tc>
          <w:tcPr>
            <w:tcW w:w="4948" w:type="dxa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Examiner’s Signature</w:t>
            </w:r>
          </w:p>
        </w:tc>
        <w:tc>
          <w:tcPr>
            <w:tcW w:w="5024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1075" w:hRule="atLeast"/>
        </w:trPr>
        <w:tc>
          <w:tcPr>
            <w:tcW w:w="4948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</w:r>
          </w:p>
        </w:tc>
        <w:tc>
          <w:tcPr>
            <w:tcW w:w="5024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Date</w:t>
            </w:r>
          </w:p>
        </w:tc>
      </w:tr>
      <w:tr>
        <w:trPr>
          <w:trHeight w:val="1000" w:hRule="atLeast"/>
        </w:trPr>
        <w:tc>
          <w:tcPr>
            <w:tcW w:w="4948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Owner/Operator’s Signature</w:t>
            </w:r>
          </w:p>
        </w:tc>
        <w:tc>
          <w:tcPr>
            <w:tcW w:w="5024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Next Inspection Due Date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Suggested cadence: re-examine at least every three years, and after any change of equipment, antenna, or installation location. Retain a copy with the flotilla's facility records and forward per your District's process.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bidi w:val="0"/>
        <w:spacing w:before="0" w:after="0"/>
        <w:jc w:val="left"/>
        <w:rPr>
          <w:b/>
          <w:bCs/>
        </w:rPr>
      </w:pPr>
      <w:r>
        <w:rPr>
          <w:b/>
          <w:bCs/>
        </w:rPr>
        <w:t>Appendix A - Grounding &amp; Bonding Verification Procedure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Supports Section E. Use this procedure to actually verify each grounding item rather than eyeballing it- a station can look grounded and still have a broken bond, a corroded lug, or a lost RF ground that only shows up as a ruined SWR match or a shock hazard. Work through A.1-A.7 in order; each depends on the one before it.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i/>
          <w:iCs/>
        </w:rPr>
      </w:pPr>
      <w:r>
        <w:rPr>
          <w:i/>
          <w:iCs/>
        </w:rPr>
        <w:t xml:space="preserve">Tools needed: </w:t>
      </w:r>
      <w:r>
        <w:rPr>
          <w:i/>
          <w:iCs/>
        </w:rPr>
        <w:t xml:space="preserve">SWR meter with cables, </w:t>
      </w:r>
      <w:r>
        <w:rPr>
          <w:i/>
          <w:iCs/>
        </w:rPr>
        <w:t>digital multimeter (ohms/continuity); ground resistance tester (clamp-on or fall-of-potential), if available; wire brush or fine sandpaper; nut driver/wrench set; insulated gloves.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A.1-Single-Point Ground System (concept)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2"/>
        <w:gridCol w:w="9250"/>
      </w:tblGrid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1.</w:t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Confirm the station has one common ground reference-a bus bar or heavy copper strap that every piece of equipment bonds to-rather than each item running to its own separate rod or cold-water pipe. Separate grounds at different earth potentials is what turns a lightning strike into a ground loop that arcs across the room.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2.</w:t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Trace where AC safety ground (green wire), RF/station ground, and lightning ground meet. Per NEC practice they should bond together at one point near where service/antenna grounds enter the structure.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A.2-</w:t>
      </w:r>
      <w:r>
        <w:rPr>
          <w:b/>
          <w:bCs/>
        </w:rPr>
        <w:t>A</w:t>
      </w:r>
      <w:r>
        <w:rPr>
          <w:b/>
          <w:bCs/>
        </w:rPr>
        <w:t>ntenna System Grounding (mast/tower and feedline)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2"/>
        <w:gridCol w:w="9250"/>
      </w:tblGrid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1.</w:t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Visually inspect the ground rod(s) at the antenna base for corrosion, a loose clamp, or exposed/nicked bonding wire.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2.</w:t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Confirm the rod is bonded to the station ground with a short, direct run of at least #10 AWG copper wire or 3/4 inch copper strap-flat strap is preferred over round wire because it carries RF and transient surge current with less inductance.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3.</w:t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Continuity test: meter between the antenna mount/mast and the ground rod clamp. Expect well under 1 ohm. A high or unstable reading means a corroded or loose bond-clean the contact point and retest.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4.</w:t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If a ground resistance tester is available, measure the rod-to-earth resistance. Target 25 ohms or less (NEC minimum for a single rod), ideally 10 ohms or less for lightning protection. If it's high, bond in an additional rod at least 6 ft away.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5.</w:t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Confirm a coax lightning arrestor/surge suppressor is inline on the feedline and its ground lug bonds to the same ground point-not a separate one.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6.</w:t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Confirm there is a way to disconnect and ground the feedline when the station is not in use, particularly for portable/mobile setups during storm season.</w:t>
            </w:r>
          </w:p>
        </w:tc>
      </w:tr>
    </w:tbl>
    <w:p>
      <w:pPr>
        <w:pStyle w:val="Normal"/>
        <w:bidi w:val="0"/>
        <w:jc w:val="left"/>
        <w:rPr>
          <w:i/>
          <w:iCs/>
        </w:rPr>
      </w:pPr>
      <w:r>
        <w:rPr>
          <w:i/>
          <w:iCs/>
        </w:rPr>
        <w:t>Note: Common finding: an arrestor installed but its ground lead run to a nearby fence post or downspout instead of the station ground-this defeats the single-point ground and should be corrected on the spot.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A.3-Transceiver Chassis Ground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2"/>
        <w:gridCol w:w="9250"/>
      </w:tblGrid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1.</w:t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Locate the chassis ground lug on the rear panel (separate from the DC power or coax connections).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2.</w:t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Confirm a dedicated ground strap runs from that lug directly to the station ground bus-the AC power cord's safety ground is not a substitute for this bond.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3.</w:t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Keep the strap as short as physically possible, and well under a quarter-wavelength of the lowest operating frequency, so it can't become a resonant radiator and re-introduce RF into the shack. Flat braid is preferred over round wire for the same low-inductance reason as A.2.</w:t>
            </w:r>
          </w:p>
        </w:tc>
      </w:tr>
      <w:tr>
        <w:trPr>
          <w:trHeight w:val="231" w:hRule="atLeast"/>
        </w:trPr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4.</w:t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Check the mounting point is bare metal-no paint or anodizing under the lug-and the hardware (including a star washer) is tight.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5.</w:t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Continuity test chassis-to-ground-bus: expect well under 1 ohm.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A.4 Antenna Tuner Ground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2"/>
        <w:gridCol w:w="9250"/>
      </w:tblGrid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1.</w:t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Locate the tuner's dedicated ground terminal-separate from the coax shield connection.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2.</w:t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Confirm it bonds directly to the station ground bus with a short, heavy strap. Many external tuners rely on this connection as part of the RF counterpoise, especially when matching a random-wire or end-fed antenna-it is not just a safety ground.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3.</w:t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If the operator reports the tuner can no longer find a match on a band it used to tune cleanly, check this bond first before suspecting the antenna itself-a lost or corroded tuner ground is the most common cause.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4.</w:t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For end-fed or random-wire antennas, confirm the counterpoise wire(s) specified by the tuner's manual are present, undamaged, and connected-the tuner ground alone is rarely sufficient without them.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A.5-Associated Equipment (power supplies, amplifiers, switches, interfaces)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2"/>
        <w:gridCol w:w="9250"/>
      </w:tblGrid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1.</w:t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Bond the metal chassis of every associated item-power supply, amplifier, coax switch, digital-mode/logging interface-to the same ground bus used in A.3. Never give one item its own independent ground rod; two ground points at different potentials is how ground loops and hum/RFI get introduced.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2.</w:t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For a coax switch, verify the body is grounded and check continuity through each position, not just the one currently in use.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3.</w:t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For a computer interface used for digital modes or NetLog-style logging, note whether it is opto-isolated. A non-isolated interface is a common source of RF feedback and ground-loop hum and may need an isolation transformer or ferrite choking added.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A.6 Safety Precautions While Testing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2"/>
        <w:gridCol w:w="9250"/>
      </w:tblGrid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1.</w:t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Never test or work on the grounding system during a thunderstorm or when lightning is possible in the area.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2.</w:t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De-energize the station before disconnecting or disturbing any bonding strap.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3.</w:t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Use insulated gloves and insulated-handle tools when probing near an energized station.</w:t>
            </w:r>
          </w:p>
        </w:tc>
      </w:tr>
      <w:tr>
        <w:trPr/>
        <w:tc>
          <w:tcPr>
            <w:tcW w:w="72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4.</w:t>
            </w:r>
          </w:p>
        </w:tc>
        <w:tc>
          <w:tcPr>
            <w:tcW w:w="925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After any known lightning event near the station, re-inspect and re-test the entire ground system in full before returning the station to service.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A.7-Verification Log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991"/>
        <w:gridCol w:w="1795"/>
        <w:gridCol w:w="1596"/>
        <w:gridCol w:w="3590"/>
      </w:tblGrid>
      <w:tr>
        <w:trPr/>
        <w:tc>
          <w:tcPr>
            <w:tcW w:w="2991" w:type="dxa"/>
            <w:tcBorders/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Point Tested</w:t>
            </w:r>
          </w:p>
        </w:tc>
        <w:tc>
          <w:tcPr>
            <w:tcW w:w="1795" w:type="dxa"/>
            <w:tcBorders/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Reading</w:t>
            </w:r>
          </w:p>
        </w:tc>
        <w:tc>
          <w:tcPr>
            <w:tcW w:w="1596" w:type="dxa"/>
            <w:tcBorders/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  <w:tc>
          <w:tcPr>
            <w:tcW w:w="3590" w:type="dxa"/>
            <w:tcBorders/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>
        <w:trPr/>
        <w:tc>
          <w:tcPr>
            <w:tcW w:w="2991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Antenna mast -&gt; ground rod</w:t>
            </w:r>
          </w:p>
        </w:tc>
        <w:tc>
          <w:tcPr>
            <w:tcW w:w="1795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</w:r>
          </w:p>
        </w:tc>
        <w:tc>
          <w:tcPr>
            <w:tcW w:w="1596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</w:r>
          </w:p>
        </w:tc>
        <w:tc>
          <w:tcPr>
            <w:tcW w:w="3590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991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Ground rod -&gt; earth</w:t>
            </w:r>
          </w:p>
        </w:tc>
        <w:tc>
          <w:tcPr>
            <w:tcW w:w="1795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</w:r>
          </w:p>
        </w:tc>
        <w:tc>
          <w:tcPr>
            <w:tcW w:w="1596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</w:r>
          </w:p>
        </w:tc>
        <w:tc>
          <w:tcPr>
            <w:tcW w:w="3590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991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Transceiver chassis -&gt; bus</w:t>
            </w:r>
          </w:p>
        </w:tc>
        <w:tc>
          <w:tcPr>
            <w:tcW w:w="1795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</w:r>
          </w:p>
        </w:tc>
        <w:tc>
          <w:tcPr>
            <w:tcW w:w="1596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</w:r>
          </w:p>
        </w:tc>
        <w:tc>
          <w:tcPr>
            <w:tcW w:w="3590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991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Tuner ground -&gt; bus</w:t>
            </w:r>
          </w:p>
        </w:tc>
        <w:tc>
          <w:tcPr>
            <w:tcW w:w="1795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</w:r>
          </w:p>
        </w:tc>
        <w:tc>
          <w:tcPr>
            <w:tcW w:w="1596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</w:r>
          </w:p>
        </w:tc>
        <w:tc>
          <w:tcPr>
            <w:tcW w:w="3590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991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Other equipment -&gt; bus</w:t>
            </w:r>
          </w:p>
        </w:tc>
        <w:tc>
          <w:tcPr>
            <w:tcW w:w="1795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</w:r>
          </w:p>
        </w:tc>
        <w:tc>
          <w:tcPr>
            <w:tcW w:w="1596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</w:r>
          </w:p>
        </w:tc>
        <w:tc>
          <w:tcPr>
            <w:tcW w:w="3590" w:type="dxa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adjustLineHeightInTable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</TotalTime>
  <Application>LibreOffice/26.2.1.2$Windows_X86_64 LibreOffice_project/620$Build-2</Application>
  <AppVersion>15.0000</AppVersion>
  <Pages>5</Pages>
  <Words>1457</Words>
  <Characters>8058</Characters>
  <CharactersWithSpaces>9390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2026-09-10T13:32:01Z</dcterms:created>
  <dc:creator/>
  <dc:description/>
  <dc:language>en-US</dc:language>
  <cp:lastModifiedBy/>
  <dcterms:modified xsi:type="dcterms:W3CDTF">2026-09-13T17:26:34Z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