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ascii="Arial" w:hAnsi="Arial"/>
          <w:b/>
          <w:color w:val="003366"/>
          <w:sz w:val="36"/>
        </w:rPr>
        <w:t>UNITED STATES COAST GUARD AUXILIARY</w:t>
      </w:r>
    </w:p>
    <w:p>
      <w:pPr>
        <w:pStyle w:val="Normal"/>
        <w:spacing w:before="0" w:after="80"/>
        <w:jc w:val="center"/>
        <w:rPr/>
      </w:pPr>
      <w:r>
        <w:rPr>
          <w:rFonts w:ascii="Arial" w:hAnsi="Arial"/>
          <w:b/>
          <w:color w:val="003366"/>
          <w:sz w:val="32"/>
        </w:rPr>
        <w:t>DISTRICT SOUTHEAST</w:t>
      </w:r>
    </w:p>
    <w:p>
      <w:pPr>
        <w:pStyle w:val="Normal"/>
        <w:spacing w:before="0" w:after="320"/>
        <w:jc w:val="center"/>
        <w:rPr/>
      </w:pPr>
      <w:r>
        <w:rPr>
          <w:rFonts w:ascii="Arial" w:hAnsi="Arial"/>
          <w:b w:val="false"/>
          <w:color w:val="C49A00"/>
          <w:sz w:val="20"/>
        </w:rPr>
        <w:t>━━━━━━━━━━━━━━━━━━━━━━━━━━━━━━━━━━━━━━━━━━━━━━━━━━━━━━━</w:t>
      </w:r>
    </w:p>
    <w:p>
      <w:pPr>
        <w:pStyle w:val="Normal"/>
        <w:spacing w:before="0" w:after="120"/>
        <w:jc w:val="center"/>
        <w:rPr/>
      </w:pPr>
      <w:r>
        <w:rPr>
          <w:rFonts w:ascii="Arial" w:hAnsi="Arial"/>
          <w:b/>
          <w:color w:val="003366"/>
          <w:sz w:val="44"/>
        </w:rPr>
        <w:t>HURRICANE EMERGENCY COMMUNICATIONS PLAN</w:t>
      </w:r>
    </w:p>
    <w:p>
      <w:pPr>
        <w:pStyle w:val="Normal"/>
        <w:spacing w:before="0" w:after="400"/>
        <w:jc w:val="center"/>
        <w:rPr/>
      </w:pPr>
      <w:r>
        <w:rPr>
          <w:rFonts w:ascii="Arial" w:hAnsi="Arial"/>
          <w:b w:val="false"/>
          <w:color w:val="555555"/>
          <w:sz w:val="22"/>
        </w:rPr>
        <w:t>ICS 201  /  ICS 205  /  ICS 205A  Compliant</w:t>
      </w:r>
    </w:p>
    <w:tbl>
      <w:tblPr>
        <w:tblW w:w="8640"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4320"/>
        <w:gridCol w:w="4320"/>
      </w:tblGrid>
      <w:tr>
        <w:trPr/>
        <w:tc>
          <w:tcPr>
            <w:tcW w:w="43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Field</w:t>
            </w:r>
          </w:p>
        </w:tc>
        <w:tc>
          <w:tcPr>
            <w:tcW w:w="43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Value</w:t>
            </w:r>
          </w:p>
        </w:tc>
      </w:tr>
      <w:tr>
        <w:trPr/>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Document Status</w:t>
            </w:r>
          </w:p>
        </w:tc>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ACTIVE – Hurricane Season (June 1 – November 30)</w:t>
            </w:r>
          </w:p>
        </w:tc>
      </w:tr>
      <w:tr>
        <w:trPr/>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Prepared By</w:t>
            </w:r>
          </w:p>
        </w:tc>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D-SE District Staff Officer – Communications (DSO-CM)</w:t>
            </w:r>
          </w:p>
        </w:tc>
      </w:tr>
      <w:tr>
        <w:trPr/>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Approved By</w:t>
            </w:r>
          </w:p>
        </w:tc>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D-SE District Commander  ___________________________</w:t>
            </w:r>
          </w:p>
        </w:tc>
      </w:tr>
      <w:tr>
        <w:trPr/>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Effective Dates</w:t>
            </w:r>
          </w:p>
        </w:tc>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Annual – Current Hurricane Season</w:t>
            </w:r>
          </w:p>
        </w:tc>
      </w:tr>
      <w:tr>
        <w:trPr/>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Revision</w:t>
            </w:r>
          </w:p>
        </w:tc>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1.0</w:t>
            </w:r>
          </w:p>
        </w:tc>
      </w:tr>
      <w:tr>
        <w:trPr/>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Classification</w:t>
            </w:r>
          </w:p>
        </w:tc>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UNCLASSIFIED // FOR OFFICIAL USE</w:t>
            </w:r>
          </w:p>
        </w:tc>
      </w:tr>
    </w:tbl>
    <w:p>
      <w:pPr>
        <w:pStyle w:val="Normal"/>
        <w:spacing w:before="0" w:after="240"/>
        <w:rPr/>
      </w:pPr>
      <w:r>
        <w:rPr/>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1 – Purpose and Scope</w:t>
      </w:r>
    </w:p>
    <w:p>
      <w:pPr>
        <w:pStyle w:val="Heading2"/>
        <w:spacing w:before="200" w:after="100"/>
        <w:rPr/>
      </w:pPr>
      <w:r>
        <w:rPr>
          <w:rFonts w:ascii="Arial" w:hAnsi="Arial"/>
          <w:b/>
          <w:color w:val="003366"/>
          <w:sz w:val="26"/>
        </w:rPr>
        <w:t>1.1  Purpose</w:t>
      </w:r>
    </w:p>
    <w:p>
      <w:pPr>
        <w:pStyle w:val="Normal"/>
        <w:spacing w:before="60" w:after="60"/>
        <w:rPr/>
      </w:pPr>
      <w:r>
        <w:rPr>
          <w:rFonts w:ascii="Arial" w:hAnsi="Arial"/>
          <w:b w:val="false"/>
          <w:color w:val="000000"/>
          <w:sz w:val="20"/>
        </w:rPr>
        <w:t>This Emergency Communications Plan (EmComm Plan) establishes standardized procedures, assigned frequencies, command authority, rotating watch schedules, and reporting requirements for U.S. Coast Guard Auxiliary District Southeast (D-SE) during hurricane and tropical weather emergencies. The plan ensures that reliable high-frequency (HF) radio communications are maintained between District headquarters and all subordinate Sectors throughout any emergency activation.</w:t>
      </w:r>
    </w:p>
    <w:p>
      <w:pPr>
        <w:pStyle w:val="Normal"/>
        <w:spacing w:before="0" w:after="80"/>
        <w:rPr/>
      </w:pPr>
      <w:r>
        <w:rPr/>
      </w:r>
    </w:p>
    <w:p>
      <w:pPr>
        <w:pStyle w:val="Normal"/>
        <w:spacing w:before="60" w:after="60"/>
        <w:rPr/>
      </w:pPr>
      <w:r>
        <w:rPr>
          <w:rFonts w:ascii="Arial" w:hAnsi="Arial"/>
          <w:b w:val="false"/>
          <w:color w:val="000000"/>
          <w:sz w:val="20"/>
        </w:rPr>
        <w:t>This plan is compliant with the Incident Command System (ICS) and references the following forms:</w:t>
      </w:r>
    </w:p>
    <w:p>
      <w:pPr>
        <w:pStyle w:val="ListBullet"/>
        <w:numPr>
          <w:ilvl w:val="0"/>
          <w:numId w:val="1"/>
        </w:numPr>
        <w:spacing w:before="40" w:after="40"/>
        <w:ind w:hanging="360" w:start="360"/>
        <w:contextualSpacing/>
        <w:rPr/>
      </w:pPr>
      <w:r>
        <w:rPr>
          <w:rFonts w:ascii="Arial" w:hAnsi="Arial"/>
          <w:b w:val="false"/>
          <w:color w:val="000000"/>
          <w:sz w:val="20"/>
        </w:rPr>
        <w:t>ICS Form 201 – Incident Briefing (command structure, situation, initial objectives)</w:t>
      </w:r>
    </w:p>
    <w:p>
      <w:pPr>
        <w:pStyle w:val="ListBullet"/>
        <w:numPr>
          <w:ilvl w:val="0"/>
          <w:numId w:val="1"/>
        </w:numPr>
        <w:spacing w:before="40" w:after="40"/>
        <w:ind w:hanging="360" w:start="360"/>
        <w:contextualSpacing/>
        <w:rPr/>
      </w:pPr>
      <w:r>
        <w:rPr>
          <w:rFonts w:ascii="Arial" w:hAnsi="Arial"/>
          <w:b w:val="false"/>
          <w:color w:val="000000"/>
          <w:sz w:val="20"/>
        </w:rPr>
        <w:t>ICS Form 205 – Incident Radio Communications Plan (frequency assignments)</w:t>
      </w:r>
    </w:p>
    <w:p>
      <w:pPr>
        <w:pStyle w:val="ListBullet"/>
        <w:numPr>
          <w:ilvl w:val="0"/>
          <w:numId w:val="1"/>
        </w:numPr>
        <w:spacing w:before="40" w:after="40"/>
        <w:ind w:hanging="360" w:start="360"/>
        <w:contextualSpacing/>
        <w:rPr/>
      </w:pPr>
      <w:r>
        <w:rPr>
          <w:rFonts w:ascii="Arial" w:hAnsi="Arial"/>
          <w:b w:val="false"/>
          <w:color w:val="000000"/>
          <w:sz w:val="20"/>
        </w:rPr>
        <w:t>ICS Form 205A – Communications List (operator roster and contact information)</w:t>
      </w:r>
    </w:p>
    <w:p>
      <w:pPr>
        <w:pStyle w:val="Heading2"/>
        <w:spacing w:before="200" w:after="100"/>
        <w:rPr/>
      </w:pPr>
      <w:r>
        <w:rPr>
          <w:rFonts w:ascii="Arial" w:hAnsi="Arial"/>
          <w:b/>
          <w:color w:val="003366"/>
          <w:sz w:val="26"/>
        </w:rPr>
        <w:t>1.2  Scope</w:t>
      </w:r>
    </w:p>
    <w:p>
      <w:pPr>
        <w:pStyle w:val="Normal"/>
        <w:spacing w:before="60" w:after="60"/>
        <w:rPr/>
      </w:pPr>
      <w:r>
        <w:rPr>
          <w:rFonts w:ascii="Arial" w:hAnsi="Arial"/>
          <w:b w:val="false"/>
          <w:color w:val="000000"/>
          <w:sz w:val="20"/>
        </w:rPr>
        <w:t>This plan applies to all activated USCG Auxiliary members operating under District Southeast during any of the following conditions:</w:t>
      </w:r>
    </w:p>
    <w:p>
      <w:pPr>
        <w:pStyle w:val="ListBullet"/>
        <w:numPr>
          <w:ilvl w:val="0"/>
          <w:numId w:val="1"/>
        </w:numPr>
        <w:spacing w:before="40" w:after="40"/>
        <w:ind w:hanging="360" w:start="360"/>
        <w:contextualSpacing/>
        <w:rPr/>
      </w:pPr>
      <w:r>
        <w:rPr>
          <w:rFonts w:ascii="Arial" w:hAnsi="Arial"/>
          <w:b w:val="false"/>
          <w:color w:val="000000"/>
          <w:sz w:val="20"/>
        </w:rPr>
        <w:t>A Named Tropical Storm or Hurricane threatening or impacting the D-SE Area of Responsibility (AOR)</w:t>
      </w:r>
    </w:p>
    <w:p>
      <w:pPr>
        <w:pStyle w:val="ListBullet"/>
        <w:numPr>
          <w:ilvl w:val="0"/>
          <w:numId w:val="1"/>
        </w:numPr>
        <w:spacing w:before="40" w:after="40"/>
        <w:ind w:hanging="360" w:start="360"/>
        <w:contextualSpacing/>
        <w:rPr/>
      </w:pPr>
      <w:r>
        <w:rPr>
          <w:rFonts w:ascii="Arial" w:hAnsi="Arial"/>
          <w:b w:val="false"/>
          <w:color w:val="000000"/>
          <w:sz w:val="20"/>
        </w:rPr>
        <w:t>Declaration of a Communications Emergency by the District Commander or designee</w:t>
      </w:r>
    </w:p>
    <w:p>
      <w:pPr>
        <w:pStyle w:val="ListBullet"/>
        <w:numPr>
          <w:ilvl w:val="0"/>
          <w:numId w:val="1"/>
        </w:numPr>
        <w:spacing w:before="40" w:after="40"/>
        <w:ind w:hanging="360" w:start="360"/>
        <w:contextualSpacing/>
        <w:rPr/>
      </w:pPr>
      <w:r>
        <w:rPr>
          <w:rFonts w:ascii="Arial" w:hAnsi="Arial"/>
          <w:b w:val="false"/>
          <w:color w:val="000000"/>
          <w:sz w:val="20"/>
        </w:rPr>
        <w:t>Activation directed by the D-SE District Commodore, DDC-R, DSO-CM, or the USCG Sector Commander</w:t>
      </w:r>
    </w:p>
    <w:p>
      <w:pPr>
        <w:pStyle w:val="ListBullet"/>
        <w:numPr>
          <w:ilvl w:val="0"/>
          <w:numId w:val="1"/>
        </w:numPr>
        <w:spacing w:before="40" w:after="40"/>
        <w:ind w:hanging="360" w:start="360"/>
        <w:contextualSpacing/>
        <w:rPr/>
      </w:pPr>
      <w:r>
        <w:rPr>
          <w:rFonts w:ascii="Arial" w:hAnsi="Arial"/>
          <w:b w:val="false"/>
          <w:color w:val="000000"/>
          <w:sz w:val="20"/>
        </w:rPr>
        <w:t>Any situation requiring sustained HF/</w:t>
      </w:r>
      <w:r>
        <w:rPr>
          <w:rFonts w:ascii="Arial" w:hAnsi="Arial"/>
          <w:b w:val="false"/>
          <w:color w:val="000000"/>
          <w:sz w:val="20"/>
        </w:rPr>
        <w:t>VHF</w:t>
      </w:r>
      <w:r>
        <w:rPr>
          <w:rFonts w:ascii="Arial" w:hAnsi="Arial"/>
          <w:b w:val="false"/>
          <w:color w:val="000000"/>
          <w:sz w:val="20"/>
        </w:rPr>
        <w:t xml:space="preserve"> net operations for more than four (4) hours</w:t>
      </w:r>
    </w:p>
    <w:p>
      <w:pPr>
        <w:pStyle w:val="Heading2"/>
        <w:spacing w:before="200" w:after="100"/>
        <w:rPr/>
      </w:pPr>
      <w:r>
        <w:rPr>
          <w:rFonts w:ascii="Arial" w:hAnsi="Arial"/>
          <w:b/>
          <w:color w:val="003366"/>
          <w:sz w:val="26"/>
        </w:rPr>
        <w:t>1.3  Area of Responsibility</w:t>
      </w:r>
    </w:p>
    <w:p>
      <w:pPr>
        <w:pStyle w:val="Normal"/>
        <w:spacing w:before="60" w:after="60"/>
        <w:rPr/>
      </w:pPr>
      <w:r>
        <w:rPr>
          <w:rFonts w:ascii="Arial" w:hAnsi="Arial"/>
          <w:b w:val="false"/>
          <w:color w:val="000000"/>
          <w:sz w:val="20"/>
        </w:rPr>
        <w:t>District Southeast encompasses the following USCG Sectors, each of which maintains a dedicated communications net under this plan:</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4680"/>
        <w:gridCol w:w="4680"/>
      </w:tblGrid>
      <w:tr>
        <w:trPr/>
        <w:tc>
          <w:tcPr>
            <w:tcW w:w="468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Sector</w:t>
            </w:r>
          </w:p>
        </w:tc>
        <w:tc>
          <w:tcPr>
            <w:tcW w:w="468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Geographic Coverage</w:t>
            </w:r>
          </w:p>
        </w:tc>
      </w:tr>
      <w:tr>
        <w:trPr/>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Charleston</w:t>
            </w:r>
          </w:p>
        </w:tc>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South Carolina, North Carolina (coastal areas)</w:t>
            </w:r>
          </w:p>
        </w:tc>
      </w:tr>
      <w:tr>
        <w:trPr/>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Jacksonville</w:t>
            </w:r>
          </w:p>
        </w:tc>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Northeast Florida, Georgia (coastal areas)</w:t>
            </w:r>
          </w:p>
        </w:tc>
      </w:tr>
      <w:tr>
        <w:trPr/>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Miami</w:t>
            </w:r>
          </w:p>
        </w:tc>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Southeast Florida (Palm Beach to Homestead)</w:t>
            </w:r>
          </w:p>
        </w:tc>
      </w:tr>
      <w:tr>
        <w:trPr/>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Key West</w:t>
            </w:r>
          </w:p>
        </w:tc>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Florida Keys, Straits of Florida</w:t>
            </w:r>
          </w:p>
        </w:tc>
      </w:tr>
      <w:tr>
        <w:trPr/>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San Juan</w:t>
            </w:r>
          </w:p>
        </w:tc>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Puerto Rico, U.S. Virgin Islands</w:t>
            </w:r>
          </w:p>
        </w:tc>
      </w:tr>
      <w:tr>
        <w:trPr/>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St. Petersburg</w:t>
            </w:r>
          </w:p>
        </w:tc>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West Florida Gulf Coast, Tampa Bay area</w:t>
            </w:r>
          </w:p>
        </w:tc>
      </w:tr>
    </w:tbl>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2 – Authority and Activation</w:t>
      </w:r>
    </w:p>
    <w:p>
      <w:pPr>
        <w:pStyle w:val="Heading2"/>
        <w:spacing w:before="200" w:after="100"/>
        <w:rPr/>
      </w:pPr>
      <w:r>
        <w:rPr>
          <w:rFonts w:ascii="Arial" w:hAnsi="Arial"/>
          <w:b/>
          <w:color w:val="003366"/>
          <w:sz w:val="26"/>
        </w:rPr>
        <w:t>2.1  Activation Authority</w:t>
      </w:r>
    </w:p>
    <w:p>
      <w:pPr>
        <w:pStyle w:val="Normal"/>
        <w:spacing w:before="60" w:after="60"/>
        <w:rPr/>
      </w:pPr>
      <w:r>
        <w:rPr>
          <w:rFonts w:ascii="Arial" w:hAnsi="Arial"/>
          <w:b w:val="false"/>
          <w:color w:val="000000"/>
          <w:sz w:val="20"/>
        </w:rPr>
        <w:t>This plan may be activated by any of the following authorities:</w:t>
      </w:r>
    </w:p>
    <w:p>
      <w:pPr>
        <w:pStyle w:val="ListBullet"/>
        <w:numPr>
          <w:ilvl w:val="0"/>
          <w:numId w:val="1"/>
        </w:numPr>
        <w:spacing w:before="40" w:after="40"/>
        <w:ind w:hanging="360" w:start="360"/>
        <w:contextualSpacing/>
        <w:rPr>
          <w:rFonts w:ascii="Arial" w:hAnsi="Arial"/>
          <w:b w:val="false"/>
          <w:color w:val="000000"/>
          <w:sz w:val="20"/>
        </w:rPr>
      </w:pPr>
      <w:r>
        <w:rPr>
          <w:rFonts w:ascii="Arial" w:hAnsi="Arial"/>
          <w:b w:val="false"/>
          <w:color w:val="000000"/>
          <w:sz w:val="20"/>
        </w:rPr>
        <w:t>D-SE District Commodore or Deputy District Commodore</w:t>
      </w:r>
    </w:p>
    <w:p>
      <w:pPr>
        <w:pStyle w:val="ListBullet"/>
        <w:numPr>
          <w:ilvl w:val="0"/>
          <w:numId w:val="1"/>
        </w:numPr>
        <w:spacing w:before="40" w:after="40"/>
        <w:ind w:hanging="360" w:start="360"/>
        <w:contextualSpacing/>
        <w:rPr>
          <w:sz w:val="20"/>
          <w:szCs w:val="20"/>
        </w:rPr>
      </w:pPr>
      <w:r>
        <w:rPr>
          <w:rFonts w:ascii="Arial" w:hAnsi="Arial"/>
          <w:sz w:val="20"/>
          <w:szCs w:val="20"/>
        </w:rPr>
        <w:t>District Directorate Chief – Response (DDC-R)</w:t>
      </w:r>
    </w:p>
    <w:p>
      <w:pPr>
        <w:pStyle w:val="ListBullet"/>
        <w:numPr>
          <w:ilvl w:val="0"/>
          <w:numId w:val="1"/>
        </w:numPr>
        <w:spacing w:before="40" w:after="40"/>
        <w:ind w:hanging="360" w:start="360"/>
        <w:contextualSpacing/>
        <w:rPr/>
      </w:pPr>
      <w:r>
        <w:rPr>
          <w:rFonts w:ascii="Arial" w:hAnsi="Arial"/>
          <w:b w:val="false"/>
          <w:color w:val="000000"/>
          <w:sz w:val="20"/>
        </w:rPr>
        <w:t>District Staff Officer – Communications (DSO-CM)</w:t>
      </w:r>
    </w:p>
    <w:p>
      <w:pPr>
        <w:pStyle w:val="ListBullet"/>
        <w:numPr>
          <w:ilvl w:val="0"/>
          <w:numId w:val="1"/>
        </w:numPr>
        <w:spacing w:before="40" w:after="40"/>
        <w:ind w:hanging="360" w:start="360"/>
        <w:contextualSpacing/>
        <w:rPr/>
      </w:pPr>
      <w:r>
        <w:rPr>
          <w:rFonts w:ascii="Arial" w:hAnsi="Arial"/>
          <w:b w:val="false"/>
          <w:color w:val="000000"/>
          <w:sz w:val="20"/>
        </w:rPr>
        <w:t>The cognizant USCG Sector Commander (military) in coordination with the Auxiliary Sector Coordinator</w:t>
      </w:r>
    </w:p>
    <w:p>
      <w:pPr>
        <w:pStyle w:val="ListBullet"/>
        <w:numPr>
          <w:ilvl w:val="0"/>
          <w:numId w:val="1"/>
        </w:numPr>
        <w:spacing w:before="40" w:after="40"/>
        <w:ind w:hanging="360" w:start="360"/>
        <w:contextualSpacing/>
        <w:rPr/>
      </w:pPr>
      <w:r>
        <w:rPr>
          <w:rFonts w:ascii="Arial" w:hAnsi="Arial"/>
          <w:b w:val="false"/>
          <w:color w:val="000000"/>
          <w:sz w:val="20"/>
        </w:rPr>
        <w:t>The designated District Emergency Manager</w:t>
      </w:r>
    </w:p>
    <w:p>
      <w:pPr>
        <w:pStyle w:val="Normal"/>
        <w:spacing w:before="0" w:after="80"/>
        <w:rPr/>
      </w:pPr>
      <w:r>
        <w:rPr/>
      </w:r>
    </w:p>
    <w:p>
      <w:pPr>
        <w:pStyle w:val="Normal"/>
        <w:spacing w:before="60" w:after="60"/>
        <w:rPr/>
      </w:pPr>
      <w:r>
        <w:rPr>
          <w:rFonts w:ascii="Arial" w:hAnsi="Arial"/>
          <w:b w:val="false"/>
          <w:color w:val="000000"/>
          <w:sz w:val="20"/>
        </w:rPr>
        <w:t>Upon activation, the activating authority will issue an ICS Form 201 (Incident Briefing) documenting the situation summary, initial objectives, current organization, and resource summary. All net operations will be conducted under ICS principles for the duration of the incident. The Network Control Station (NCS) and Alternate will be assigned upon activation.</w:t>
      </w:r>
    </w:p>
    <w:p>
      <w:pPr>
        <w:pStyle w:val="Heading2"/>
        <w:spacing w:before="200" w:after="100"/>
        <w:rPr/>
      </w:pPr>
      <w:r>
        <w:rPr>
          <w:rFonts w:ascii="Arial" w:hAnsi="Arial"/>
          <w:b/>
          <w:color w:val="003366"/>
          <w:sz w:val="26"/>
        </w:rPr>
        <w:t>2.2  Alert Levels</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3120"/>
        <w:gridCol w:w="3120"/>
        <w:gridCol w:w="3120"/>
      </w:tblGrid>
      <w:tr>
        <w:trPr/>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Alert Level</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Trigger</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Required Actions</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color w:val="000000"/>
                <w:sz w:val="18"/>
              </w:rPr>
              <w:t>WATCH</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Tropical system 72 hrs from AOR</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Notify NCS/Alt-NCS; verify equipment; pre-position operators</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color w:val="000000"/>
                <w:sz w:val="18"/>
              </w:rPr>
              <w:t>WARNING</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Tropical system 48 hrs from AOR</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Activate nets; begin scheduled check-ins; activate 4-hour watch schedule</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color w:val="000000"/>
                <w:sz w:val="18"/>
              </w:rPr>
              <w:t>EMERGENCY</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Storm landfall imminent or underway</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Full net activation; continuous watch; ICS 205/205A in force; Winlink active</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color w:val="000000"/>
                <w:sz w:val="18"/>
              </w:rPr>
              <w:t>RECOVERY</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Storm has passed the AOR</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Damage assessment comms; begin stand-down per NCS direction; initiate AAR</w:t>
            </w:r>
          </w:p>
        </w:tc>
      </w:tr>
    </w:tbl>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3 – Command and Control (ICS Form 201)</w:t>
      </w:r>
    </w:p>
    <w:p>
      <w:pPr>
        <w:pStyle w:val="Normal"/>
        <w:spacing w:before="60" w:after="60"/>
        <w:rPr/>
      </w:pPr>
      <w:r>
        <w:rPr>
          <w:rFonts w:ascii="Arial" w:hAnsi="Arial"/>
          <w:b w:val="false"/>
          <w:color w:val="000000"/>
          <w:sz w:val="20"/>
        </w:rPr>
        <w:t>In accordance with ICS Form 201 – Incident Briefing, the following command structure governs all emergency net operations. The District Communications Officer maintains overall responsibility for HF/</w:t>
      </w:r>
      <w:r>
        <w:rPr>
          <w:rFonts w:ascii="Arial" w:hAnsi="Arial"/>
          <w:b w:val="false"/>
          <w:color w:val="000000"/>
          <w:sz w:val="20"/>
        </w:rPr>
        <w:t>VHF</w:t>
      </w:r>
      <w:r>
        <w:rPr>
          <w:rFonts w:ascii="Arial" w:hAnsi="Arial"/>
          <w:b w:val="false"/>
          <w:color w:val="000000"/>
          <w:sz w:val="20"/>
        </w:rPr>
        <w:t xml:space="preserve"> net integrity throughout the operational period.</w:t>
      </w:r>
    </w:p>
    <w:p>
      <w:pPr>
        <w:pStyle w:val="Heading2"/>
        <w:spacing w:before="200" w:after="100"/>
        <w:rPr/>
      </w:pPr>
      <w:r>
        <w:rPr>
          <w:rFonts w:ascii="Arial" w:hAnsi="Arial"/>
          <w:b/>
          <w:color w:val="003366"/>
          <w:sz w:val="26"/>
        </w:rPr>
        <w:t>3.1  District-Level Net Control</w:t>
      </w:r>
    </w:p>
    <w:p>
      <w:pPr>
        <w:pStyle w:val="Heading3"/>
        <w:spacing w:before="140" w:after="60"/>
        <w:rPr/>
      </w:pPr>
      <w:r>
        <w:rPr>
          <w:rFonts w:ascii="Arial" w:hAnsi="Arial"/>
          <w:b/>
          <w:color w:val="2E5FA3"/>
          <w:sz w:val="22"/>
        </w:rPr>
        <w:t>3.1.1  Network Controller (NCS) and Alternate Network Controller</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2340"/>
        <w:gridCol w:w="2340"/>
        <w:gridCol w:w="2340"/>
        <w:gridCol w:w="2340"/>
      </w:tblGrid>
      <w:tr>
        <w:trPr/>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Position</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Name</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Callsign</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Contact / Notes</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Network Controller (NCS)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Primary controlling authority</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Alternate NCS (Alt-NCS)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Assumes NCS duties when NCS unavailable</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DSO-CM (Advisor / Supervisor)</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Overall plan authority</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District HQ Location</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Miami, Florida</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N/A</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Primary net operating location</w:t>
            </w:r>
          </w:p>
        </w:tc>
      </w:tr>
    </w:tbl>
    <w:p>
      <w:pPr>
        <w:pStyle w:val="Normal"/>
        <w:spacing w:before="0" w:after="120"/>
        <w:rPr/>
      </w:pPr>
      <w:r>
        <w:rPr/>
      </w:r>
    </w:p>
    <w:p>
      <w:pPr>
        <w:pStyle w:val="Normal"/>
        <w:spacing w:before="60" w:after="60"/>
        <w:rPr/>
      </w:pPr>
      <w:r>
        <w:rPr>
          <w:rFonts w:ascii="Arial" w:hAnsi="Arial"/>
          <w:b w:val="false"/>
          <w:color w:val="000000"/>
          <w:sz w:val="20"/>
        </w:rPr>
        <w:t>DECLARATION: Upon activation, the designated Network Controller is hereby declared the primary controlling authority for all District-level HF/</w:t>
      </w:r>
      <w:r>
        <w:rPr>
          <w:rFonts w:ascii="Arial" w:hAnsi="Arial"/>
          <w:b w:val="false"/>
          <w:color w:val="000000"/>
          <w:sz w:val="20"/>
        </w:rPr>
        <w:t>VHF</w:t>
      </w:r>
      <w:r>
        <w:rPr>
          <w:rFonts w:ascii="Arial" w:hAnsi="Arial"/>
          <w:b w:val="false"/>
          <w:color w:val="000000"/>
          <w:sz w:val="20"/>
        </w:rPr>
        <w:t xml:space="preserve"> net operations. The Alternate Network Controller assumes all NCS duties and authority when the primary NCS is unavailable, off-watch, or incapacitated. This declaration is captured on ICS Form 201, Block 6 (Prepared by / Command Staff).</w:t>
      </w:r>
    </w:p>
    <w:p>
      <w:pPr>
        <w:pStyle w:val="Heading3"/>
        <w:spacing w:before="140" w:after="60"/>
        <w:rPr/>
      </w:pPr>
      <w:r>
        <w:rPr>
          <w:rFonts w:ascii="Arial" w:hAnsi="Arial"/>
          <w:b/>
          <w:color w:val="2E5FA3"/>
          <w:sz w:val="22"/>
        </w:rPr>
        <w:t>3.1.2  NCS Duties and Responsibilities</w:t>
      </w:r>
    </w:p>
    <w:p>
      <w:pPr>
        <w:pStyle w:val="ListBullet"/>
        <w:numPr>
          <w:ilvl w:val="0"/>
          <w:numId w:val="1"/>
        </w:numPr>
        <w:spacing w:before="40" w:after="40"/>
        <w:ind w:hanging="360" w:start="360"/>
        <w:contextualSpacing/>
        <w:rPr/>
      </w:pPr>
      <w:r>
        <w:rPr>
          <w:rFonts w:ascii="Arial" w:hAnsi="Arial"/>
          <w:b w:val="false"/>
          <w:color w:val="000000"/>
          <w:sz w:val="20"/>
        </w:rPr>
        <w:t>Open and close the net on schedule; announce net status at the top of each watch period</w:t>
      </w:r>
    </w:p>
    <w:p>
      <w:pPr>
        <w:pStyle w:val="ListBullet"/>
        <w:numPr>
          <w:ilvl w:val="0"/>
          <w:numId w:val="1"/>
        </w:numPr>
        <w:spacing w:before="40" w:after="40"/>
        <w:ind w:hanging="360" w:start="360"/>
        <w:contextualSpacing/>
        <w:rPr/>
      </w:pPr>
      <w:r>
        <w:rPr>
          <w:rFonts w:ascii="Arial" w:hAnsi="Arial"/>
          <w:b w:val="false"/>
          <w:color w:val="000000"/>
          <w:sz w:val="20"/>
        </w:rPr>
        <w:t>Maintain the ICS 205 radio log and update ICS 205A contact list throughout the operational period</w:t>
      </w:r>
    </w:p>
    <w:p>
      <w:pPr>
        <w:pStyle w:val="ListBullet"/>
        <w:numPr>
          <w:ilvl w:val="0"/>
          <w:numId w:val="1"/>
        </w:numPr>
        <w:spacing w:before="40" w:after="40"/>
        <w:ind w:hanging="360" w:start="360"/>
        <w:contextualSpacing/>
        <w:rPr/>
      </w:pPr>
      <w:r>
        <w:rPr>
          <w:rFonts w:ascii="Arial" w:hAnsi="Arial"/>
          <w:b w:val="false"/>
          <w:color w:val="000000"/>
          <w:sz w:val="20"/>
        </w:rPr>
        <w:t>Direct all net traffic; enforce net discipline and frequency security</w:t>
      </w:r>
    </w:p>
    <w:p>
      <w:pPr>
        <w:pStyle w:val="ListBullet"/>
        <w:numPr>
          <w:ilvl w:val="0"/>
          <w:numId w:val="1"/>
        </w:numPr>
        <w:spacing w:before="40" w:after="40"/>
        <w:ind w:hanging="360" w:start="360"/>
        <w:contextualSpacing/>
        <w:rPr/>
      </w:pPr>
      <w:r>
        <w:rPr>
          <w:rFonts w:ascii="Arial" w:hAnsi="Arial"/>
          <w:b w:val="false"/>
          <w:color w:val="000000"/>
          <w:sz w:val="20"/>
        </w:rPr>
        <w:t>Coordinate with USCG Sector watchstanders for priority traffic relay</w:t>
      </w:r>
    </w:p>
    <w:p>
      <w:pPr>
        <w:pStyle w:val="ListBullet"/>
        <w:numPr>
          <w:ilvl w:val="0"/>
          <w:numId w:val="1"/>
        </w:numPr>
        <w:spacing w:before="40" w:after="40"/>
        <w:ind w:hanging="360" w:start="360"/>
        <w:contextualSpacing/>
        <w:rPr/>
      </w:pPr>
      <w:r>
        <w:rPr>
          <w:rFonts w:ascii="Arial" w:hAnsi="Arial"/>
          <w:b w:val="false"/>
          <w:color w:val="000000"/>
          <w:sz w:val="20"/>
        </w:rPr>
        <w:t>Authorize any frequency changes and notify all active stations before changing</w:t>
      </w:r>
    </w:p>
    <w:p>
      <w:pPr>
        <w:pStyle w:val="ListBullet"/>
        <w:numPr>
          <w:ilvl w:val="0"/>
          <w:numId w:val="1"/>
        </w:numPr>
        <w:spacing w:before="40" w:after="40"/>
        <w:ind w:hanging="360" w:start="360"/>
        <w:contextualSpacing/>
        <w:rPr/>
      </w:pPr>
      <w:r>
        <w:rPr>
          <w:rFonts w:ascii="Arial" w:hAnsi="Arial"/>
          <w:b w:val="false"/>
          <w:color w:val="000000"/>
          <w:sz w:val="20"/>
        </w:rPr>
        <w:t>Designate and brief the incoming watch NCS at each 4-hour watch transition</w:t>
      </w:r>
    </w:p>
    <w:p>
      <w:pPr>
        <w:pStyle w:val="ListBullet"/>
        <w:numPr>
          <w:ilvl w:val="0"/>
          <w:numId w:val="1"/>
        </w:numPr>
        <w:spacing w:before="40" w:after="40"/>
        <w:ind w:hanging="360" w:start="360"/>
        <w:contextualSpacing/>
        <w:rPr/>
      </w:pPr>
      <w:r>
        <w:rPr>
          <w:rFonts w:ascii="Arial" w:hAnsi="Arial"/>
          <w:b w:val="false"/>
          <w:color w:val="000000"/>
          <w:sz w:val="20"/>
        </w:rPr>
        <w:t>Submit the watch log and initiate After Action Report requirements upon net stand-down</w:t>
      </w:r>
    </w:p>
    <w:p>
      <w:pPr>
        <w:pStyle w:val="Heading3"/>
        <w:spacing w:before="140" w:after="60"/>
        <w:rPr/>
      </w:pPr>
      <w:r>
        <w:rPr>
          <w:rFonts w:ascii="Arial" w:hAnsi="Arial"/>
          <w:b/>
          <w:color w:val="2E5FA3"/>
          <w:sz w:val="22"/>
        </w:rPr>
        <w:t>3.1.3  Alternate NCS Duties and Responsibilities</w:t>
      </w:r>
    </w:p>
    <w:p>
      <w:pPr>
        <w:pStyle w:val="ListBullet"/>
        <w:numPr>
          <w:ilvl w:val="0"/>
          <w:numId w:val="1"/>
        </w:numPr>
        <w:spacing w:before="40" w:after="40"/>
        <w:ind w:hanging="360" w:start="360"/>
        <w:contextualSpacing/>
        <w:rPr/>
      </w:pPr>
      <w:r>
        <w:rPr>
          <w:rFonts w:ascii="Arial" w:hAnsi="Arial"/>
          <w:b w:val="false"/>
          <w:color w:val="000000"/>
          <w:sz w:val="20"/>
        </w:rPr>
        <w:t>Monitor the net continuously while on assigned watch</w:t>
      </w:r>
    </w:p>
    <w:p>
      <w:pPr>
        <w:pStyle w:val="ListBullet"/>
        <w:numPr>
          <w:ilvl w:val="0"/>
          <w:numId w:val="1"/>
        </w:numPr>
        <w:spacing w:before="40" w:after="40"/>
        <w:ind w:hanging="360" w:start="360"/>
        <w:contextualSpacing/>
        <w:rPr/>
      </w:pPr>
      <w:r>
        <w:rPr>
          <w:rFonts w:ascii="Arial" w:hAnsi="Arial"/>
          <w:b w:val="false"/>
          <w:color w:val="000000"/>
          <w:sz w:val="20"/>
        </w:rPr>
        <w:t>Assume NCS control immediately upon direction or inability of the primary NCS to perform duties</w:t>
      </w:r>
    </w:p>
    <w:p>
      <w:pPr>
        <w:pStyle w:val="ListBullet"/>
        <w:numPr>
          <w:ilvl w:val="0"/>
          <w:numId w:val="1"/>
        </w:numPr>
        <w:spacing w:before="40" w:after="40"/>
        <w:ind w:hanging="360" w:start="360"/>
        <w:contextualSpacing/>
        <w:rPr/>
      </w:pPr>
      <w:r>
        <w:rPr>
          <w:rFonts w:ascii="Arial" w:hAnsi="Arial"/>
          <w:b w:val="false"/>
          <w:color w:val="000000"/>
          <w:sz w:val="20"/>
        </w:rPr>
        <w:t>Maintain a backup copy of the ICS 205 and ICS 205A updated in real time</w:t>
      </w:r>
    </w:p>
    <w:p>
      <w:pPr>
        <w:pStyle w:val="ListBullet"/>
        <w:numPr>
          <w:ilvl w:val="0"/>
          <w:numId w:val="1"/>
        </w:numPr>
        <w:spacing w:before="40" w:after="40"/>
        <w:ind w:hanging="360" w:start="360"/>
        <w:contextualSpacing/>
        <w:rPr/>
      </w:pPr>
      <w:r>
        <w:rPr>
          <w:rFonts w:ascii="Arial" w:hAnsi="Arial"/>
          <w:b w:val="false"/>
          <w:color w:val="000000"/>
          <w:sz w:val="20"/>
        </w:rPr>
        <w:t>Stand by on the designated secondary frequency when not acting as primary NCS</w:t>
      </w:r>
    </w:p>
    <w:p>
      <w:pPr>
        <w:pStyle w:val="ListBullet"/>
        <w:numPr>
          <w:ilvl w:val="0"/>
          <w:numId w:val="1"/>
        </w:numPr>
        <w:spacing w:before="40" w:after="40"/>
        <w:ind w:hanging="360" w:start="360"/>
        <w:contextualSpacing/>
        <w:rPr/>
      </w:pPr>
      <w:r>
        <w:rPr>
          <w:rFonts w:ascii="Arial" w:hAnsi="Arial"/>
          <w:b w:val="false"/>
          <w:color w:val="000000"/>
          <w:sz w:val="20"/>
        </w:rPr>
        <w:t>Be available to assume the watch at any time during the operational period</w:t>
      </w:r>
    </w:p>
    <w:p>
      <w:pPr>
        <w:pStyle w:val="Heading2"/>
        <w:spacing w:before="200" w:after="100"/>
        <w:rPr/>
      </w:pPr>
      <w:r>
        <w:rPr>
          <w:rFonts w:ascii="Arial" w:hAnsi="Arial"/>
          <w:b/>
          <w:color w:val="003366"/>
          <w:sz w:val="26"/>
        </w:rPr>
        <w:t>3.2  Sector-Level Net Control</w:t>
      </w:r>
    </w:p>
    <w:p>
      <w:pPr>
        <w:pStyle w:val="Normal"/>
        <w:spacing w:before="60" w:after="60"/>
        <w:rPr/>
      </w:pPr>
      <w:r>
        <w:rPr>
          <w:rFonts w:ascii="Arial" w:hAnsi="Arial"/>
          <w:b w:val="false"/>
          <w:color w:val="000000"/>
          <w:sz w:val="20"/>
        </w:rPr>
        <w:t>Each Sector will designate its own Sector NCS and Alternate Sector NCS to manage the dedicated Sector net. Sector NCS stations report to and take direction from the District NCS. The following positions will be designated and documented on the Sector ICS 205 and 205A prior to activation:</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3120"/>
        <w:gridCol w:w="3120"/>
        <w:gridCol w:w="3120"/>
      </w:tblGrid>
      <w:tr>
        <w:trPr/>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Sector</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Sector NCS – Name / Callsign</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Alt. Sector NCS – Name / Callsign</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Charleston</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Jacksonville</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Miami</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Key West</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San Juan</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St. Petersburg</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r>
    </w:tbl>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4 – Assigned Frequencies (ICS Form 205)</w:t>
      </w:r>
    </w:p>
    <w:p>
      <w:pPr>
        <w:pStyle w:val="Normal"/>
        <w:spacing w:before="60" w:after="60"/>
        <w:rPr/>
      </w:pPr>
      <w:r>
        <w:rPr>
          <w:rFonts w:ascii="Arial" w:hAnsi="Arial"/>
          <w:b w:val="false"/>
          <w:color w:val="000000"/>
          <w:sz w:val="20"/>
        </w:rPr>
        <w:t>The following frequency assignments govern all D-SE HF/</w:t>
      </w:r>
      <w:r>
        <w:rPr>
          <w:rFonts w:ascii="Arial" w:hAnsi="Arial"/>
          <w:b w:val="false"/>
          <w:color w:val="000000"/>
          <w:sz w:val="20"/>
        </w:rPr>
        <w:t>VHF</w:t>
      </w:r>
      <w:r>
        <w:rPr>
          <w:rFonts w:ascii="Arial" w:hAnsi="Arial"/>
          <w:b w:val="false"/>
          <w:color w:val="000000"/>
          <w:sz w:val="20"/>
        </w:rPr>
        <w:t xml:space="preserve"> emergency net operations and will be transcribed onto ICS Form 205 – Incident Radio Communications Plan at the time of activation. All operations are Upper Sideband (USB) unless otherwise noted. Operators will maintain their radios on the assigned frequency at all times during their watch period. </w:t>
      </w:r>
    </w:p>
    <w:p>
      <w:pPr>
        <w:pStyle w:val="Heading2"/>
        <w:spacing w:before="200" w:after="100"/>
        <w:rPr/>
      </w:pPr>
      <w:r>
        <w:rPr>
          <w:rFonts w:ascii="Arial" w:hAnsi="Arial"/>
          <w:b/>
          <w:color w:val="003366"/>
          <w:sz w:val="26"/>
        </w:rPr>
        <w:t>4.1  District-Wide (Inter-Sector) Net Frequencies</w:t>
      </w:r>
    </w:p>
    <w:p>
      <w:pPr>
        <w:pStyle w:val="Normal"/>
        <w:spacing w:before="120" w:after="120"/>
        <w:rPr/>
      </w:pPr>
      <w:r>
        <w:rPr>
          <w:rFonts w:ascii="Arial" w:hAnsi="Arial"/>
          <w:i/>
          <w:color w:val="003366"/>
          <w:sz w:val="20"/>
        </w:rPr>
        <w:t>Specific frequency assignments will be issued by the District NCS via Winlink no later than 24 hours prior to plan activation, based on current HF propagation conditions and band assessments at the time of the activation order.</w:t>
      </w:r>
    </w:p>
    <w:p>
      <w:pPr>
        <w:pStyle w:val="Normal"/>
        <w:spacing w:before="8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2340"/>
        <w:gridCol w:w="2340"/>
        <w:gridCol w:w="2340"/>
        <w:gridCol w:w="2340"/>
      </w:tblGrid>
      <w:tr>
        <w:trPr/>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Date / Time</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Main</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First Alternate</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Second Alternate</w:t>
            </w:r>
          </w:p>
        </w:tc>
      </w:tr>
      <w:tr>
        <w:trPr>
          <w:trHeight w:val="360" w:hRule="atLeast"/>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rHeight w:val="360" w:hRule="atLeast"/>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rHeight w:val="360" w:hRule="atLeast"/>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bl>
    <w:p>
      <w:pPr>
        <w:pStyle w:val="Heading2"/>
        <w:spacing w:before="200" w:after="100"/>
        <w:rPr/>
      </w:pPr>
      <w:r>
        <w:rPr>
          <w:rFonts w:ascii="Arial" w:hAnsi="Arial"/>
          <w:b/>
          <w:color w:val="003366"/>
          <w:sz w:val="26"/>
        </w:rPr>
        <w:t>4.2  Sector Dedicated Net Frequencies</w:t>
      </w:r>
    </w:p>
    <w:p>
      <w:pPr>
        <w:pStyle w:val="Normal"/>
        <w:spacing w:before="120" w:after="120"/>
        <w:rPr/>
      </w:pPr>
      <w:r>
        <w:rPr>
          <w:rFonts w:ascii="Arial" w:hAnsi="Arial"/>
          <w:i/>
          <w:color w:val="003366"/>
          <w:sz w:val="20"/>
        </w:rPr>
        <w:t>Specific frequency assignments will be issued by the District NCS via Winlink no later than 24 hours prior to plan activation, based on current HF propagation conditions and band assessments at the time of the activation order.</w:t>
      </w:r>
    </w:p>
    <w:p>
      <w:pPr>
        <w:pStyle w:val="Normal"/>
        <w:spacing w:before="8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1872"/>
        <w:gridCol w:w="1872"/>
        <w:gridCol w:w="1872"/>
        <w:gridCol w:w="1872"/>
        <w:gridCol w:w="1872"/>
      </w:tblGrid>
      <w:tr>
        <w:trPr/>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Sector</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Date / Time</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Main</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First Alternate</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Second Alternate</w:t>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rHeight w:val="360" w:hRule="atLeast"/>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bl>
    <w:p>
      <w:pPr>
        <w:pStyle w:val="Heading2"/>
        <w:spacing w:before="200" w:after="100"/>
        <w:rPr/>
      </w:pPr>
      <w:r>
        <w:rPr>
          <w:rFonts w:ascii="Arial" w:hAnsi="Arial"/>
          <w:b/>
          <w:color w:val="003366"/>
          <w:sz w:val="26"/>
        </w:rPr>
        <w:t>4.3  Frequency Use Protocols</w:t>
      </w:r>
    </w:p>
    <w:p>
      <w:pPr>
        <w:pStyle w:val="ListBullet"/>
        <w:numPr>
          <w:ilvl w:val="0"/>
          <w:numId w:val="1"/>
        </w:numPr>
        <w:spacing w:before="40" w:after="40"/>
        <w:ind w:hanging="360" w:start="360"/>
        <w:contextualSpacing/>
        <w:rPr/>
      </w:pPr>
      <w:r>
        <w:rPr>
          <w:rFonts w:ascii="Arial" w:hAnsi="Arial"/>
          <w:b w:val="false"/>
          <w:color w:val="000000"/>
          <w:sz w:val="20"/>
        </w:rPr>
        <w:t>All voice operations use Upper Sideband (USB) mode on all assigned frequencies</w:t>
      </w:r>
    </w:p>
    <w:p>
      <w:pPr>
        <w:pStyle w:val="ListBullet"/>
        <w:numPr>
          <w:ilvl w:val="0"/>
          <w:numId w:val="1"/>
        </w:numPr>
        <w:spacing w:before="40" w:after="40"/>
        <w:ind w:hanging="360" w:start="360"/>
        <w:contextualSpacing/>
        <w:rPr/>
      </w:pPr>
      <w:r>
        <w:rPr>
          <w:rFonts w:ascii="Arial" w:hAnsi="Arial"/>
          <w:b w:val="false"/>
          <w:color w:val="000000"/>
          <w:sz w:val="20"/>
        </w:rPr>
        <w:t>Net Control will announce frequency changes with a minimum of three (3) transmissions before changing</w:t>
      </w:r>
    </w:p>
    <w:p>
      <w:pPr>
        <w:pStyle w:val="ListBullet"/>
        <w:numPr>
          <w:ilvl w:val="0"/>
          <w:numId w:val="1"/>
        </w:numPr>
        <w:spacing w:before="40" w:after="40"/>
        <w:ind w:hanging="360" w:start="360"/>
        <w:contextualSpacing/>
        <w:rPr/>
      </w:pPr>
      <w:r>
        <w:rPr>
          <w:rFonts w:ascii="Arial" w:hAnsi="Arial"/>
          <w:b w:val="false"/>
          <w:color w:val="000000"/>
          <w:sz w:val="20"/>
        </w:rPr>
        <w:t>Emergency traffic takes precedence on all frequencies; announce "BREAK BREAK BREAK" for priority traffic</w:t>
      </w:r>
    </w:p>
    <w:p>
      <w:pPr>
        <w:pStyle w:val="ListBullet"/>
        <w:numPr>
          <w:ilvl w:val="0"/>
          <w:numId w:val="1"/>
        </w:numPr>
        <w:spacing w:before="40" w:after="40"/>
        <w:ind w:hanging="360" w:start="360"/>
        <w:contextualSpacing/>
        <w:rPr/>
      </w:pPr>
      <w:r>
        <w:rPr>
          <w:rFonts w:ascii="Arial" w:hAnsi="Arial"/>
          <w:b w:val="false"/>
          <w:color w:val="000000"/>
          <w:sz w:val="20"/>
        </w:rPr>
        <w:t>Digital Winlink/VARA HF traffic is used for formal message handling, damage reports, and resource requests</w:t>
      </w:r>
    </w:p>
    <w:p>
      <w:pPr>
        <w:pStyle w:val="ListBullet"/>
        <w:numPr>
          <w:ilvl w:val="0"/>
          <w:numId w:val="1"/>
        </w:numPr>
        <w:spacing w:before="40" w:after="40"/>
        <w:ind w:hanging="360" w:start="360"/>
        <w:contextualSpacing/>
        <w:rPr/>
      </w:pPr>
      <w:r>
        <w:rPr>
          <w:rFonts w:ascii="Arial" w:hAnsi="Arial"/>
          <w:b w:val="false"/>
          <w:color w:val="000000"/>
          <w:sz w:val="20"/>
        </w:rPr>
        <w:t>Operators shall not transmit without first listening for a minimum of 15 seconds (listen before transmit)</w:t>
      </w:r>
    </w:p>
    <w:p>
      <w:pPr>
        <w:pStyle w:val="ListBullet"/>
        <w:numPr>
          <w:ilvl w:val="0"/>
          <w:numId w:val="1"/>
        </w:numPr>
        <w:spacing w:before="40" w:after="40"/>
        <w:ind w:hanging="360" w:start="360"/>
        <w:contextualSpacing/>
        <w:rPr/>
      </w:pPr>
      <w:r>
        <w:rPr>
          <w:rFonts w:ascii="Arial" w:hAnsi="Arial"/>
          <w:b w:val="false"/>
          <w:color w:val="000000"/>
          <w:sz w:val="20"/>
        </w:rPr>
        <w:t>Interference or frequency conflicts will be reported to the NCS immediately</w:t>
      </w:r>
    </w:p>
    <w:p>
      <w:pPr>
        <w:pStyle w:val="ListBullet"/>
        <w:numPr>
          <w:ilvl w:val="0"/>
          <w:numId w:val="1"/>
        </w:numPr>
        <w:spacing w:before="40" w:after="40"/>
        <w:ind w:hanging="360" w:start="360"/>
        <w:contextualSpacing/>
        <w:rPr>
          <w:rFonts w:ascii="Arial" w:hAnsi="Arial"/>
          <w:b w:val="false"/>
          <w:color w:val="000000"/>
          <w:sz w:val="20"/>
        </w:rPr>
      </w:pPr>
      <w:r>
        <w:rPr>
          <w:rFonts w:ascii="Arial" w:hAnsi="Arial"/>
          <w:b w:val="false"/>
          <w:color w:val="000000"/>
          <w:sz w:val="20"/>
        </w:rPr>
        <w:t>All frequency changes must be authorized by the District NCS and logged on ICS Form 205</w:t>
      </w:r>
    </w:p>
    <w:p>
      <w:pPr>
        <w:pStyle w:val="ListBullet"/>
        <w:numPr>
          <w:ilvl w:val="0"/>
          <w:numId w:val="1"/>
        </w:numPr>
        <w:spacing w:before="40" w:after="40"/>
        <w:ind w:hanging="360" w:start="360"/>
        <w:contextualSpacing/>
        <w:rPr>
          <w:rFonts w:ascii="Arial" w:hAnsi="Arial"/>
          <w:b w:val="false"/>
          <w:color w:val="000000"/>
          <w:sz w:val="20"/>
        </w:rPr>
      </w:pPr>
      <w:r>
        <w:rPr>
          <w:rFonts w:ascii="Arial" w:hAnsi="Arial"/>
          <w:b w:val="false"/>
          <w:color w:val="000000"/>
          <w:sz w:val="20"/>
        </w:rPr>
        <w:t>AUXPTT use should be considered to optimize coordination (Channel D7.2)</w:t>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5 – Communications List (ICS Form 205A)</w:t>
      </w:r>
    </w:p>
    <w:p>
      <w:pPr>
        <w:pStyle w:val="Normal"/>
        <w:spacing w:before="60" w:after="60"/>
        <w:rPr/>
      </w:pPr>
      <w:r>
        <w:rPr>
          <w:rFonts w:ascii="Arial" w:hAnsi="Arial"/>
          <w:b w:val="false"/>
          <w:color w:val="000000"/>
          <w:sz w:val="20"/>
        </w:rPr>
        <w:t>ICS Form 205A (Communications List) will be completed at the time of activation and updated at each watch period transition. The 205A serves as the official roster of all active net participants, their callsigns, assigned frequencies, and contact information.</w:t>
      </w:r>
    </w:p>
    <w:p>
      <w:pPr>
        <w:pStyle w:val="Heading2"/>
        <w:spacing w:before="200" w:after="100"/>
        <w:rPr/>
      </w:pPr>
      <w:r>
        <w:rPr>
          <w:rFonts w:ascii="Arial" w:hAnsi="Arial"/>
          <w:b/>
          <w:color w:val="003366"/>
          <w:sz w:val="26"/>
        </w:rPr>
        <w:t>5.1  ICS 205A Completion Requirements</w:t>
      </w:r>
    </w:p>
    <w:p>
      <w:pPr>
        <w:pStyle w:val="ListBullet"/>
        <w:numPr>
          <w:ilvl w:val="0"/>
          <w:numId w:val="1"/>
        </w:numPr>
        <w:spacing w:before="40" w:after="40"/>
        <w:ind w:hanging="360" w:start="360"/>
        <w:contextualSpacing/>
        <w:rPr/>
      </w:pPr>
      <w:r>
        <w:rPr>
          <w:rFonts w:ascii="Arial" w:hAnsi="Arial"/>
          <w:b w:val="false"/>
          <w:color w:val="000000"/>
          <w:sz w:val="20"/>
        </w:rPr>
        <w:t>The District NCS is responsible for maintaining the master D-SE ICS 205A</w:t>
      </w:r>
    </w:p>
    <w:p>
      <w:pPr>
        <w:pStyle w:val="ListBullet"/>
        <w:numPr>
          <w:ilvl w:val="0"/>
          <w:numId w:val="1"/>
        </w:numPr>
        <w:spacing w:before="40" w:after="40"/>
        <w:ind w:hanging="360" w:start="360"/>
        <w:contextualSpacing/>
        <w:rPr/>
      </w:pPr>
      <w:r>
        <w:rPr>
          <w:rFonts w:ascii="Arial" w:hAnsi="Arial"/>
          <w:b w:val="false"/>
          <w:color w:val="000000"/>
          <w:sz w:val="20"/>
        </w:rPr>
        <w:t>Each Sector NCS maintains a Sector-level ICS 205A for their assigned net</w:t>
      </w:r>
    </w:p>
    <w:p>
      <w:pPr>
        <w:pStyle w:val="ListBullet"/>
        <w:numPr>
          <w:ilvl w:val="0"/>
          <w:numId w:val="1"/>
        </w:numPr>
        <w:spacing w:before="40" w:after="40"/>
        <w:ind w:hanging="360" w:start="360"/>
        <w:contextualSpacing/>
        <w:rPr/>
      </w:pPr>
      <w:r>
        <w:rPr>
          <w:rFonts w:ascii="Arial" w:hAnsi="Arial"/>
          <w:b w:val="false"/>
          <w:color w:val="000000"/>
          <w:sz w:val="20"/>
        </w:rPr>
        <w:t>Forms must be updated within 30 minutes of any personnel change</w:t>
      </w:r>
    </w:p>
    <w:p>
      <w:pPr>
        <w:pStyle w:val="ListBullet"/>
        <w:numPr>
          <w:ilvl w:val="0"/>
          <w:numId w:val="1"/>
        </w:numPr>
        <w:spacing w:before="40" w:after="40"/>
        <w:ind w:hanging="360" w:start="360"/>
        <w:contextualSpacing/>
        <w:rPr/>
      </w:pPr>
      <w:r>
        <w:rPr>
          <w:rFonts w:ascii="Arial" w:hAnsi="Arial"/>
          <w:b w:val="false"/>
          <w:color w:val="000000"/>
          <w:sz w:val="20"/>
        </w:rPr>
        <w:t>A digital copy will be transmitted via Winlink to D-SE HQ at each watch transition</w:t>
      </w:r>
    </w:p>
    <w:p>
      <w:pPr>
        <w:pStyle w:val="ListBullet"/>
        <w:numPr>
          <w:ilvl w:val="0"/>
          <w:numId w:val="1"/>
        </w:numPr>
        <w:spacing w:before="40" w:after="40"/>
        <w:ind w:hanging="360" w:start="360"/>
        <w:contextualSpacing/>
        <w:rPr/>
      </w:pPr>
      <w:r>
        <w:rPr>
          <w:rFonts w:ascii="Arial" w:hAnsi="Arial"/>
          <w:b w:val="false"/>
          <w:color w:val="000000"/>
          <w:sz w:val="20"/>
        </w:rPr>
        <w:t>A printed hard copy will be maintained at each operating position for the duration of the activation</w:t>
      </w:r>
    </w:p>
    <w:p>
      <w:pPr>
        <w:pStyle w:val="Heading2"/>
        <w:spacing w:before="200" w:after="100"/>
        <w:rPr/>
      </w:pPr>
      <w:r>
        <w:rPr>
          <w:rFonts w:ascii="Arial" w:hAnsi="Arial"/>
          <w:b/>
          <w:color w:val="003366"/>
          <w:sz w:val="26"/>
        </w:rPr>
        <w:t>5.2  District ICS 205A – Master Contact List Template</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1872"/>
        <w:gridCol w:w="1872"/>
        <w:gridCol w:w="1872"/>
        <w:gridCol w:w="1872"/>
        <w:gridCol w:w="1872"/>
      </w:tblGrid>
      <w:tr>
        <w:trPr/>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Name</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Callsign</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Sector</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Primary Freq</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Cell / Alt Contact</w:t>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bl>
    <w:p>
      <w:pPr>
        <w:pStyle w:val="Normal"/>
        <w:spacing w:before="0" w:after="120"/>
        <w:rPr/>
      </w:pPr>
      <w:r>
        <w:rPr/>
      </w:r>
    </w:p>
    <w:p>
      <w:pPr>
        <w:pStyle w:val="Normal"/>
        <w:spacing w:before="60" w:after="60"/>
        <w:rPr/>
      </w:pPr>
      <w:r>
        <w:rPr>
          <w:rFonts w:ascii="Arial" w:hAnsi="Arial"/>
          <w:b w:val="false"/>
          <w:color w:val="000000"/>
          <w:sz w:val="20"/>
        </w:rPr>
        <w:t>Additional rows will be appended as required. The completed 205A will be distributed to all activated operators via Winlink message at the start of each operational period and re-issued whenever substantive personnel changes occur.</w:t>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6 – Four-Hour Watch Schedule</w:t>
      </w:r>
    </w:p>
    <w:p>
      <w:pPr>
        <w:pStyle w:val="Normal"/>
        <w:spacing w:before="60" w:after="60"/>
        <w:rPr/>
      </w:pPr>
      <w:r>
        <w:rPr>
          <w:rFonts w:ascii="Arial" w:hAnsi="Arial"/>
          <w:b w:val="false"/>
          <w:color w:val="000000"/>
          <w:sz w:val="20"/>
        </w:rPr>
        <w:t>Emergency net operations will be conducted on a continuous 24-hour basis using a six-period, four-hour rotating watch schedule, modified as the situation requires. Each watch period will be staffed by a qualified NCS operator and at least one designated check-in monitor. The watch schedule is effective immediately upon activation at the WARNING alert level or higher.</w:t>
      </w:r>
    </w:p>
    <w:p>
      <w:pPr>
        <w:pStyle w:val="Heading2"/>
        <w:spacing w:before="200" w:after="100"/>
        <w:rPr/>
      </w:pPr>
      <w:r>
        <w:rPr>
          <w:rFonts w:ascii="Arial" w:hAnsi="Arial"/>
          <w:b/>
          <w:color w:val="003366"/>
          <w:sz w:val="26"/>
        </w:rPr>
        <w:t>6.1  Watch Periods</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1872"/>
        <w:gridCol w:w="1872"/>
        <w:gridCol w:w="1872"/>
        <w:gridCol w:w="1872"/>
        <w:gridCol w:w="1872"/>
      </w:tblGrid>
      <w:tr>
        <w:trPr/>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Watch</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Local (EDT)</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UTC / Zulu</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Designation</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Assigned NCS Callsign</w:t>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color w:val="000000"/>
                <w:sz w:val="18"/>
              </w:rPr>
              <w:t>Watch 1</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0001 – 0400</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0401 – 0800Z</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Night Watch</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_______________</w:t>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color w:val="000000"/>
                <w:sz w:val="18"/>
              </w:rPr>
              <w:t>Watch 2</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0400 – 0800</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0800 – 1200Z</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Early Morning Watch</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_______________</w:t>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color w:val="000000"/>
                <w:sz w:val="18"/>
              </w:rPr>
              <w:t>Watch 3</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0800 – 1200</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1200 – 1600Z</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Morning Watch</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_______________</w:t>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color w:val="000000"/>
                <w:sz w:val="18"/>
              </w:rPr>
              <w:t>Watch 4</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1200 – 1600</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1600 – 2000Z</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Afternoon Watch</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_______________</w:t>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color w:val="000000"/>
                <w:sz w:val="18"/>
              </w:rPr>
              <w:t>Watch 5</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1600 – 2000</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2000 – 0000Z</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Evening Watch</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_______________</w:t>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color w:val="000000"/>
                <w:sz w:val="18"/>
              </w:rPr>
              <w:t>Watch 6</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2000 – 0001</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0000 – 0401Z</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Late Watch</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_______________</w:t>
            </w:r>
          </w:p>
        </w:tc>
      </w:tr>
    </w:tbl>
    <w:p>
      <w:pPr>
        <w:pStyle w:val="Heading2"/>
        <w:spacing w:before="200" w:after="100"/>
        <w:rPr/>
      </w:pPr>
      <w:r>
        <w:rPr>
          <w:rFonts w:ascii="Arial" w:hAnsi="Arial"/>
          <w:b/>
          <w:color w:val="003366"/>
          <w:sz w:val="26"/>
        </w:rPr>
        <w:t>6.2  Watch Transition Procedures</w:t>
      </w:r>
    </w:p>
    <w:p>
      <w:pPr>
        <w:pStyle w:val="Normal"/>
        <w:spacing w:before="60" w:after="60"/>
        <w:rPr/>
      </w:pPr>
      <w:r>
        <w:rPr>
          <w:rFonts w:ascii="Arial" w:hAnsi="Arial"/>
          <w:b w:val="false"/>
          <w:color w:val="000000"/>
          <w:sz w:val="20"/>
        </w:rPr>
        <w:t>Watch transitions must be conducted in an orderly, structured manner to ensure continuity of net operations. The following sequence will be followed at each 4-hour transition:</w:t>
      </w:r>
    </w:p>
    <w:p>
      <w:pPr>
        <w:pStyle w:val="Normal"/>
        <w:spacing w:before="0" w:after="80"/>
        <w:rPr/>
      </w:pPr>
      <w:r>
        <w:rPr/>
      </w:r>
    </w:p>
    <w:p>
      <w:pPr>
        <w:pStyle w:val="ListNumber"/>
        <w:numPr>
          <w:ilvl w:val="0"/>
          <w:numId w:val="4"/>
        </w:numPr>
        <w:spacing w:before="40" w:after="40"/>
        <w:contextualSpacing/>
        <w:rPr/>
      </w:pPr>
      <w:r>
        <w:rPr>
          <w:rFonts w:ascii="Arial" w:hAnsi="Arial"/>
          <w:b w:val="false"/>
          <w:color w:val="000000"/>
          <w:sz w:val="20"/>
        </w:rPr>
        <w:t>Incoming NCS will be on-frequency a minimum of 15 minutes before the scheduled transition time.</w:t>
      </w:r>
    </w:p>
    <w:p>
      <w:pPr>
        <w:pStyle w:val="ListNumber"/>
        <w:numPr>
          <w:ilvl w:val="0"/>
          <w:numId w:val="4"/>
        </w:numPr>
        <w:spacing w:before="40" w:after="40"/>
        <w:contextualSpacing/>
        <w:rPr/>
      </w:pPr>
      <w:r>
        <w:rPr>
          <w:rFonts w:ascii="Arial" w:hAnsi="Arial"/>
          <w:b w:val="false"/>
          <w:color w:val="000000"/>
          <w:sz w:val="20"/>
        </w:rPr>
        <w:t>Outgoing NCS announces: "[CALLSIGN], this net is transferring to [INCOMING NCS CALLSIGN] at [TIME]. All stations stand by."</w:t>
      </w:r>
    </w:p>
    <w:p>
      <w:pPr>
        <w:pStyle w:val="ListNumber"/>
        <w:numPr>
          <w:ilvl w:val="0"/>
          <w:numId w:val="4"/>
        </w:numPr>
        <w:spacing w:before="40" w:after="40"/>
        <w:contextualSpacing/>
        <w:rPr/>
      </w:pPr>
      <w:r>
        <w:rPr>
          <w:rFonts w:ascii="Arial" w:hAnsi="Arial"/>
          <w:b w:val="false"/>
          <w:color w:val="000000"/>
          <w:sz w:val="20"/>
        </w:rPr>
        <w:t>Incoming NCS acknowledges and formally announces assumption of net control.</w:t>
      </w:r>
    </w:p>
    <w:p>
      <w:pPr>
        <w:pStyle w:val="ListNumber"/>
        <w:numPr>
          <w:ilvl w:val="0"/>
          <w:numId w:val="4"/>
        </w:numPr>
        <w:spacing w:before="40" w:after="40"/>
        <w:contextualSpacing/>
        <w:rPr/>
      </w:pPr>
      <w:r>
        <w:rPr>
          <w:rFonts w:ascii="Arial" w:hAnsi="Arial"/>
          <w:b w:val="false"/>
          <w:color w:val="000000"/>
          <w:sz w:val="20"/>
        </w:rPr>
        <w:t>Outgoing NCS transmits a watch log summary to the incoming NCS (voice or Winlink).</w:t>
      </w:r>
    </w:p>
    <w:p>
      <w:pPr>
        <w:pStyle w:val="ListNumber"/>
        <w:numPr>
          <w:ilvl w:val="0"/>
          <w:numId w:val="4"/>
        </w:numPr>
        <w:spacing w:before="40" w:after="40"/>
        <w:contextualSpacing/>
        <w:rPr/>
      </w:pPr>
      <w:r>
        <w:rPr>
          <w:rFonts w:ascii="Arial" w:hAnsi="Arial"/>
          <w:b w:val="false"/>
          <w:color w:val="000000"/>
          <w:sz w:val="20"/>
        </w:rPr>
        <w:t>All pending traffic and open action items are verbally transferred to the incoming NCS.</w:t>
      </w:r>
    </w:p>
    <w:p>
      <w:pPr>
        <w:pStyle w:val="ListNumber"/>
        <w:numPr>
          <w:ilvl w:val="0"/>
          <w:numId w:val="4"/>
        </w:numPr>
        <w:spacing w:before="40" w:after="40"/>
        <w:contextualSpacing/>
        <w:rPr/>
      </w:pPr>
      <w:r>
        <w:rPr>
          <w:rFonts w:ascii="Arial" w:hAnsi="Arial"/>
          <w:b w:val="false"/>
          <w:color w:val="000000"/>
          <w:sz w:val="20"/>
        </w:rPr>
        <w:t>Outgoing NCS completes and submits the Watch Log (see Section 7) before departing the operating position.</w:t>
      </w:r>
    </w:p>
    <w:p>
      <w:pPr>
        <w:pStyle w:val="ListNumber"/>
        <w:numPr>
          <w:ilvl w:val="0"/>
          <w:numId w:val="4"/>
        </w:numPr>
        <w:spacing w:before="40" w:after="40"/>
        <w:contextualSpacing/>
        <w:rPr/>
      </w:pPr>
      <w:r>
        <w:rPr>
          <w:rFonts w:ascii="Arial" w:hAnsi="Arial"/>
          <w:b w:val="false"/>
          <w:color w:val="000000"/>
          <w:sz w:val="20"/>
        </w:rPr>
        <w:t>Incoming NCS conducts a net roll call of all active stations within 10 minutes of assuming control.</w:t>
      </w:r>
    </w:p>
    <w:p>
      <w:pPr>
        <w:pStyle w:val="Heading2"/>
        <w:spacing w:before="200" w:after="100"/>
        <w:rPr/>
      </w:pPr>
      <w:r>
        <w:rPr>
          <w:rFonts w:ascii="Arial" w:hAnsi="Arial"/>
          <w:b/>
          <w:color w:val="003366"/>
          <w:sz w:val="26"/>
        </w:rPr>
        <w:t>6.3  Scheduled Net Check-In Times</w:t>
      </w:r>
    </w:p>
    <w:p>
      <w:pPr>
        <w:pStyle w:val="Normal"/>
        <w:spacing w:before="60" w:after="60"/>
        <w:rPr/>
      </w:pPr>
      <w:r>
        <w:rPr>
          <w:rFonts w:ascii="Arial" w:hAnsi="Arial"/>
          <w:b w:val="false"/>
          <w:color w:val="000000"/>
          <w:sz w:val="20"/>
        </w:rPr>
        <w:t>The following net activities will occur at the top of each watch period (H+0) and at the half-hour mark (H+30 minutes):</w:t>
      </w:r>
    </w:p>
    <w:p>
      <w:pPr>
        <w:pStyle w:val="ListBullet"/>
        <w:numPr>
          <w:ilvl w:val="0"/>
          <w:numId w:val="1"/>
        </w:numPr>
        <w:spacing w:before="40" w:after="40"/>
        <w:ind w:hanging="360" w:start="360"/>
        <w:contextualSpacing/>
        <w:rPr/>
      </w:pPr>
      <w:r>
        <w:rPr>
          <w:rFonts w:ascii="Arial" w:hAnsi="Arial"/>
          <w:b w:val="false"/>
          <w:color w:val="000000"/>
          <w:sz w:val="20"/>
        </w:rPr>
        <w:t>Roll call of all active Sector NCS stations</w:t>
      </w:r>
    </w:p>
    <w:p>
      <w:pPr>
        <w:pStyle w:val="ListBullet"/>
        <w:numPr>
          <w:ilvl w:val="0"/>
          <w:numId w:val="1"/>
        </w:numPr>
        <w:spacing w:before="40" w:after="40"/>
        <w:ind w:hanging="360" w:start="360"/>
        <w:contextualSpacing/>
        <w:rPr/>
      </w:pPr>
      <w:r>
        <w:rPr>
          <w:rFonts w:ascii="Arial" w:hAnsi="Arial"/>
          <w:b w:val="false"/>
          <w:color w:val="000000"/>
          <w:sz w:val="20"/>
        </w:rPr>
        <w:t>Situation report (SITREP) from each Sector NCS</w:t>
      </w:r>
    </w:p>
    <w:p>
      <w:pPr>
        <w:pStyle w:val="ListBullet"/>
        <w:numPr>
          <w:ilvl w:val="0"/>
          <w:numId w:val="1"/>
        </w:numPr>
        <w:spacing w:before="40" w:after="40"/>
        <w:ind w:hanging="360" w:start="360"/>
        <w:contextualSpacing/>
        <w:rPr/>
      </w:pPr>
      <w:r>
        <w:rPr>
          <w:rFonts w:ascii="Arial" w:hAnsi="Arial"/>
          <w:b w:val="false"/>
          <w:color w:val="000000"/>
          <w:sz w:val="20"/>
        </w:rPr>
        <w:t>Formal traffic relay as required (voice and Winlink)</w:t>
      </w:r>
    </w:p>
    <w:p>
      <w:pPr>
        <w:pStyle w:val="ListBullet"/>
        <w:numPr>
          <w:ilvl w:val="0"/>
          <w:numId w:val="1"/>
        </w:numPr>
        <w:spacing w:before="40" w:after="40"/>
        <w:ind w:hanging="360" w:start="360"/>
        <w:contextualSpacing/>
        <w:rPr/>
      </w:pPr>
      <w:r>
        <w:rPr>
          <w:rFonts w:ascii="Arial" w:hAnsi="Arial"/>
          <w:b w:val="false"/>
          <w:color w:val="000000"/>
          <w:sz w:val="20"/>
        </w:rPr>
        <w:t>Frequency and propagation assessment</w:t>
      </w:r>
    </w:p>
    <w:p>
      <w:pPr>
        <w:pStyle w:val="ListBullet"/>
        <w:numPr>
          <w:ilvl w:val="0"/>
          <w:numId w:val="1"/>
        </w:numPr>
        <w:spacing w:before="40" w:after="40"/>
        <w:ind w:hanging="360" w:start="360"/>
        <w:contextualSpacing/>
        <w:rPr/>
      </w:pPr>
      <w:r>
        <w:rPr>
          <w:rFonts w:ascii="Arial" w:hAnsi="Arial"/>
          <w:b w:val="false"/>
          <w:color w:val="000000"/>
          <w:sz w:val="20"/>
        </w:rPr>
        <w:t>Personnel status updates (any operator additions or departures)</w:t>
      </w:r>
    </w:p>
    <w:p>
      <w:pPr>
        <w:pStyle w:val="Heading2"/>
        <w:spacing w:before="200" w:after="100"/>
        <w:rPr/>
      </w:pPr>
      <w:r>
        <w:rPr>
          <w:rFonts w:ascii="Arial" w:hAnsi="Arial"/>
          <w:b/>
          <w:color w:val="003366"/>
          <w:sz w:val="26"/>
        </w:rPr>
        <w:t>6.4  Sector Watch Staffing Requirements</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2340"/>
        <w:gridCol w:w="2340"/>
        <w:gridCol w:w="2340"/>
        <w:gridCol w:w="2340"/>
      </w:tblGrid>
      <w:tr>
        <w:trPr/>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Sector</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Min. Operators</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Relief Cycle</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Staffing Notes</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Charleston</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2</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1 NCS + 1 monitor minimum</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Jacksonville</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2</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1 NCS + 1 monitor minimum</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Miami</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3</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1 NCS + 1 monitor + 1 Winlink operator</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Key West</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2</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1 NCS + 1 monitor minimum</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San Juan</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2</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1 NCS + 1 monitor minimum; DST offset apply</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St. Petersburg</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2</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1 NCS + 1 monitor minimum</w:t>
            </w:r>
          </w:p>
        </w:tc>
      </w:tr>
    </w:tbl>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7 – After Action Reports (AAR)</w:t>
      </w:r>
    </w:p>
    <w:p>
      <w:pPr>
        <w:pStyle w:val="Normal"/>
        <w:spacing w:before="60" w:after="60"/>
        <w:rPr/>
      </w:pPr>
      <w:r>
        <w:rPr>
          <w:rFonts w:ascii="Arial" w:hAnsi="Arial"/>
          <w:b w:val="false"/>
          <w:color w:val="000000"/>
          <w:sz w:val="20"/>
        </w:rPr>
        <w:t>After Action Reports are mandatory for all emergency net activations at every level. AARs are a core component of the ICS documentation cycle and are essential for improving future operations, identifying equipment deficiencies, recognizing outstanding performance, and fulfilling USCG Auxiliary administrative requirements.</w:t>
      </w:r>
    </w:p>
    <w:p>
      <w:pPr>
        <w:pStyle w:val="Heading2"/>
        <w:spacing w:before="200" w:after="100"/>
        <w:rPr/>
      </w:pPr>
      <w:r>
        <w:rPr>
          <w:rFonts w:ascii="Arial" w:hAnsi="Arial"/>
          <w:b/>
          <w:color w:val="003366"/>
          <w:sz w:val="26"/>
        </w:rPr>
        <w:t>7.1  AAR Submission Requirements</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2340"/>
        <w:gridCol w:w="2340"/>
        <w:gridCol w:w="2340"/>
        <w:gridCol w:w="2340"/>
      </w:tblGrid>
      <w:tr>
        <w:trPr/>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Report Level</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Submitted By</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Submitted To</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Due Date</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Watch-Level AAR (each 4-hr watch)</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Watch NCS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NCS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Within 2 hours of watch end</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AAR</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NCS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District NCS and DSO-CM</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Within 24 hours of sector stand-down</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District AAR</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District NCS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DSO-CM and District Commodore</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Within 72 hours of net stand-down</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Consolidated D-SE AAR</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DSO-CM</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District Commodore, National Staff (as appropriate), cognizant USCG Sector Commanders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Within 14 days of incident closure</w:t>
            </w:r>
          </w:p>
        </w:tc>
      </w:tr>
    </w:tbl>
    <w:p>
      <w:pPr>
        <w:pStyle w:val="Heading2"/>
        <w:spacing w:before="200" w:after="100"/>
        <w:rPr/>
      </w:pPr>
      <w:r>
        <w:rPr>
          <w:rFonts w:ascii="Arial" w:hAnsi="Arial"/>
          <w:b/>
          <w:color w:val="003366"/>
          <w:sz w:val="26"/>
        </w:rPr>
        <w:t>7.2  Mandatory AAR Content</w:t>
      </w:r>
    </w:p>
    <w:p>
      <w:pPr>
        <w:pStyle w:val="Normal"/>
        <w:spacing w:before="60" w:after="60"/>
        <w:rPr/>
      </w:pPr>
      <w:r>
        <w:rPr>
          <w:rFonts w:ascii="Arial" w:hAnsi="Arial"/>
          <w:b w:val="false"/>
          <w:color w:val="000000"/>
          <w:sz w:val="20"/>
        </w:rPr>
        <w:t>All AARs, regardless of level, must address the following elements:</w:t>
      </w:r>
    </w:p>
    <w:p>
      <w:pPr>
        <w:pStyle w:val="Heading3"/>
        <w:spacing w:before="140" w:after="60"/>
        <w:rPr/>
      </w:pPr>
      <w:r>
        <w:rPr>
          <w:rFonts w:ascii="Arial" w:hAnsi="Arial"/>
          <w:b/>
          <w:color w:val="2E5FA3"/>
          <w:sz w:val="22"/>
        </w:rPr>
        <w:t>7.2.1  Administrative Information</w:t>
      </w:r>
    </w:p>
    <w:p>
      <w:pPr>
        <w:pStyle w:val="ListBullet"/>
        <w:numPr>
          <w:ilvl w:val="0"/>
          <w:numId w:val="1"/>
        </w:numPr>
        <w:spacing w:before="40" w:after="40"/>
        <w:ind w:hanging="360" w:start="360"/>
        <w:contextualSpacing/>
        <w:rPr/>
      </w:pPr>
      <w:r>
        <w:rPr>
          <w:rFonts w:ascii="Arial" w:hAnsi="Arial"/>
          <w:b w:val="false"/>
          <w:color w:val="000000"/>
          <w:sz w:val="20"/>
        </w:rPr>
        <w:t>Incident name and ICS incident number</w:t>
      </w:r>
    </w:p>
    <w:p>
      <w:pPr>
        <w:pStyle w:val="ListBullet"/>
        <w:numPr>
          <w:ilvl w:val="0"/>
          <w:numId w:val="1"/>
        </w:numPr>
        <w:spacing w:before="40" w:after="40"/>
        <w:ind w:hanging="360" w:start="360"/>
        <w:contextualSpacing/>
        <w:rPr/>
      </w:pPr>
      <w:r>
        <w:rPr>
          <w:rFonts w:ascii="Arial" w:hAnsi="Arial"/>
          <w:b w:val="false"/>
          <w:color w:val="000000"/>
          <w:sz w:val="20"/>
        </w:rPr>
        <w:t>Net activation date/time and stand-down date/time</w:t>
      </w:r>
    </w:p>
    <w:p>
      <w:pPr>
        <w:pStyle w:val="ListBullet"/>
        <w:numPr>
          <w:ilvl w:val="0"/>
          <w:numId w:val="1"/>
        </w:numPr>
        <w:spacing w:before="40" w:after="40"/>
        <w:ind w:hanging="360" w:start="360"/>
        <w:contextualSpacing/>
        <w:rPr/>
      </w:pPr>
      <w:r>
        <w:rPr>
          <w:rFonts w:ascii="Arial" w:hAnsi="Arial"/>
          <w:b w:val="false"/>
          <w:color w:val="000000"/>
          <w:sz w:val="20"/>
        </w:rPr>
        <w:t>Sector(s) involved and total operator-hours expended</w:t>
      </w:r>
    </w:p>
    <w:p>
      <w:pPr>
        <w:pStyle w:val="ListBullet"/>
        <w:numPr>
          <w:ilvl w:val="0"/>
          <w:numId w:val="1"/>
        </w:numPr>
        <w:spacing w:before="40" w:after="40"/>
        <w:ind w:hanging="360" w:start="360"/>
        <w:contextualSpacing/>
        <w:rPr/>
      </w:pPr>
      <w:r>
        <w:rPr>
          <w:rFonts w:ascii="Arial" w:hAnsi="Arial"/>
          <w:b w:val="false"/>
          <w:color w:val="000000"/>
          <w:sz w:val="20"/>
        </w:rPr>
        <w:t>Names and callsigns of all participating operators</w:t>
      </w:r>
    </w:p>
    <w:p>
      <w:pPr>
        <w:pStyle w:val="Heading3"/>
        <w:spacing w:before="140" w:after="60"/>
        <w:rPr/>
      </w:pPr>
      <w:r>
        <w:rPr>
          <w:rFonts w:ascii="Arial" w:hAnsi="Arial"/>
          <w:b/>
          <w:color w:val="2E5FA3"/>
          <w:sz w:val="22"/>
        </w:rPr>
        <w:t>7.2.2  Operational Summary</w:t>
      </w:r>
    </w:p>
    <w:p>
      <w:pPr>
        <w:pStyle w:val="ListBullet"/>
        <w:numPr>
          <w:ilvl w:val="0"/>
          <w:numId w:val="1"/>
        </w:numPr>
        <w:spacing w:before="40" w:after="40"/>
        <w:ind w:hanging="360" w:start="360"/>
        <w:contextualSpacing/>
        <w:rPr/>
      </w:pPr>
      <w:r>
        <w:rPr>
          <w:rFonts w:ascii="Arial" w:hAnsi="Arial"/>
          <w:b w:val="false"/>
          <w:color w:val="000000"/>
          <w:sz w:val="20"/>
        </w:rPr>
        <w:t>Summary of net operations by watch period (traffic volume, check-in counts)</w:t>
      </w:r>
    </w:p>
    <w:p>
      <w:pPr>
        <w:pStyle w:val="ListBullet"/>
        <w:numPr>
          <w:ilvl w:val="0"/>
          <w:numId w:val="1"/>
        </w:numPr>
        <w:spacing w:before="40" w:after="40"/>
        <w:ind w:hanging="360" w:start="360"/>
        <w:contextualSpacing/>
        <w:rPr/>
      </w:pPr>
      <w:r>
        <w:rPr>
          <w:rFonts w:ascii="Arial" w:hAnsi="Arial"/>
          <w:b w:val="false"/>
          <w:color w:val="000000"/>
          <w:sz w:val="20"/>
        </w:rPr>
        <w:t>Total number of formal messages handled (voice and Winlink)</w:t>
      </w:r>
    </w:p>
    <w:p>
      <w:pPr>
        <w:pStyle w:val="ListBullet"/>
        <w:numPr>
          <w:ilvl w:val="0"/>
          <w:numId w:val="1"/>
        </w:numPr>
        <w:spacing w:before="40" w:after="40"/>
        <w:ind w:hanging="360" w:start="360"/>
        <w:contextualSpacing/>
        <w:rPr/>
      </w:pPr>
      <w:r>
        <w:rPr>
          <w:rFonts w:ascii="Arial" w:hAnsi="Arial"/>
          <w:b w:val="false"/>
          <w:color w:val="000000"/>
          <w:sz w:val="20"/>
        </w:rPr>
        <w:t>Winlink message count and delivery confirmation rate</w:t>
      </w:r>
    </w:p>
    <w:p>
      <w:pPr>
        <w:pStyle w:val="ListBullet"/>
        <w:numPr>
          <w:ilvl w:val="0"/>
          <w:numId w:val="1"/>
        </w:numPr>
        <w:spacing w:before="40" w:after="40"/>
        <w:ind w:hanging="360" w:start="360"/>
        <w:contextualSpacing/>
        <w:rPr/>
      </w:pPr>
      <w:r>
        <w:rPr>
          <w:rFonts w:ascii="Arial" w:hAnsi="Arial"/>
          <w:b w:val="false"/>
          <w:color w:val="000000"/>
          <w:sz w:val="20"/>
        </w:rPr>
        <w:t>Frequency conditions and propagation assessment by watch period</w:t>
      </w:r>
    </w:p>
    <w:p>
      <w:pPr>
        <w:pStyle w:val="ListBullet"/>
        <w:numPr>
          <w:ilvl w:val="0"/>
          <w:numId w:val="1"/>
        </w:numPr>
        <w:spacing w:before="40" w:after="40"/>
        <w:ind w:hanging="360" w:start="360"/>
        <w:contextualSpacing/>
        <w:rPr/>
      </w:pPr>
      <w:r>
        <w:rPr>
          <w:rFonts w:ascii="Arial" w:hAnsi="Arial"/>
          <w:b w:val="false"/>
          <w:color w:val="000000"/>
          <w:sz w:val="20"/>
        </w:rPr>
        <w:t>Any frequency changes made, with rationale</w:t>
      </w:r>
    </w:p>
    <w:p>
      <w:pPr>
        <w:pStyle w:val="Heading3"/>
        <w:spacing w:before="140" w:after="60"/>
        <w:rPr/>
      </w:pPr>
      <w:r>
        <w:rPr>
          <w:rFonts w:ascii="Arial" w:hAnsi="Arial"/>
          <w:b/>
          <w:color w:val="2E5FA3"/>
          <w:sz w:val="22"/>
        </w:rPr>
        <w:t>7.2.3  Sustains (What Went Well)</w:t>
      </w:r>
    </w:p>
    <w:p>
      <w:pPr>
        <w:pStyle w:val="ListBullet"/>
        <w:numPr>
          <w:ilvl w:val="0"/>
          <w:numId w:val="1"/>
        </w:numPr>
        <w:spacing w:before="40" w:after="40"/>
        <w:ind w:hanging="360" w:start="360"/>
        <w:contextualSpacing/>
        <w:rPr/>
      </w:pPr>
      <w:r>
        <w:rPr>
          <w:rFonts w:ascii="Arial" w:hAnsi="Arial"/>
          <w:b w:val="false"/>
          <w:color w:val="000000"/>
          <w:sz w:val="20"/>
        </w:rPr>
        <w:t>Equipment that performed reliably under operational conditions</w:t>
      </w:r>
    </w:p>
    <w:p>
      <w:pPr>
        <w:pStyle w:val="ListBullet"/>
        <w:numPr>
          <w:ilvl w:val="0"/>
          <w:numId w:val="1"/>
        </w:numPr>
        <w:spacing w:before="40" w:after="40"/>
        <w:ind w:hanging="360" w:start="360"/>
        <w:contextualSpacing/>
        <w:rPr/>
      </w:pPr>
      <w:r>
        <w:rPr>
          <w:rFonts w:ascii="Arial" w:hAnsi="Arial"/>
          <w:b w:val="false"/>
          <w:color w:val="000000"/>
          <w:sz w:val="20"/>
        </w:rPr>
        <w:t>Procedures that were effective and should be retained or expanded</w:t>
      </w:r>
    </w:p>
    <w:p>
      <w:pPr>
        <w:pStyle w:val="ListBullet"/>
        <w:numPr>
          <w:ilvl w:val="0"/>
          <w:numId w:val="1"/>
        </w:numPr>
        <w:spacing w:before="40" w:after="40"/>
        <w:ind w:hanging="360" w:start="360"/>
        <w:contextualSpacing/>
        <w:rPr/>
      </w:pPr>
      <w:r>
        <w:rPr>
          <w:rFonts w:ascii="Arial" w:hAnsi="Arial"/>
          <w:b w:val="false"/>
          <w:color w:val="000000"/>
          <w:sz w:val="20"/>
        </w:rPr>
        <w:t>Operators who demonstrated exceptional skill, dedication, or leadership</w:t>
      </w:r>
    </w:p>
    <w:p>
      <w:pPr>
        <w:pStyle w:val="ListBullet"/>
        <w:numPr>
          <w:ilvl w:val="0"/>
          <w:numId w:val="1"/>
        </w:numPr>
        <w:spacing w:before="40" w:after="40"/>
        <w:ind w:hanging="360" w:start="360"/>
        <w:contextualSpacing/>
        <w:rPr/>
      </w:pPr>
      <w:r>
        <w:rPr>
          <w:rFonts w:ascii="Arial" w:hAnsi="Arial"/>
          <w:b w:val="false"/>
          <w:color w:val="000000"/>
          <w:sz w:val="20"/>
        </w:rPr>
        <w:t>Coordination successes with USCG Sector watchstanders or other agencies</w:t>
      </w:r>
    </w:p>
    <w:p>
      <w:pPr>
        <w:pStyle w:val="Heading3"/>
        <w:spacing w:before="140" w:after="60"/>
        <w:rPr/>
      </w:pPr>
      <w:r>
        <w:rPr>
          <w:rFonts w:ascii="Arial" w:hAnsi="Arial"/>
          <w:b/>
          <w:color w:val="2E5FA3"/>
          <w:sz w:val="22"/>
        </w:rPr>
        <w:t>7.2.4  Improves (Areas for Improvement)</w:t>
      </w:r>
    </w:p>
    <w:p>
      <w:pPr>
        <w:pStyle w:val="ListBullet"/>
        <w:numPr>
          <w:ilvl w:val="0"/>
          <w:numId w:val="1"/>
        </w:numPr>
        <w:spacing w:before="40" w:after="40"/>
        <w:ind w:hanging="360" w:start="360"/>
        <w:contextualSpacing/>
        <w:rPr/>
      </w:pPr>
      <w:r>
        <w:rPr>
          <w:rFonts w:ascii="Arial" w:hAnsi="Arial"/>
          <w:b w:val="false"/>
          <w:color w:val="000000"/>
          <w:sz w:val="20"/>
        </w:rPr>
        <w:t>Equipment failures or deficiencies with specific details and recommended corrective action</w:t>
      </w:r>
    </w:p>
    <w:p>
      <w:pPr>
        <w:pStyle w:val="ListBullet"/>
        <w:numPr>
          <w:ilvl w:val="0"/>
          <w:numId w:val="1"/>
        </w:numPr>
        <w:spacing w:before="40" w:after="40"/>
        <w:ind w:hanging="360" w:start="360"/>
        <w:contextualSpacing/>
        <w:rPr/>
      </w:pPr>
      <w:r>
        <w:rPr>
          <w:rFonts w:ascii="Arial" w:hAnsi="Arial"/>
          <w:b w:val="false"/>
          <w:color w:val="000000"/>
          <w:sz w:val="20"/>
        </w:rPr>
        <w:t>Procedural breakdowns or gaps identified in this plan</w:t>
      </w:r>
    </w:p>
    <w:p>
      <w:pPr>
        <w:pStyle w:val="ListBullet"/>
        <w:numPr>
          <w:ilvl w:val="0"/>
          <w:numId w:val="1"/>
        </w:numPr>
        <w:spacing w:before="40" w:after="40"/>
        <w:ind w:hanging="360" w:start="360"/>
        <w:contextualSpacing/>
        <w:rPr/>
      </w:pPr>
      <w:r>
        <w:rPr>
          <w:rFonts w:ascii="Arial" w:hAnsi="Arial"/>
          <w:b w:val="false"/>
          <w:color w:val="000000"/>
          <w:sz w:val="20"/>
        </w:rPr>
        <w:t>Training needs identified during the activation</w:t>
      </w:r>
    </w:p>
    <w:p>
      <w:pPr>
        <w:pStyle w:val="ListBullet"/>
        <w:numPr>
          <w:ilvl w:val="0"/>
          <w:numId w:val="1"/>
        </w:numPr>
        <w:spacing w:before="40" w:after="40"/>
        <w:ind w:hanging="360" w:start="360"/>
        <w:contextualSpacing/>
        <w:rPr/>
      </w:pPr>
      <w:r>
        <w:rPr>
          <w:rFonts w:ascii="Arial" w:hAnsi="Arial"/>
          <w:b w:val="false"/>
          <w:color w:val="000000"/>
          <w:sz w:val="20"/>
        </w:rPr>
        <w:t>Staffing shortfalls and watch coverage challenges</w:t>
      </w:r>
    </w:p>
    <w:p>
      <w:pPr>
        <w:pStyle w:val="ListBullet"/>
        <w:numPr>
          <w:ilvl w:val="0"/>
          <w:numId w:val="1"/>
        </w:numPr>
        <w:spacing w:before="40" w:after="40"/>
        <w:ind w:hanging="360" w:start="360"/>
        <w:contextualSpacing/>
        <w:rPr/>
      </w:pPr>
      <w:r>
        <w:rPr>
          <w:rFonts w:ascii="Arial" w:hAnsi="Arial"/>
          <w:b w:val="false"/>
          <w:color w:val="000000"/>
          <w:sz w:val="20"/>
        </w:rPr>
        <w:t>Frequency or propagation issues not adequately addressed by the current frequency plan</w:t>
      </w:r>
    </w:p>
    <w:p>
      <w:pPr>
        <w:pStyle w:val="Heading3"/>
        <w:spacing w:before="140" w:after="60"/>
        <w:rPr/>
      </w:pPr>
      <w:r>
        <w:rPr>
          <w:rFonts w:ascii="Arial" w:hAnsi="Arial"/>
          <w:b/>
          <w:color w:val="2E5FA3"/>
          <w:sz w:val="22"/>
        </w:rPr>
        <w:t>7.2.5  Recommendations</w:t>
      </w:r>
    </w:p>
    <w:p>
      <w:pPr>
        <w:pStyle w:val="ListBullet"/>
        <w:numPr>
          <w:ilvl w:val="0"/>
          <w:numId w:val="1"/>
        </w:numPr>
        <w:spacing w:before="40" w:after="40"/>
        <w:ind w:hanging="360" w:start="360"/>
        <w:contextualSpacing/>
        <w:rPr/>
      </w:pPr>
      <w:r>
        <w:rPr>
          <w:rFonts w:ascii="Arial" w:hAnsi="Arial"/>
          <w:b w:val="false"/>
          <w:color w:val="000000"/>
          <w:sz w:val="20"/>
        </w:rPr>
        <w:t>Specific, actionable recommendations for revision of this plan</w:t>
      </w:r>
    </w:p>
    <w:p>
      <w:pPr>
        <w:pStyle w:val="ListBullet"/>
        <w:numPr>
          <w:ilvl w:val="0"/>
          <w:numId w:val="1"/>
        </w:numPr>
        <w:spacing w:before="40" w:after="40"/>
        <w:ind w:hanging="360" w:start="360"/>
        <w:contextualSpacing/>
        <w:rPr/>
      </w:pPr>
      <w:r>
        <w:rPr>
          <w:rFonts w:ascii="Arial" w:hAnsi="Arial"/>
          <w:b w:val="false"/>
          <w:color w:val="000000"/>
          <w:sz w:val="20"/>
        </w:rPr>
        <w:t>Equipment acquisition or replacement recommendations with justification</w:t>
      </w:r>
    </w:p>
    <w:p>
      <w:pPr>
        <w:pStyle w:val="ListBullet"/>
        <w:numPr>
          <w:ilvl w:val="0"/>
          <w:numId w:val="1"/>
        </w:numPr>
        <w:spacing w:before="40" w:after="40"/>
        <w:ind w:hanging="360" w:start="360"/>
        <w:contextualSpacing/>
        <w:rPr/>
      </w:pPr>
      <w:r>
        <w:rPr>
          <w:rFonts w:ascii="Arial" w:hAnsi="Arial"/>
          <w:b w:val="false"/>
          <w:color w:val="000000"/>
          <w:sz w:val="20"/>
        </w:rPr>
        <w:t>Training recommendations with suggested courses, dates, and target audience</w:t>
      </w:r>
    </w:p>
    <w:p>
      <w:pPr>
        <w:pStyle w:val="ListBullet"/>
        <w:numPr>
          <w:ilvl w:val="0"/>
          <w:numId w:val="1"/>
        </w:numPr>
        <w:spacing w:before="40" w:after="40"/>
        <w:ind w:hanging="360" w:start="360"/>
        <w:contextualSpacing/>
        <w:rPr/>
      </w:pPr>
      <w:r>
        <w:rPr>
          <w:rFonts w:ascii="Arial" w:hAnsi="Arial"/>
          <w:b w:val="false"/>
          <w:color w:val="000000"/>
          <w:sz w:val="20"/>
        </w:rPr>
        <w:t>Staffing or scheduling recommendations for future activations</w:t>
      </w:r>
    </w:p>
    <w:p>
      <w:pPr>
        <w:pStyle w:val="Heading2"/>
        <w:spacing w:before="200" w:after="100"/>
        <w:rPr/>
      </w:pPr>
      <w:r>
        <w:rPr>
          <w:rFonts w:ascii="Arial" w:hAnsi="Arial"/>
          <w:b/>
          <w:color w:val="003366"/>
          <w:sz w:val="26"/>
        </w:rPr>
        <w:t>7.3  AAR Submission and Routing</w:t>
      </w:r>
    </w:p>
    <w:p>
      <w:pPr>
        <w:pStyle w:val="Normal"/>
        <w:spacing w:before="60" w:after="60"/>
        <w:rPr/>
      </w:pPr>
      <w:r>
        <w:rPr>
          <w:rFonts w:ascii="Arial" w:hAnsi="Arial"/>
          <w:b w:val="false"/>
          <w:color w:val="000000"/>
          <w:sz w:val="20"/>
        </w:rPr>
        <w:t>All AARs will be submitted electronically via Winlink or email using the following routing:</w:t>
      </w:r>
    </w:p>
    <w:p>
      <w:pPr>
        <w:pStyle w:val="ListBullet"/>
        <w:numPr>
          <w:ilvl w:val="0"/>
          <w:numId w:val="1"/>
        </w:numPr>
        <w:spacing w:before="40" w:after="40"/>
        <w:ind w:hanging="360" w:start="360"/>
        <w:contextualSpacing/>
        <w:rPr/>
      </w:pPr>
      <w:r>
        <w:rPr>
          <w:rFonts w:ascii="Arial" w:hAnsi="Arial"/>
          <w:b w:val="false"/>
          <w:color w:val="000000"/>
          <w:sz w:val="20"/>
        </w:rPr>
        <w:t>Watch AAR: Watch NCS to Sector NCS – within 2 hours of watch end</w:t>
      </w:r>
    </w:p>
    <w:p>
      <w:pPr>
        <w:pStyle w:val="ListBullet"/>
        <w:numPr>
          <w:ilvl w:val="0"/>
          <w:numId w:val="1"/>
        </w:numPr>
        <w:spacing w:before="40" w:after="40"/>
        <w:ind w:hanging="360" w:start="360"/>
        <w:contextualSpacing/>
        <w:rPr/>
      </w:pPr>
      <w:r>
        <w:rPr>
          <w:rFonts w:ascii="Arial" w:hAnsi="Arial"/>
          <w:b w:val="false"/>
          <w:color w:val="000000"/>
          <w:sz w:val="20"/>
        </w:rPr>
        <w:t>Sector AAR: Sector NCS to District NCS and DSO-CM – within 24 hours of sector stand-down</w:t>
      </w:r>
    </w:p>
    <w:p>
      <w:pPr>
        <w:pStyle w:val="ListBullet"/>
        <w:numPr>
          <w:ilvl w:val="0"/>
          <w:numId w:val="1"/>
        </w:numPr>
        <w:spacing w:before="40" w:after="40"/>
        <w:ind w:hanging="360" w:start="360"/>
        <w:contextualSpacing/>
        <w:rPr/>
      </w:pPr>
      <w:r>
        <w:rPr>
          <w:rFonts w:ascii="Arial" w:hAnsi="Arial"/>
          <w:b w:val="false"/>
          <w:color w:val="000000"/>
          <w:sz w:val="20"/>
        </w:rPr>
        <w:t>District AAR: District NCS to DSO-CM and District Commodore – within 72 hours of net stand-down</w:t>
      </w:r>
    </w:p>
    <w:p>
      <w:pPr>
        <w:pStyle w:val="ListBullet"/>
        <w:numPr>
          <w:ilvl w:val="0"/>
          <w:numId w:val="1"/>
        </w:numPr>
        <w:spacing w:before="40" w:after="40"/>
        <w:ind w:hanging="360" w:start="360"/>
        <w:contextualSpacing/>
        <w:rPr/>
      </w:pPr>
      <w:r>
        <w:rPr>
          <w:rFonts w:ascii="Arial" w:hAnsi="Arial"/>
          <w:b w:val="false"/>
          <w:color w:val="000000"/>
          <w:sz w:val="20"/>
        </w:rPr>
        <w:t>Consolidated AAR: DSO-CM to District Commodore, National Staff (as appropriate), and USCG Sector Commanders – within 14 days of incident closure</w:t>
      </w:r>
    </w:p>
    <w:p>
      <w:pPr>
        <w:pStyle w:val="Normal"/>
        <w:spacing w:before="0" w:after="80"/>
        <w:rPr/>
      </w:pPr>
      <w:r>
        <w:rPr/>
      </w:r>
    </w:p>
    <w:p>
      <w:pPr>
        <w:pStyle w:val="Normal"/>
        <w:spacing w:before="60" w:after="60"/>
        <w:rPr/>
      </w:pPr>
      <w:r>
        <w:rPr>
          <w:rFonts w:ascii="Arial" w:hAnsi="Arial"/>
          <w:b w:val="false"/>
          <w:color w:val="000000"/>
          <w:sz w:val="20"/>
        </w:rPr>
        <w:t>Hard copies of all AARs will be retained in the D-SE Communications Office for a minimum of three (3) years. Digital copies will be archived in the D-SE document management system.</w:t>
      </w:r>
    </w:p>
    <w:p>
      <w:pPr>
        <w:pStyle w:val="Heading2"/>
        <w:spacing w:before="200" w:after="100"/>
        <w:rPr/>
      </w:pPr>
      <w:r>
        <w:rPr>
          <w:rFonts w:ascii="Arial" w:hAnsi="Arial"/>
          <w:b/>
          <w:color w:val="003366"/>
          <w:sz w:val="26"/>
        </w:rPr>
        <w:t>7.4  AAR Review and Plan Update Process</w:t>
      </w:r>
    </w:p>
    <w:p>
      <w:pPr>
        <w:pStyle w:val="Normal"/>
        <w:spacing w:before="60" w:after="60"/>
        <w:rPr/>
      </w:pPr>
      <w:r>
        <w:rPr>
          <w:rFonts w:ascii="Arial" w:hAnsi="Arial"/>
          <w:b w:val="false"/>
          <w:color w:val="000000"/>
          <w:sz w:val="20"/>
        </w:rPr>
        <w:t>The DSO-CM will convene an AAR review meeting within 30 days of incident closure. This plan will be updated as necessary based on AAR findings, with revisions tracked and all operators notified of changes no later than April 15th prior to the next hurricane season.</w:t>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8 – Equipment and Training Requirements</w:t>
      </w:r>
    </w:p>
    <w:p>
      <w:pPr>
        <w:pStyle w:val="Heading2"/>
        <w:spacing w:before="200" w:after="100"/>
        <w:rPr/>
      </w:pPr>
      <w:r>
        <w:rPr>
          <w:rFonts w:ascii="Arial" w:hAnsi="Arial"/>
          <w:b/>
          <w:color w:val="003366"/>
          <w:sz w:val="26"/>
        </w:rPr>
        <w:t>8.1  Minimum Equipment Standards</w:t>
      </w:r>
    </w:p>
    <w:p>
      <w:pPr>
        <w:pStyle w:val="Normal"/>
        <w:spacing w:before="60" w:after="60"/>
        <w:rPr/>
      </w:pPr>
      <w:r>
        <w:rPr>
          <w:rFonts w:ascii="Arial" w:hAnsi="Arial"/>
          <w:b w:val="false"/>
          <w:color w:val="000000"/>
          <w:sz w:val="20"/>
        </w:rPr>
        <w:t>All operators designated as NCS or Alt-NCS must have the following equipment operational and tested prior to activation:</w:t>
      </w:r>
    </w:p>
    <w:p>
      <w:pPr>
        <w:pStyle w:val="ListBullet"/>
        <w:numPr>
          <w:ilvl w:val="0"/>
          <w:numId w:val="1"/>
        </w:numPr>
        <w:spacing w:before="40" w:after="40"/>
        <w:ind w:hanging="360" w:start="360"/>
        <w:contextualSpacing/>
        <w:rPr>
          <w:rFonts w:ascii="Arial" w:hAnsi="Arial"/>
          <w:b w:val="false"/>
          <w:color w:val="000000"/>
          <w:sz w:val="20"/>
        </w:rPr>
      </w:pPr>
      <w:r>
        <w:rPr>
          <w:rFonts w:ascii="Arial" w:hAnsi="Arial"/>
          <w:b w:val="false"/>
          <w:color w:val="000000"/>
          <w:sz w:val="20"/>
        </w:rPr>
        <w:t>HF transceiver capable of USB operations on all assigned frequencies</w:t>
      </w:r>
    </w:p>
    <w:p>
      <w:pPr>
        <w:pStyle w:val="ListBullet"/>
        <w:numPr>
          <w:ilvl w:val="0"/>
          <w:numId w:val="1"/>
        </w:numPr>
        <w:spacing w:before="40" w:after="40"/>
        <w:ind w:hanging="360" w:start="360"/>
        <w:contextualSpacing/>
        <w:rPr>
          <w:rFonts w:ascii="Arial" w:hAnsi="Arial"/>
          <w:b w:val="false"/>
          <w:color w:val="000000"/>
          <w:sz w:val="20"/>
        </w:rPr>
      </w:pPr>
      <w:r>
        <w:rPr>
          <w:rFonts w:ascii="Arial" w:hAnsi="Arial"/>
          <w:b w:val="false"/>
          <w:color w:val="000000"/>
          <w:sz w:val="20"/>
        </w:rPr>
        <w:t>VHF marine transceiver with vertical antenna</w:t>
      </w:r>
    </w:p>
    <w:p>
      <w:pPr>
        <w:pStyle w:val="ListBullet"/>
        <w:numPr>
          <w:ilvl w:val="0"/>
          <w:numId w:val="1"/>
        </w:numPr>
        <w:spacing w:before="40" w:after="40"/>
        <w:ind w:hanging="360" w:start="360"/>
        <w:contextualSpacing/>
        <w:rPr/>
      </w:pPr>
      <w:r>
        <w:rPr>
          <w:rFonts w:ascii="Arial" w:hAnsi="Arial"/>
          <w:b w:val="false"/>
          <w:color w:val="000000"/>
          <w:sz w:val="20"/>
        </w:rPr>
        <w:t>External antenna suitable for the assigned frequency range and local propagation conditions</w:t>
      </w:r>
    </w:p>
    <w:p>
      <w:pPr>
        <w:pStyle w:val="ListBullet"/>
        <w:numPr>
          <w:ilvl w:val="0"/>
          <w:numId w:val="1"/>
        </w:numPr>
        <w:spacing w:before="40" w:after="40"/>
        <w:ind w:hanging="360" w:start="360"/>
        <w:contextualSpacing/>
        <w:rPr/>
      </w:pPr>
      <w:r>
        <w:rPr>
          <w:rFonts w:ascii="Arial" w:hAnsi="Arial"/>
          <w:b w:val="false"/>
          <w:color w:val="000000"/>
          <w:sz w:val="20"/>
        </w:rPr>
        <w:t>Primary power and backup power supply with minimum 4-hour independent operation capability</w:t>
      </w:r>
    </w:p>
    <w:p>
      <w:pPr>
        <w:pStyle w:val="ListBullet"/>
        <w:numPr>
          <w:ilvl w:val="0"/>
          <w:numId w:val="1"/>
        </w:numPr>
        <w:spacing w:before="40" w:after="40"/>
        <w:ind w:hanging="360" w:start="360"/>
        <w:contextualSpacing/>
        <w:rPr/>
      </w:pPr>
      <w:r>
        <w:rPr>
          <w:rFonts w:ascii="Arial" w:hAnsi="Arial"/>
          <w:b w:val="false"/>
          <w:color w:val="000000"/>
          <w:sz w:val="20"/>
        </w:rPr>
        <w:t>Winlink-capable computer with VARA HF software modem installed and tested</w:t>
      </w:r>
    </w:p>
    <w:p>
      <w:pPr>
        <w:pStyle w:val="ListBullet"/>
        <w:numPr>
          <w:ilvl w:val="0"/>
          <w:numId w:val="1"/>
        </w:numPr>
        <w:spacing w:before="40" w:after="40"/>
        <w:ind w:hanging="360" w:start="360"/>
        <w:contextualSpacing/>
        <w:rPr/>
      </w:pPr>
      <w:r>
        <w:rPr>
          <w:rFonts w:ascii="Arial" w:hAnsi="Arial"/>
          <w:b w:val="false"/>
          <w:color w:val="000000"/>
          <w:sz w:val="20"/>
        </w:rPr>
        <w:t>Printed copies of this plan, ICS 205, and ICS 205A at the operating position</w:t>
      </w:r>
    </w:p>
    <w:p>
      <w:pPr>
        <w:pStyle w:val="ListBullet"/>
        <w:numPr>
          <w:ilvl w:val="0"/>
          <w:numId w:val="1"/>
        </w:numPr>
        <w:spacing w:before="40" w:after="40"/>
        <w:ind w:hanging="360" w:start="360"/>
        <w:contextualSpacing/>
        <w:rPr/>
      </w:pPr>
      <w:r>
        <w:rPr>
          <w:rFonts w:ascii="Arial" w:hAnsi="Arial"/>
          <w:b w:val="false"/>
          <w:color w:val="000000"/>
          <w:sz w:val="20"/>
        </w:rPr>
        <w:t>Reliable timekeeping device synchronized to UTC prior to net activation</w:t>
      </w:r>
    </w:p>
    <w:p>
      <w:pPr>
        <w:pStyle w:val="ListBullet"/>
        <w:numPr>
          <w:ilvl w:val="0"/>
          <w:numId w:val="1"/>
        </w:numPr>
        <w:spacing w:before="40" w:after="40"/>
        <w:ind w:hanging="360" w:start="360"/>
        <w:contextualSpacing/>
        <w:rPr/>
      </w:pPr>
      <w:r>
        <w:rPr>
          <w:rFonts w:ascii="Arial" w:hAnsi="Arial"/>
          <w:b w:val="false"/>
          <w:color w:val="000000"/>
          <w:sz w:val="20"/>
        </w:rPr>
        <w:t>Logbook and writing materials for manual net logging</w:t>
      </w:r>
    </w:p>
    <w:p>
      <w:pPr>
        <w:pStyle w:val="Heading2"/>
        <w:spacing w:before="200" w:after="100"/>
        <w:rPr/>
      </w:pPr>
      <w:r>
        <w:rPr>
          <w:rFonts w:ascii="Arial" w:hAnsi="Arial"/>
          <w:b/>
          <w:color w:val="003366"/>
          <w:sz w:val="26"/>
        </w:rPr>
        <w:t>8.2  Training Requirements</w:t>
      </w:r>
    </w:p>
    <w:p>
      <w:pPr>
        <w:pStyle w:val="Normal"/>
        <w:spacing w:before="60" w:after="60"/>
        <w:rPr/>
      </w:pPr>
      <w:r>
        <w:rPr>
          <w:rFonts w:ascii="Arial" w:hAnsi="Arial"/>
          <w:b w:val="false"/>
          <w:color w:val="000000"/>
          <w:sz w:val="20"/>
        </w:rPr>
        <w:t>All personnel assigned NCS or Alt-NCS duties must have completed the following prior to assignment:</w:t>
      </w:r>
    </w:p>
    <w:p>
      <w:pPr>
        <w:pStyle w:val="ListBullet"/>
        <w:numPr>
          <w:ilvl w:val="0"/>
          <w:numId w:val="1"/>
        </w:numPr>
        <w:spacing w:before="40" w:after="40"/>
        <w:ind w:hanging="360" w:start="360"/>
        <w:contextualSpacing/>
        <w:rPr/>
      </w:pPr>
      <w:r>
        <w:rPr>
          <w:rFonts w:ascii="Arial" w:hAnsi="Arial"/>
          <w:b w:val="false"/>
          <w:color w:val="000000"/>
          <w:sz w:val="20"/>
        </w:rPr>
        <w:t>ICS-100 (Introduction to ICS), ICS-200 (Basic ICS), and IS-700 (NIMS)</w:t>
      </w:r>
    </w:p>
    <w:p>
      <w:pPr>
        <w:pStyle w:val="ListBullet"/>
        <w:numPr>
          <w:ilvl w:val="0"/>
          <w:numId w:val="1"/>
        </w:numPr>
        <w:spacing w:before="40" w:after="40"/>
        <w:ind w:hanging="360" w:start="360"/>
        <w:contextualSpacing/>
        <w:rPr/>
      </w:pPr>
      <w:r>
        <w:rPr>
          <w:rFonts w:ascii="Arial" w:hAnsi="Arial"/>
          <w:b w:val="false"/>
          <w:color w:val="000000"/>
          <w:sz w:val="20"/>
        </w:rPr>
        <w:t>Current USCG Auxiliary TeleCommunications Operator (TCO) qualification</w:t>
      </w:r>
    </w:p>
    <w:p>
      <w:pPr>
        <w:pStyle w:val="ListBullet"/>
        <w:numPr>
          <w:ilvl w:val="0"/>
          <w:numId w:val="1"/>
        </w:numPr>
        <w:spacing w:before="40" w:after="40"/>
        <w:ind w:hanging="360" w:start="360"/>
        <w:contextualSpacing/>
        <w:rPr/>
      </w:pPr>
      <w:r>
        <w:rPr>
          <w:rFonts w:ascii="Arial" w:hAnsi="Arial"/>
          <w:b w:val="false"/>
          <w:color w:val="000000"/>
          <w:sz w:val="20"/>
        </w:rPr>
        <w:t>Winlink/Winlink Express training with demonstrated proficiency in message composition and relay</w:t>
      </w:r>
    </w:p>
    <w:p>
      <w:pPr>
        <w:pStyle w:val="ListBullet"/>
        <w:numPr>
          <w:ilvl w:val="0"/>
          <w:numId w:val="1"/>
        </w:numPr>
        <w:spacing w:before="40" w:after="40"/>
        <w:ind w:hanging="360" w:start="360"/>
        <w:contextualSpacing/>
        <w:rPr/>
      </w:pPr>
      <w:r>
        <w:rPr>
          <w:rFonts w:ascii="Arial" w:hAnsi="Arial"/>
          <w:b w:val="false"/>
          <w:color w:val="000000"/>
          <w:sz w:val="20"/>
        </w:rPr>
        <w:t>Annual participation in at least two (2) D-SE practice nets prior to hurricane season activation</w:t>
      </w:r>
    </w:p>
    <w:p>
      <w:pPr>
        <w:pStyle w:val="ListBullet"/>
        <w:numPr>
          <w:ilvl w:val="0"/>
          <w:numId w:val="1"/>
        </w:numPr>
        <w:spacing w:before="40" w:after="40"/>
        <w:ind w:hanging="360" w:start="360"/>
        <w:contextualSpacing/>
        <w:rPr/>
      </w:pPr>
      <w:r>
        <w:rPr>
          <w:rFonts w:ascii="Arial" w:hAnsi="Arial"/>
          <w:b w:val="false"/>
          <w:color w:val="000000"/>
          <w:sz w:val="20"/>
        </w:rPr>
        <w:t>Review of this plan and any updates issued since the prior season – documented by supervisor sign-off</w:t>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9 – Plan Maintenance and Distribution</w:t>
      </w:r>
    </w:p>
    <w:p>
      <w:pPr>
        <w:pStyle w:val="Heading2"/>
        <w:spacing w:before="200" w:after="100"/>
        <w:rPr/>
      </w:pPr>
      <w:r>
        <w:rPr>
          <w:rFonts w:ascii="Arial" w:hAnsi="Arial"/>
          <w:b/>
          <w:color w:val="003366"/>
          <w:sz w:val="26"/>
        </w:rPr>
        <w:t>9.1  Review Cycle</w:t>
      </w:r>
    </w:p>
    <w:p>
      <w:pPr>
        <w:pStyle w:val="ListBullet"/>
        <w:numPr>
          <w:ilvl w:val="0"/>
          <w:numId w:val="1"/>
        </w:numPr>
        <w:spacing w:before="40" w:after="40"/>
        <w:ind w:hanging="360" w:start="360"/>
        <w:contextualSpacing/>
        <w:rPr/>
      </w:pPr>
      <w:r>
        <w:rPr>
          <w:rFonts w:ascii="Arial" w:hAnsi="Arial"/>
          <w:b w:val="false"/>
          <w:color w:val="000000"/>
          <w:sz w:val="20"/>
        </w:rPr>
        <w:t>This plan will be reviewed and updated annually no later than April 15th of each year</w:t>
      </w:r>
    </w:p>
    <w:p>
      <w:pPr>
        <w:pStyle w:val="ListBullet"/>
        <w:numPr>
          <w:ilvl w:val="0"/>
          <w:numId w:val="1"/>
        </w:numPr>
        <w:spacing w:before="40" w:after="40"/>
        <w:ind w:hanging="360" w:start="360"/>
        <w:contextualSpacing/>
        <w:rPr/>
      </w:pPr>
      <w:r>
        <w:rPr>
          <w:rFonts w:ascii="Arial" w:hAnsi="Arial"/>
          <w:b w:val="false"/>
          <w:color w:val="000000"/>
          <w:sz w:val="20"/>
        </w:rPr>
        <w:t>Emergency revisions may be issued at any time by the DSO-CM with immediate effect</w:t>
      </w:r>
    </w:p>
    <w:p>
      <w:pPr>
        <w:pStyle w:val="ListBullet"/>
        <w:numPr>
          <w:ilvl w:val="0"/>
          <w:numId w:val="1"/>
        </w:numPr>
        <w:spacing w:before="40" w:after="40"/>
        <w:ind w:hanging="360" w:start="360"/>
        <w:contextualSpacing/>
        <w:rPr/>
      </w:pPr>
      <w:r>
        <w:rPr>
          <w:rFonts w:ascii="Arial" w:hAnsi="Arial"/>
          <w:b w:val="false"/>
          <w:color w:val="000000"/>
          <w:sz w:val="20"/>
        </w:rPr>
        <w:t>All holders of this plan will be notified of revisions via Winlink distribution list and email</w:t>
      </w:r>
    </w:p>
    <w:p>
      <w:pPr>
        <w:pStyle w:val="ListBullet"/>
        <w:numPr>
          <w:ilvl w:val="0"/>
          <w:numId w:val="1"/>
        </w:numPr>
        <w:spacing w:before="40" w:after="40"/>
        <w:ind w:hanging="360" w:start="360"/>
        <w:contextualSpacing/>
        <w:rPr/>
      </w:pPr>
      <w:r>
        <w:rPr>
          <w:rFonts w:ascii="Arial" w:hAnsi="Arial"/>
          <w:b w:val="false"/>
          <w:color w:val="000000"/>
          <w:sz w:val="20"/>
        </w:rPr>
        <w:t>Superseded versions will be archived and clearly marked SUPERSEDED</w:t>
      </w:r>
    </w:p>
    <w:p>
      <w:pPr>
        <w:pStyle w:val="Heading2"/>
        <w:spacing w:before="200" w:after="100"/>
        <w:rPr/>
      </w:pPr>
      <w:r>
        <w:rPr>
          <w:rFonts w:ascii="Arial" w:hAnsi="Arial"/>
          <w:b/>
          <w:color w:val="003366"/>
          <w:sz w:val="26"/>
        </w:rPr>
        <w:t>9.2  Distribution List</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3120"/>
        <w:gridCol w:w="3120"/>
        <w:gridCol w:w="3120"/>
      </w:tblGrid>
      <w:tr>
        <w:trPr/>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Position / Role</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Copy Format</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Distribution Method</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D-SE District Commodore</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Electronic + Printed</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Email / Hand delivery</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rFonts w:ascii="Arial" w:hAnsi="Arial"/>
                <w:b w:val="false"/>
                <w:bCs w:val="false"/>
                <w:color w:val="000000"/>
                <w:sz w:val="18"/>
              </w:rPr>
            </w:pPr>
            <w:r>
              <w:rPr>
                <w:rFonts w:ascii="Arial" w:hAnsi="Arial"/>
                <w:b w:val="false"/>
                <w:bCs w:val="false"/>
                <w:color w:val="000000"/>
                <w:sz w:val="18"/>
              </w:rPr>
              <w:t>DDC-R (District Directorate Chief – Response)</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Electronic + Printed</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Email / Hand delivery</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DSO-CM (Master Copy Custodian)</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Electronic + Printed</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Master retained in D-SE Comm Office</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District NCS / Alt-NCS</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Electronic + Printed</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Email + Winlink</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All Sector NCS / Alt-NCS (6 Sectors)</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Electronic + Printed</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Email + Winlink</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USCG Sector Commanders (liaison copy)</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Electronic</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Email via Sector Auxiliary Coordinator</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All Activated Operators (at activation)</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Electronic</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Winlink broadcast at net activation</w:t>
            </w:r>
          </w:p>
        </w:tc>
      </w:tr>
    </w:tbl>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10 – Approvals and Signatures</w:t>
      </w:r>
    </w:p>
    <w:p>
      <w:pPr>
        <w:pStyle w:val="Normal"/>
        <w:spacing w:before="0" w:after="16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2340"/>
        <w:gridCol w:w="2340"/>
        <w:gridCol w:w="2340"/>
        <w:gridCol w:w="2340"/>
      </w:tblGrid>
      <w:tr>
        <w:trPr/>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Position</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Printed Name</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Signature</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Date</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D-SE District Commodore</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D-SE Deputy District Commodore</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b w:val="false"/>
                <w:bCs w:val="false"/>
              </w:rPr>
            </w:pPr>
            <w:r>
              <w:rPr>
                <w:rFonts w:ascii="Arial" w:hAnsi="Arial"/>
                <w:b w:val="false"/>
                <w:bCs w:val="false"/>
                <w:color w:val="000000"/>
                <w:sz w:val="18"/>
              </w:rPr>
              <w:t>DDC-R</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District Staff Officer – Communications (DSO-CM)</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District Emergency Manager</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Network Controller (NCS)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Alternate Network Controller (Alt-NCS)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w:t>
            </w:r>
          </w:p>
        </w:tc>
      </w:tr>
    </w:tbl>
    <w:p>
      <w:pPr>
        <w:pStyle w:val="Normal"/>
        <w:spacing w:before="0" w:after="400"/>
        <w:rPr/>
      </w:pPr>
      <w:r>
        <w:rPr/>
      </w:r>
    </w:p>
    <w:p>
      <w:pPr>
        <w:pStyle w:val="Normal"/>
        <w:pBdr>
          <w:bottom w:val="single" w:sz="6" w:space="1" w:color="C49A00"/>
        </w:pBdr>
        <w:spacing w:before="320" w:after="200"/>
        <w:jc w:val="center"/>
        <w:rPr/>
      </w:pPr>
      <w:r>
        <w:rPr>
          <w:rFonts w:ascii="Arial" w:hAnsi="Arial"/>
          <w:b/>
          <w:color w:val="003366"/>
          <w:sz w:val="22"/>
        </w:rPr>
        <w:t xml:space="preserve">— </w:t>
      </w:r>
      <w:r>
        <w:rPr>
          <w:rFonts w:ascii="Arial" w:hAnsi="Arial"/>
          <w:b/>
          <w:color w:val="003366"/>
          <w:sz w:val="22"/>
        </w:rPr>
        <w:t>END OF PLAN —</w:t>
      </w:r>
    </w:p>
    <w:p>
      <w:pPr>
        <w:pStyle w:val="Normal"/>
        <w:spacing w:before="0" w:after="160"/>
        <w:rPr/>
      </w:pPr>
      <w:r>
        <w:rPr/>
      </w:r>
    </w:p>
    <w:p>
      <w:pPr>
        <w:pStyle w:val="Normal"/>
        <w:jc w:val="center"/>
        <w:rPr/>
      </w:pPr>
      <w:r>
        <w:rPr>
          <w:rFonts w:ascii="Arial" w:hAnsi="Arial"/>
          <w:b w:val="false"/>
          <w:color w:val="888888"/>
          <w:sz w:val="16"/>
        </w:rPr>
        <w:t>USCG Auxiliary District Southeast  |  Hurricane Emergency Communications Plan  |  Rev. 1.0  |  UNCLASSIFIED</w:t>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11 – Glossary of Abbreviations</w:t>
      </w:r>
    </w:p>
    <w:p>
      <w:pPr>
        <w:pStyle w:val="Normal"/>
        <w:spacing w:before="60" w:after="60"/>
        <w:rPr/>
      </w:pPr>
      <w:r>
        <w:rPr>
          <w:rFonts w:ascii="Arial" w:hAnsi="Arial"/>
          <w:b w:val="false"/>
          <w:color w:val="000000"/>
          <w:sz w:val="20"/>
        </w:rPr>
        <w:t>The following abbreviations and acronyms are used throughout this Emergency Communications Plan.</w:t>
      </w:r>
    </w:p>
    <w:p>
      <w:pPr>
        <w:pStyle w:val="Normal"/>
        <w:rPr/>
      </w:pPr>
      <w:r>
        <w:rPr/>
      </w:r>
    </w:p>
    <w:p>
      <w:pPr>
        <w:pStyle w:val="Normal"/>
        <w:spacing w:before="60" w:after="60"/>
        <w:ind w:start="360"/>
        <w:rPr/>
      </w:pPr>
      <w:r>
        <w:rPr>
          <w:rFonts w:ascii="Arial" w:hAnsi="Arial"/>
          <w:b/>
          <w:color w:val="003366"/>
          <w:sz w:val="20"/>
        </w:rPr>
        <w:t>AAR</w:t>
      </w:r>
      <w:r>
        <w:rPr>
          <w:rFonts w:ascii="Arial" w:hAnsi="Arial"/>
          <w:b w:val="false"/>
          <w:color w:val="000000"/>
          <w:sz w:val="20"/>
        </w:rPr>
        <w:t xml:space="preserve">  —  After Action Report</w:t>
      </w:r>
    </w:p>
    <w:p>
      <w:pPr>
        <w:pStyle w:val="Normal"/>
        <w:spacing w:before="60" w:after="60"/>
        <w:ind w:start="360"/>
        <w:rPr/>
      </w:pPr>
      <w:r>
        <w:rPr>
          <w:rFonts w:ascii="Arial" w:hAnsi="Arial"/>
          <w:b/>
          <w:color w:val="003366"/>
          <w:sz w:val="20"/>
        </w:rPr>
        <w:t>Alt-NCS</w:t>
      </w:r>
      <w:r>
        <w:rPr>
          <w:rFonts w:ascii="Arial" w:hAnsi="Arial"/>
          <w:b w:val="false"/>
          <w:color w:val="000000"/>
          <w:sz w:val="20"/>
        </w:rPr>
        <w:t xml:space="preserve">  —  Alternate Network Control Station</w:t>
      </w:r>
    </w:p>
    <w:p>
      <w:pPr>
        <w:pStyle w:val="Normal"/>
        <w:spacing w:before="60" w:after="60"/>
        <w:ind w:start="360"/>
        <w:rPr/>
      </w:pPr>
      <w:r>
        <w:rPr>
          <w:rFonts w:ascii="Arial" w:hAnsi="Arial"/>
          <w:b/>
          <w:color w:val="003366"/>
          <w:sz w:val="20"/>
        </w:rPr>
        <w:t>AOR</w:t>
      </w:r>
      <w:r>
        <w:rPr>
          <w:rFonts w:ascii="Arial" w:hAnsi="Arial"/>
          <w:b w:val="false"/>
          <w:color w:val="000000"/>
          <w:sz w:val="20"/>
        </w:rPr>
        <w:t xml:space="preserve">  —  Area of Responsibility</w:t>
      </w:r>
    </w:p>
    <w:p>
      <w:pPr>
        <w:pStyle w:val="Normal"/>
        <w:spacing w:before="60" w:after="60"/>
        <w:ind w:start="360"/>
        <w:rPr>
          <w:rFonts w:ascii="Arial" w:hAnsi="Arial"/>
          <w:b/>
          <w:bCs/>
          <w:color w:val="000000"/>
          <w:sz w:val="20"/>
        </w:rPr>
      </w:pPr>
      <w:r>
        <w:rPr>
          <w:rFonts w:ascii="Arial" w:hAnsi="Arial"/>
          <w:b/>
          <w:bCs/>
          <w:color w:val="000000"/>
          <w:sz w:val="20"/>
        </w:rPr>
        <w:t xml:space="preserve">AUXPTT </w:t>
      </w:r>
      <w:r>
        <w:rPr>
          <w:rFonts w:ascii="Arial" w:hAnsi="Arial"/>
          <w:b w:val="false"/>
          <w:bCs/>
          <w:color w:val="000000"/>
          <w:sz w:val="20"/>
        </w:rPr>
        <w:t>—  Auxiliary Push to Talk (Secure Cellular Phone Communications)</w:t>
      </w:r>
    </w:p>
    <w:p>
      <w:pPr>
        <w:pStyle w:val="Normal"/>
        <w:spacing w:before="60" w:after="60"/>
        <w:ind w:start="360"/>
        <w:rPr/>
      </w:pPr>
      <w:r>
        <w:rPr>
          <w:rFonts w:ascii="Arial" w:hAnsi="Arial"/>
          <w:b/>
          <w:color w:val="003366"/>
          <w:sz w:val="20"/>
        </w:rPr>
        <w:t>CM</w:t>
      </w:r>
      <w:r>
        <w:rPr>
          <w:rFonts w:ascii="Arial" w:hAnsi="Arial"/>
          <w:b w:val="false"/>
          <w:color w:val="000000"/>
          <w:sz w:val="20"/>
        </w:rPr>
        <w:t xml:space="preserve">  —  Communications (as in DSO-CM, District Staff Officer – Communications)</w:t>
      </w:r>
    </w:p>
    <w:p>
      <w:pPr>
        <w:pStyle w:val="Normal"/>
        <w:spacing w:before="60" w:after="60"/>
        <w:ind w:start="360"/>
        <w:rPr>
          <w:rFonts w:ascii="Arial" w:hAnsi="Arial"/>
        </w:rPr>
      </w:pPr>
      <w:r>
        <w:rPr>
          <w:rFonts w:ascii="Arial" w:hAnsi="Arial"/>
          <w:b/>
          <w:color w:val="003366"/>
        </w:rPr>
        <w:t>D-SE</w:t>
      </w:r>
      <w:r>
        <w:rPr>
          <w:rFonts w:ascii="Arial" w:hAnsi="Arial"/>
        </w:rPr>
        <w:t xml:space="preserve">  —  District Southeast (USCG Auxiliary Seventh District)</w:t>
      </w:r>
    </w:p>
    <w:p>
      <w:pPr>
        <w:pStyle w:val="Normal"/>
        <w:spacing w:before="60" w:after="60"/>
        <w:ind w:start="360"/>
        <w:rPr/>
      </w:pPr>
      <w:r>
        <w:rPr>
          <w:rFonts w:ascii="Arial" w:hAnsi="Arial"/>
          <w:b/>
          <w:color w:val="003366"/>
          <w:sz w:val="20"/>
        </w:rPr>
        <w:t>DDC-R</w:t>
      </w:r>
      <w:r>
        <w:rPr>
          <w:rFonts w:ascii="Arial" w:hAnsi="Arial"/>
          <w:b w:val="false"/>
          <w:color w:val="000000"/>
          <w:sz w:val="20"/>
        </w:rPr>
        <w:t xml:space="preserve">  —  District Directorate Chief – Response</w:t>
      </w:r>
    </w:p>
    <w:p>
      <w:pPr>
        <w:pStyle w:val="Normal"/>
        <w:spacing w:before="60" w:after="60"/>
        <w:ind w:start="360"/>
        <w:rPr/>
      </w:pPr>
      <w:r>
        <w:rPr>
          <w:rFonts w:ascii="Arial" w:hAnsi="Arial"/>
          <w:b/>
          <w:color w:val="003366"/>
          <w:sz w:val="20"/>
        </w:rPr>
        <w:t>DSO-CM</w:t>
      </w:r>
      <w:r>
        <w:rPr>
          <w:rFonts w:ascii="Arial" w:hAnsi="Arial"/>
          <w:b w:val="false"/>
          <w:color w:val="000000"/>
          <w:sz w:val="20"/>
        </w:rPr>
        <w:t xml:space="preserve">  —  District Staff Officer – Communications</w:t>
      </w:r>
    </w:p>
    <w:p>
      <w:pPr>
        <w:pStyle w:val="Normal"/>
        <w:spacing w:before="60" w:after="60"/>
        <w:ind w:start="360"/>
        <w:rPr/>
      </w:pPr>
      <w:r>
        <w:rPr>
          <w:rFonts w:ascii="Arial" w:hAnsi="Arial"/>
          <w:b/>
          <w:color w:val="003366"/>
          <w:sz w:val="20"/>
        </w:rPr>
        <w:t>EDT</w:t>
      </w:r>
      <w:r>
        <w:rPr>
          <w:rFonts w:ascii="Arial" w:hAnsi="Arial"/>
          <w:b w:val="false"/>
          <w:color w:val="000000"/>
          <w:sz w:val="20"/>
        </w:rPr>
        <w:t xml:space="preserve">  —  Eastern Daylight Time</w:t>
      </w:r>
    </w:p>
    <w:p>
      <w:pPr>
        <w:pStyle w:val="Normal"/>
        <w:spacing w:before="60" w:after="60"/>
        <w:ind w:start="360"/>
        <w:rPr/>
      </w:pPr>
      <w:r>
        <w:rPr>
          <w:rFonts w:ascii="Arial" w:hAnsi="Arial"/>
          <w:b/>
          <w:color w:val="003366"/>
          <w:sz w:val="20"/>
        </w:rPr>
        <w:t>EmComm</w:t>
      </w:r>
      <w:r>
        <w:rPr>
          <w:rFonts w:ascii="Arial" w:hAnsi="Arial"/>
          <w:b w:val="false"/>
          <w:color w:val="000000"/>
          <w:sz w:val="20"/>
        </w:rPr>
        <w:t xml:space="preserve">  —  Emergency Communications</w:t>
      </w:r>
    </w:p>
    <w:p>
      <w:pPr>
        <w:pStyle w:val="Normal"/>
        <w:spacing w:before="60" w:after="60"/>
        <w:ind w:start="360"/>
        <w:rPr/>
      </w:pPr>
      <w:r>
        <w:rPr>
          <w:rFonts w:ascii="Arial" w:hAnsi="Arial"/>
          <w:b/>
          <w:color w:val="003366"/>
          <w:sz w:val="20"/>
        </w:rPr>
        <w:t>HF</w:t>
      </w:r>
      <w:r>
        <w:rPr>
          <w:rFonts w:ascii="Arial" w:hAnsi="Arial"/>
          <w:b w:val="false"/>
          <w:color w:val="000000"/>
          <w:sz w:val="20"/>
        </w:rPr>
        <w:t xml:space="preserve">  —  High Frequency (3–30 MHz radio spectrum)</w:t>
      </w:r>
    </w:p>
    <w:p>
      <w:pPr>
        <w:pStyle w:val="Normal"/>
        <w:spacing w:before="60" w:after="60"/>
        <w:ind w:start="360"/>
        <w:rPr/>
      </w:pPr>
      <w:r>
        <w:rPr>
          <w:rFonts w:ascii="Arial" w:hAnsi="Arial"/>
          <w:b/>
          <w:color w:val="003366"/>
          <w:sz w:val="20"/>
        </w:rPr>
        <w:t>ICS</w:t>
      </w:r>
      <w:r>
        <w:rPr>
          <w:rFonts w:ascii="Arial" w:hAnsi="Arial"/>
          <w:b w:val="false"/>
          <w:color w:val="000000"/>
          <w:sz w:val="20"/>
        </w:rPr>
        <w:t xml:space="preserve">  —  Incident Command System</w:t>
      </w:r>
    </w:p>
    <w:p>
      <w:pPr>
        <w:pStyle w:val="Normal"/>
        <w:spacing w:before="60" w:after="60"/>
        <w:ind w:start="360"/>
        <w:rPr/>
      </w:pPr>
      <w:r>
        <w:rPr>
          <w:rFonts w:ascii="Arial" w:hAnsi="Arial"/>
          <w:b/>
          <w:color w:val="003366"/>
          <w:sz w:val="20"/>
        </w:rPr>
        <w:t>ICS 201</w:t>
      </w:r>
      <w:r>
        <w:rPr>
          <w:rFonts w:ascii="Arial" w:hAnsi="Arial"/>
          <w:b w:val="false"/>
          <w:color w:val="000000"/>
          <w:sz w:val="20"/>
        </w:rPr>
        <w:t xml:space="preserve">  —  ICS Form 201 – Incident Briefing</w:t>
      </w:r>
    </w:p>
    <w:p>
      <w:pPr>
        <w:pStyle w:val="Normal"/>
        <w:spacing w:before="60" w:after="60"/>
        <w:ind w:start="360"/>
        <w:rPr/>
      </w:pPr>
      <w:r>
        <w:rPr>
          <w:rFonts w:ascii="Arial" w:hAnsi="Arial"/>
          <w:b/>
          <w:color w:val="003366"/>
          <w:sz w:val="20"/>
        </w:rPr>
        <w:t>ICS 205</w:t>
      </w:r>
      <w:r>
        <w:rPr>
          <w:rFonts w:ascii="Arial" w:hAnsi="Arial"/>
          <w:b w:val="false"/>
          <w:color w:val="000000"/>
          <w:sz w:val="20"/>
        </w:rPr>
        <w:t xml:space="preserve">  —  ICS Form 205 – Incident Radio Communications Plan</w:t>
      </w:r>
    </w:p>
    <w:p>
      <w:pPr>
        <w:pStyle w:val="Normal"/>
        <w:spacing w:before="60" w:after="60"/>
        <w:ind w:start="360"/>
        <w:rPr/>
      </w:pPr>
      <w:r>
        <w:rPr>
          <w:rFonts w:ascii="Arial" w:hAnsi="Arial"/>
          <w:b/>
          <w:color w:val="003366"/>
          <w:sz w:val="20"/>
        </w:rPr>
        <w:t>ICS 205A</w:t>
      </w:r>
      <w:r>
        <w:rPr>
          <w:rFonts w:ascii="Arial" w:hAnsi="Arial"/>
          <w:b w:val="false"/>
          <w:color w:val="000000"/>
          <w:sz w:val="20"/>
        </w:rPr>
        <w:t xml:space="preserve">  —  ICS Form 205A – Communications List</w:t>
      </w:r>
    </w:p>
    <w:p>
      <w:pPr>
        <w:pStyle w:val="Normal"/>
        <w:spacing w:before="60" w:after="60"/>
        <w:ind w:start="360"/>
        <w:rPr/>
      </w:pPr>
      <w:r>
        <w:rPr>
          <w:rFonts w:ascii="Arial" w:hAnsi="Arial"/>
          <w:b/>
          <w:color w:val="003366"/>
          <w:sz w:val="20"/>
        </w:rPr>
        <w:t>IS-700</w:t>
      </w:r>
      <w:r>
        <w:rPr>
          <w:rFonts w:ascii="Arial" w:hAnsi="Arial"/>
          <w:b w:val="false"/>
          <w:color w:val="000000"/>
          <w:sz w:val="20"/>
        </w:rPr>
        <w:t xml:space="preserve">  —  FEMA Independent Study Course 700 – National Incident Management System (NIMS)</w:t>
      </w:r>
    </w:p>
    <w:p>
      <w:pPr>
        <w:pStyle w:val="Normal"/>
        <w:spacing w:before="60" w:after="60"/>
        <w:ind w:start="360"/>
        <w:rPr/>
      </w:pPr>
      <w:r>
        <w:rPr>
          <w:rFonts w:ascii="Arial" w:hAnsi="Arial"/>
          <w:b/>
          <w:color w:val="003366"/>
          <w:sz w:val="20"/>
        </w:rPr>
        <w:t>MHz</w:t>
      </w:r>
      <w:r>
        <w:rPr>
          <w:rFonts w:ascii="Arial" w:hAnsi="Arial"/>
          <w:b w:val="false"/>
          <w:color w:val="000000"/>
          <w:sz w:val="20"/>
        </w:rPr>
        <w:t xml:space="preserve">  —  Megahertz (unit of radio frequency)</w:t>
      </w:r>
    </w:p>
    <w:p>
      <w:pPr>
        <w:pStyle w:val="Normal"/>
        <w:spacing w:before="60" w:after="60"/>
        <w:ind w:start="360"/>
        <w:rPr/>
      </w:pPr>
      <w:r>
        <w:rPr>
          <w:rFonts w:ascii="Arial" w:hAnsi="Arial"/>
          <w:b/>
          <w:color w:val="003366"/>
          <w:sz w:val="20"/>
        </w:rPr>
        <w:t>NCS</w:t>
      </w:r>
      <w:r>
        <w:rPr>
          <w:rFonts w:ascii="Arial" w:hAnsi="Arial"/>
          <w:b w:val="false"/>
          <w:color w:val="000000"/>
          <w:sz w:val="20"/>
        </w:rPr>
        <w:t xml:space="preserve">  —  Network Control Station</w:t>
      </w:r>
    </w:p>
    <w:p>
      <w:pPr>
        <w:pStyle w:val="Normal"/>
        <w:spacing w:before="60" w:after="60"/>
        <w:ind w:start="360"/>
        <w:rPr/>
      </w:pPr>
      <w:r>
        <w:rPr>
          <w:rFonts w:ascii="Arial" w:hAnsi="Arial"/>
          <w:b/>
          <w:color w:val="003366"/>
          <w:sz w:val="20"/>
        </w:rPr>
        <w:t>NIMS</w:t>
      </w:r>
      <w:r>
        <w:rPr>
          <w:rFonts w:ascii="Arial" w:hAnsi="Arial"/>
          <w:b w:val="false"/>
          <w:color w:val="000000"/>
          <w:sz w:val="20"/>
        </w:rPr>
        <w:t xml:space="preserve">  —  National Incident Management System</w:t>
      </w:r>
    </w:p>
    <w:p>
      <w:pPr>
        <w:pStyle w:val="Normal"/>
        <w:spacing w:before="60" w:after="60"/>
        <w:ind w:start="360"/>
        <w:rPr/>
      </w:pPr>
      <w:r>
        <w:rPr>
          <w:rFonts w:ascii="Arial" w:hAnsi="Arial"/>
          <w:b/>
          <w:color w:val="003366"/>
          <w:sz w:val="20"/>
        </w:rPr>
        <w:t>NTC</w:t>
      </w:r>
      <w:r>
        <w:rPr>
          <w:rFonts w:ascii="Arial" w:hAnsi="Arial"/>
          <w:b w:val="false"/>
          <w:color w:val="000000"/>
          <w:sz w:val="20"/>
        </w:rPr>
        <w:t xml:space="preserve">  —  Notice to Communicators (pre-activation frequency issuance)</w:t>
      </w:r>
    </w:p>
    <w:p>
      <w:pPr>
        <w:pStyle w:val="Normal"/>
        <w:spacing w:before="60" w:after="60"/>
        <w:ind w:start="360"/>
        <w:rPr/>
      </w:pPr>
      <w:r>
        <w:rPr>
          <w:rFonts w:ascii="Arial" w:hAnsi="Arial"/>
          <w:b/>
          <w:color w:val="003366"/>
          <w:sz w:val="20"/>
        </w:rPr>
        <w:t>SITREP</w:t>
      </w:r>
      <w:r>
        <w:rPr>
          <w:rFonts w:ascii="Arial" w:hAnsi="Arial"/>
          <w:b w:val="false"/>
          <w:color w:val="000000"/>
          <w:sz w:val="20"/>
        </w:rPr>
        <w:t xml:space="preserve">  —  Situation Report</w:t>
      </w:r>
    </w:p>
    <w:p>
      <w:pPr>
        <w:pStyle w:val="Normal"/>
        <w:spacing w:before="60" w:after="60"/>
        <w:ind w:start="360"/>
        <w:rPr/>
      </w:pPr>
      <w:r>
        <w:rPr>
          <w:rFonts w:ascii="Arial" w:hAnsi="Arial"/>
          <w:b/>
          <w:color w:val="003366"/>
          <w:sz w:val="20"/>
        </w:rPr>
        <w:t>TBD</w:t>
      </w:r>
      <w:r>
        <w:rPr>
          <w:rFonts w:ascii="Arial" w:hAnsi="Arial"/>
          <w:b w:val="false"/>
          <w:color w:val="000000"/>
          <w:sz w:val="20"/>
        </w:rPr>
        <w:t xml:space="preserve">  —  To Be Determined</w:t>
      </w:r>
    </w:p>
    <w:p>
      <w:pPr>
        <w:pStyle w:val="Normal"/>
        <w:spacing w:before="60" w:after="60"/>
        <w:ind w:start="360"/>
        <w:rPr>
          <w:rFonts w:ascii="Arial" w:hAnsi="Arial"/>
        </w:rPr>
      </w:pPr>
      <w:r>
        <w:rPr>
          <w:rFonts w:ascii="Arial" w:hAnsi="Arial"/>
          <w:b/>
          <w:color w:val="003366"/>
        </w:rPr>
        <w:t>TCO</w:t>
      </w:r>
      <w:r>
        <w:rPr>
          <w:rFonts w:ascii="Arial" w:hAnsi="Arial"/>
        </w:rPr>
        <w:t xml:space="preserve">  —  Auxiliary TeleCommunications Operator</w:t>
      </w:r>
    </w:p>
    <w:p>
      <w:pPr>
        <w:pStyle w:val="Normal"/>
        <w:spacing w:before="60" w:after="60"/>
        <w:ind w:start="360"/>
        <w:rPr/>
      </w:pPr>
      <w:r>
        <w:rPr>
          <w:rFonts w:ascii="Arial" w:hAnsi="Arial"/>
          <w:b/>
          <w:color w:val="003366"/>
          <w:sz w:val="20"/>
        </w:rPr>
        <w:t>TNC</w:t>
      </w:r>
      <w:r>
        <w:rPr>
          <w:rFonts w:ascii="Arial" w:hAnsi="Arial"/>
          <w:b w:val="false"/>
          <w:color w:val="000000"/>
          <w:sz w:val="20"/>
        </w:rPr>
        <w:t xml:space="preserve">  —  Terminal Node Controller (hardware modem for digital radio)</w:t>
      </w:r>
    </w:p>
    <w:p>
      <w:pPr>
        <w:pStyle w:val="Normal"/>
        <w:spacing w:before="60" w:after="60"/>
        <w:ind w:start="360"/>
        <w:rPr/>
      </w:pPr>
      <w:r>
        <w:rPr>
          <w:rFonts w:ascii="Arial" w:hAnsi="Arial"/>
          <w:b/>
          <w:color w:val="003366"/>
          <w:sz w:val="20"/>
        </w:rPr>
        <w:t>USB</w:t>
      </w:r>
      <w:r>
        <w:rPr>
          <w:rFonts w:ascii="Arial" w:hAnsi="Arial"/>
          <w:b w:val="false"/>
          <w:color w:val="000000"/>
          <w:sz w:val="20"/>
        </w:rPr>
        <w:t xml:space="preserve">  —  Upper Sideband (voice mode used on HF frequencies above 10 MHz and by convention)</w:t>
      </w:r>
    </w:p>
    <w:p>
      <w:pPr>
        <w:pStyle w:val="Normal"/>
        <w:spacing w:before="60" w:after="60"/>
        <w:ind w:start="360"/>
        <w:rPr/>
      </w:pPr>
      <w:r>
        <w:rPr>
          <w:rFonts w:ascii="Arial" w:hAnsi="Arial"/>
          <w:b/>
          <w:color w:val="003366"/>
          <w:sz w:val="20"/>
        </w:rPr>
        <w:t>USCG</w:t>
      </w:r>
      <w:r>
        <w:rPr>
          <w:rFonts w:ascii="Arial" w:hAnsi="Arial"/>
          <w:b w:val="false"/>
          <w:color w:val="000000"/>
          <w:sz w:val="20"/>
        </w:rPr>
        <w:t xml:space="preserve">  —  United States Coast Guard</w:t>
      </w:r>
    </w:p>
    <w:p>
      <w:pPr>
        <w:pStyle w:val="Normal"/>
        <w:spacing w:before="60" w:after="60"/>
        <w:ind w:start="360"/>
        <w:rPr/>
      </w:pPr>
      <w:r>
        <w:rPr>
          <w:rFonts w:ascii="Arial" w:hAnsi="Arial"/>
          <w:b/>
          <w:color w:val="003366"/>
          <w:sz w:val="20"/>
        </w:rPr>
        <w:t>UTC</w:t>
      </w:r>
      <w:r>
        <w:rPr>
          <w:rFonts w:ascii="Arial" w:hAnsi="Arial"/>
          <w:b w:val="false"/>
          <w:color w:val="000000"/>
          <w:sz w:val="20"/>
        </w:rPr>
        <w:t xml:space="preserve">  —  Coordinated Universal Time (also referred to as Zulu time)</w:t>
      </w:r>
    </w:p>
    <w:p>
      <w:pPr>
        <w:pStyle w:val="Normal"/>
        <w:spacing w:before="60" w:after="60"/>
        <w:ind w:start="360"/>
        <w:rPr/>
      </w:pPr>
      <w:r>
        <w:rPr>
          <w:rFonts w:ascii="Arial" w:hAnsi="Arial"/>
          <w:b/>
          <w:color w:val="003366"/>
          <w:sz w:val="20"/>
        </w:rPr>
        <w:t>VARA</w:t>
      </w:r>
      <w:r>
        <w:rPr>
          <w:rFonts w:ascii="Arial" w:hAnsi="Arial"/>
          <w:b w:val="false"/>
          <w:color w:val="000000"/>
          <w:sz w:val="20"/>
        </w:rPr>
        <w:t xml:space="preserve">  —  Varicode ARQ (digital HF modem protocol used by Winlink)</w:t>
      </w:r>
    </w:p>
    <w:p>
      <w:pPr>
        <w:pStyle w:val="Normal"/>
        <w:spacing w:before="60" w:after="60"/>
        <w:ind w:start="360"/>
        <w:rPr/>
      </w:pPr>
      <w:r>
        <w:rPr>
          <w:rFonts w:ascii="Arial" w:hAnsi="Arial"/>
          <w:b/>
          <w:color w:val="003366"/>
          <w:sz w:val="20"/>
        </w:rPr>
        <w:t>VARA HF</w:t>
      </w:r>
      <w:r>
        <w:rPr>
          <w:rFonts w:ascii="Arial" w:hAnsi="Arial"/>
          <w:b w:val="false"/>
          <w:color w:val="000000"/>
          <w:sz w:val="20"/>
        </w:rPr>
        <w:t xml:space="preserve">  —  VARA High Frequency – software modem used for Winlink digital communications</w:t>
      </w:r>
    </w:p>
    <w:p>
      <w:pPr>
        <w:pStyle w:val="Normal"/>
        <w:spacing w:before="60" w:after="60"/>
        <w:ind w:start="360"/>
        <w:rPr/>
      </w:pPr>
      <w:r>
        <w:rPr>
          <w:b/>
          <w:color w:val="003366"/>
        </w:rPr>
        <w:t>VHF</w:t>
      </w:r>
      <w:r>
        <w:rPr/>
        <w:t xml:space="preserve">  —  </w:t>
      </w:r>
      <w:r>
        <w:rPr/>
        <w:t>Very High Frequency (Marine Channels)</w:t>
      </w:r>
    </w:p>
    <w:p>
      <w:pPr>
        <w:pStyle w:val="Normal"/>
        <w:spacing w:before="60" w:after="60"/>
        <w:ind w:start="360"/>
        <w:rPr/>
      </w:pPr>
      <w:r>
        <w:rPr>
          <w:rFonts w:ascii="Arial" w:hAnsi="Arial"/>
          <w:b/>
          <w:color w:val="003366"/>
          <w:sz w:val="20"/>
        </w:rPr>
        <w:t>Winlink</w:t>
      </w:r>
      <w:r>
        <w:rPr>
          <w:rFonts w:ascii="Arial" w:hAnsi="Arial"/>
          <w:b w:val="false"/>
          <w:color w:val="000000"/>
          <w:sz w:val="20"/>
        </w:rPr>
        <w:t xml:space="preserve">  —  Winlink Global Radio Email system (radio-based email network)</w:t>
      </w:r>
    </w:p>
    <w:p>
      <w:pPr>
        <w:pStyle w:val="Normal"/>
        <w:spacing w:before="60" w:after="60"/>
        <w:ind w:start="360"/>
        <w:rPr>
          <w:rFonts w:ascii="Arial" w:hAnsi="Arial"/>
          <w:b w:val="false"/>
          <w:color w:val="000000"/>
          <w:sz w:val="20"/>
        </w:rPr>
      </w:pPr>
      <w:r>
        <w:rPr>
          <w:rFonts w:ascii="Arial" w:hAnsi="Arial"/>
          <w:b w:val="false"/>
          <w:color w:val="000000"/>
          <w:sz w:val="20"/>
        </w:rPr>
      </w:r>
    </w:p>
    <w:p>
      <w:pPr>
        <w:pStyle w:val="Normal"/>
        <w:rPr/>
      </w:pPr>
      <w:r>
        <w:rPr/>
      </w:r>
    </w:p>
    <w:p>
      <w:pPr>
        <w:pStyle w:val="Normal"/>
        <w:pBdr>
          <w:bottom w:val="single" w:sz="6" w:space="1" w:color="C49A00"/>
        </w:pBdr>
        <w:spacing w:before="0" w:after="200"/>
        <w:jc w:val="center"/>
        <w:rPr/>
      </w:pPr>
      <w:r>
        <w:rPr>
          <w:rFonts w:ascii="Arial" w:hAnsi="Arial"/>
          <w:b/>
          <w:color w:val="003366"/>
          <w:sz w:val="20"/>
        </w:rPr>
        <w:t xml:space="preserve">— </w:t>
      </w:r>
      <w:r>
        <w:rPr>
          <w:rFonts w:ascii="Arial" w:hAnsi="Arial"/>
          <w:b/>
          <w:color w:val="003366"/>
          <w:sz w:val="20"/>
        </w:rPr>
        <w:t>END OF GLOSSARY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1296"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b w:val="false"/>
        <w:color w:val="666666"/>
        <w:sz w:val="14"/>
      </w:rPr>
      <w:t>D-SE Hurricane Emergency Communications Plan  |  Rev. 1.0  |  UNCLASSIFIED // FOR OFFICIAL USE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b w:val="false"/>
        <w:color w:val="666666"/>
        <w:sz w:val="14"/>
      </w:rPr>
      <w:t>D-SE Hurricane Emergency Communications Plan  |  Rev. 1.0  |  UNCLASSIFIED // FOR OFFICIAL USE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3366"/>
      </w:pBdr>
      <w:jc w:val="start"/>
      <w:rPr/>
    </w:pPr>
    <w:r>
      <w:rPr>
        <w:rFonts w:ascii="Arial" w:hAnsi="Arial"/>
        <w:b/>
        <w:color w:val="003366"/>
        <w:sz w:val="16"/>
      </w:rPr>
      <w:t>USCG AUX DISTRICT SOUTHEAST  |  HURRICANE EMERGENCY COMMUNICATIONS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3366"/>
      </w:pBdr>
      <w:jc w:val="start"/>
      <w:rPr/>
    </w:pPr>
    <w:r>
      <w:rPr>
        <w:rFonts w:ascii="Arial" w:hAnsi="Arial"/>
        <w:b/>
        <w:color w:val="003366"/>
        <w:sz w:val="16"/>
      </w:rPr>
      <w:t>USCG AUX DISTRICT SOUTHEAST  |  HURRICANE EMERGENCY COMMUNICATIONS PLAN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Application>LibreOffice/26.2.1.2$Windows_X86_64 LibreOffice_project/620$Build-2</Application>
  <AppVersion>15.0000</AppVersion>
  <Pages>17</Pages>
  <Words>3057</Words>
  <Characters>18197</Characters>
  <CharactersWithSpaces>20938</CharactersWithSpaces>
  <Paragraphs>440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2026-06-06T19:07:18Z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