
<file path=[Content_Types].xml><?xml version="1.0" encoding="utf-8"?>
<Types xmlns="http://schemas.openxmlformats.org/package/2006/content-types">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1.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18AF8A" w14:textId="77777777" w:rsidR="000D17E1" w:rsidRDefault="000D17E1" w:rsidP="000D17E1">
      <w:pPr>
        <w:pStyle w:val="Heading1"/>
        <w:jc w:val="center"/>
      </w:pPr>
      <w:bookmarkStart w:id="0" w:name="_GoBack"/>
      <w:bookmarkEnd w:id="0"/>
    </w:p>
    <w:p w14:paraId="4CEBB896" w14:textId="761316FF" w:rsidR="000C081C" w:rsidRDefault="000D17E1" w:rsidP="000D17E1">
      <w:pPr>
        <w:pStyle w:val="Heading1"/>
        <w:jc w:val="center"/>
      </w:pPr>
      <w:proofErr w:type="spellStart"/>
      <w:r w:rsidRPr="000D17E1">
        <w:t>KickStarter</w:t>
      </w:r>
      <w:proofErr w:type="spellEnd"/>
      <w:r w:rsidRPr="000D17E1">
        <w:t xml:space="preserve"> Analysis Summary</w:t>
      </w:r>
    </w:p>
    <w:p w14:paraId="55663AFB" w14:textId="320C89BC" w:rsidR="000D17E1" w:rsidRDefault="000D17E1" w:rsidP="000D17E1">
      <w:pPr>
        <w:jc w:val="center"/>
      </w:pPr>
      <w:r>
        <w:t>By</w:t>
      </w:r>
    </w:p>
    <w:p w14:paraId="3B79E0D0" w14:textId="260CCB70" w:rsidR="000D17E1" w:rsidRDefault="000D17E1" w:rsidP="000D17E1">
      <w:pPr>
        <w:jc w:val="center"/>
      </w:pPr>
      <w:r>
        <w:t>Josh Bode</w:t>
      </w:r>
    </w:p>
    <w:p w14:paraId="4ED8C297" w14:textId="3B601EAE" w:rsidR="000D17E1" w:rsidRDefault="000D17E1" w:rsidP="000D17E1">
      <w:pPr>
        <w:pStyle w:val="Heading2"/>
      </w:pPr>
      <w:r>
        <w:t>Data Analyzed</w:t>
      </w:r>
    </w:p>
    <w:p w14:paraId="63524E2A" w14:textId="75CA590F" w:rsidR="000D17E1" w:rsidRDefault="000D17E1" w:rsidP="000D17E1">
      <w:r>
        <w:t xml:space="preserve">‘The Kickstarter data includes X,000 projects over X years. The dataset includes information of </w:t>
      </w:r>
      <w:proofErr w:type="spellStart"/>
      <w:r>
        <w:t>projectst</w:t>
      </w:r>
      <w:proofErr w:type="spellEnd"/>
      <w:r>
        <w:t xml:space="preserve"> that were initiated, if they succeeded, failed, were canceled or are ongoing (live). It also includes details regarding the target funding, amount pledged and funding:</w:t>
      </w:r>
    </w:p>
    <w:p w14:paraId="32D6AFBC" w14:textId="5D3048E3" w:rsidR="000D17E1" w:rsidRDefault="000D17E1" w:rsidP="000D17E1">
      <w:pPr>
        <w:pStyle w:val="Heading2"/>
      </w:pPr>
      <w:r>
        <w:t>Key Conclusions</w:t>
      </w:r>
    </w:p>
    <w:p w14:paraId="20691FEE" w14:textId="67339807" w:rsidR="000D17E1" w:rsidRDefault="000D17E1" w:rsidP="000D17E1">
      <w:r>
        <w:t xml:space="preserve">As show in the charts below, three main conclusion that can be drawn are: </w:t>
      </w:r>
    </w:p>
    <w:p w14:paraId="66D5F6B7" w14:textId="482564E7" w:rsidR="000D17E1" w:rsidRDefault="000D17E1" w:rsidP="000D17E1">
      <w:pPr>
        <w:pStyle w:val="ListParagraph"/>
        <w:numPr>
          <w:ilvl w:val="0"/>
          <w:numId w:val="1"/>
        </w:numPr>
      </w:pPr>
      <w:r>
        <w:t xml:space="preserve">Most kickstart projects are successful, but the difference between successful (53%)l and failed or canceled projects (37%+6%) is small. </w:t>
      </w:r>
    </w:p>
    <w:p w14:paraId="12158EFE" w14:textId="78C92681" w:rsidR="000D17E1" w:rsidRDefault="000D17E1" w:rsidP="000D17E1">
      <w:pPr>
        <w:pStyle w:val="ListParagraph"/>
      </w:pPr>
      <w:r>
        <w:rPr>
          <w:noProof/>
        </w:rPr>
        <w:drawing>
          <wp:inline distT="0" distB="0" distL="0" distR="0" wp14:anchorId="57D72397" wp14:editId="50FE1302">
            <wp:extent cx="4749800" cy="2419350"/>
            <wp:effectExtent l="0" t="0" r="12700" b="0"/>
            <wp:docPr id="1" name="Chart 1">
              <a:extLst xmlns:a="http://schemas.openxmlformats.org/drawingml/2006/main">
                <a:ext uri="{FF2B5EF4-FFF2-40B4-BE49-F238E27FC236}">
                  <a16:creationId xmlns:a16="http://schemas.microsoft.com/office/drawing/2014/main" id="{434FC161-E35A-461F-B7A3-30F1E1821E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3732830D" w14:textId="77777777" w:rsidR="000D17E1" w:rsidRDefault="000D17E1" w:rsidP="000D17E1">
      <w:pPr>
        <w:pStyle w:val="ListParagraph"/>
      </w:pPr>
    </w:p>
    <w:p w14:paraId="415C255A" w14:textId="3D3862C9" w:rsidR="000D17E1" w:rsidRDefault="000D17E1" w:rsidP="000D17E1">
      <w:pPr>
        <w:pStyle w:val="ListParagraph"/>
        <w:numPr>
          <w:ilvl w:val="0"/>
          <w:numId w:val="1"/>
        </w:numPr>
      </w:pPr>
      <w:r>
        <w:t xml:space="preserve">Most Kickstarter projects are initiated in the U.S. </w:t>
      </w:r>
    </w:p>
    <w:p w14:paraId="2991CFEE" w14:textId="69BAC962" w:rsidR="000D17E1" w:rsidRDefault="000D17E1" w:rsidP="000D17E1">
      <w:pPr>
        <w:pStyle w:val="ListParagraph"/>
      </w:pPr>
      <w:r>
        <w:rPr>
          <w:noProof/>
        </w:rPr>
        <w:drawing>
          <wp:inline distT="0" distB="0" distL="0" distR="0" wp14:anchorId="3DCCA5AB" wp14:editId="00F8DCA2">
            <wp:extent cx="4743450" cy="2228850"/>
            <wp:effectExtent l="0" t="0" r="0" b="0"/>
            <wp:docPr id="2" name="Chart 2">
              <a:extLst xmlns:a="http://schemas.openxmlformats.org/drawingml/2006/main">
                <a:ext uri="{FF2B5EF4-FFF2-40B4-BE49-F238E27FC236}">
                  <a16:creationId xmlns:a16="http://schemas.microsoft.com/office/drawing/2014/main" id="{7BF52D2D-F264-4E35-B97D-86EF7BCEAB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18DEFA63" w14:textId="77777777" w:rsidR="000D17E1" w:rsidRDefault="000D17E1" w:rsidP="000D17E1">
      <w:pPr>
        <w:pStyle w:val="ListParagraph"/>
      </w:pPr>
    </w:p>
    <w:p w14:paraId="46CF3220" w14:textId="499E66A1" w:rsidR="000D17E1" w:rsidRDefault="00D16C57" w:rsidP="000D17E1">
      <w:pPr>
        <w:pStyle w:val="ListParagraph"/>
        <w:numPr>
          <w:ilvl w:val="0"/>
          <w:numId w:val="1"/>
        </w:numPr>
      </w:pPr>
      <w:r>
        <w:t>Plays are the most common sub-category of kickstart projects</w:t>
      </w:r>
    </w:p>
    <w:p w14:paraId="6803B87A" w14:textId="4BC8E6E1" w:rsidR="000D17E1" w:rsidRDefault="000D17E1" w:rsidP="000D17E1">
      <w:pPr>
        <w:ind w:left="720"/>
      </w:pPr>
      <w:r>
        <w:rPr>
          <w:noProof/>
        </w:rPr>
        <w:drawing>
          <wp:inline distT="0" distB="0" distL="0" distR="0" wp14:anchorId="754E30CF" wp14:editId="53B364B1">
            <wp:extent cx="5568950" cy="4178300"/>
            <wp:effectExtent l="0" t="0" r="12700" b="12700"/>
            <wp:docPr id="3" name="Chart 3">
              <a:extLst xmlns:a="http://schemas.openxmlformats.org/drawingml/2006/main">
                <a:ext uri="{FF2B5EF4-FFF2-40B4-BE49-F238E27FC236}">
                  <a16:creationId xmlns:a16="http://schemas.microsoft.com/office/drawing/2014/main" id="{2B23AFA0-2114-499E-B74E-CD782E196B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5E358CB9" w14:textId="32A8D5C1" w:rsidR="000D17E1" w:rsidRDefault="000D17E1" w:rsidP="000D17E1">
      <w:pPr>
        <w:pStyle w:val="Heading2"/>
      </w:pPr>
      <w:r>
        <w:t>Limitations of Dataset</w:t>
      </w:r>
    </w:p>
    <w:p w14:paraId="121D1100" w14:textId="5FB0C3E8" w:rsidR="000D17E1" w:rsidRDefault="00787A7E" w:rsidP="000D17E1">
      <w:r>
        <w:t>There are multiple limitations to the dataset:</w:t>
      </w:r>
    </w:p>
    <w:p w14:paraId="1FCACC5D" w14:textId="49866215" w:rsidR="00787A7E" w:rsidRDefault="00787A7E" w:rsidP="00787A7E">
      <w:pPr>
        <w:pStyle w:val="ListParagraph"/>
        <w:numPr>
          <w:ilvl w:val="0"/>
          <w:numId w:val="2"/>
        </w:numPr>
      </w:pPr>
      <w:r>
        <w:t xml:space="preserve">Kickstarter is not the only crow funding site and does not represent the universe of crow-funding options. It cannot be used to draw universal conclusion about the type of project that crowdfunded. Any conclusions are local to </w:t>
      </w:r>
      <w:proofErr w:type="spellStart"/>
      <w:r>
        <w:t>KickStarter</w:t>
      </w:r>
      <w:proofErr w:type="spellEnd"/>
      <w:r>
        <w:t>.</w:t>
      </w:r>
    </w:p>
    <w:p w14:paraId="6D3A81F2" w14:textId="77777777" w:rsidR="00787A7E" w:rsidRDefault="00787A7E" w:rsidP="00787A7E">
      <w:pPr>
        <w:pStyle w:val="ListParagraph"/>
        <w:numPr>
          <w:ilvl w:val="0"/>
          <w:numId w:val="2"/>
        </w:numPr>
      </w:pPr>
      <w:r>
        <w:t>Any conclusions about funding need to be qualified due to differences in currency. Any comparison of contribution amounts (e.g., the average contribution) are not valid until pledges are converted to similar currency.</w:t>
      </w:r>
    </w:p>
    <w:p w14:paraId="61991496" w14:textId="127E59D3" w:rsidR="00787A7E" w:rsidRDefault="00787A7E" w:rsidP="00787A7E">
      <w:pPr>
        <w:pStyle w:val="ListParagraph"/>
        <w:numPr>
          <w:ilvl w:val="0"/>
          <w:numId w:val="2"/>
        </w:numPr>
      </w:pPr>
      <w:r>
        <w:t xml:space="preserve">The data is censored. Some of the projects were canceled. They may have canceled because they were failing or due to some other reason. The analysts </w:t>
      </w:r>
      <w:proofErr w:type="gramStart"/>
      <w:r>
        <w:t>has</w:t>
      </w:r>
      <w:proofErr w:type="gramEnd"/>
      <w:r>
        <w:t xml:space="preserve"> to make a judgement call on whether to include or exclude canceled events.  </w:t>
      </w:r>
    </w:p>
    <w:p w14:paraId="31EF147D" w14:textId="1448BF7C" w:rsidR="000D17E1" w:rsidRDefault="000D17E1" w:rsidP="000D17E1">
      <w:pPr>
        <w:pStyle w:val="Heading2"/>
      </w:pPr>
      <w:r>
        <w:t>Additional Charts and Graphs</w:t>
      </w:r>
    </w:p>
    <w:p w14:paraId="3B80D862" w14:textId="73CD4947" w:rsidR="000D17E1" w:rsidRDefault="00787A7E" w:rsidP="000D17E1">
      <w:r>
        <w:t>Many additional charts can be produced. Below are a</w:t>
      </w:r>
      <w:r w:rsidR="00112172">
        <w:t xml:space="preserve"> couple of </w:t>
      </w:r>
      <w:r>
        <w:t xml:space="preserve">examples. </w:t>
      </w:r>
    </w:p>
    <w:p w14:paraId="41612DCC" w14:textId="0506FAA4" w:rsidR="000B0302" w:rsidRDefault="000B0302" w:rsidP="000B0302">
      <w:pPr>
        <w:pStyle w:val="ListParagraph"/>
        <w:numPr>
          <w:ilvl w:val="0"/>
          <w:numId w:val="3"/>
        </w:numPr>
      </w:pPr>
      <w:r>
        <w:t>Outcomes (states) in different countries by parent category</w:t>
      </w:r>
    </w:p>
    <w:p w14:paraId="7945C1A1" w14:textId="01C99CA7" w:rsidR="000B0302" w:rsidRDefault="000B0302" w:rsidP="000B0302">
      <w:pPr>
        <w:pStyle w:val="ListParagraph"/>
      </w:pPr>
    </w:p>
    <w:p w14:paraId="2E8B562F" w14:textId="4A067791" w:rsidR="000B0302" w:rsidRDefault="00253FF8" w:rsidP="000B0302">
      <w:pPr>
        <w:pStyle w:val="ListParagraph"/>
      </w:pPr>
      <w:r>
        <w:rPr>
          <w:noProof/>
        </w:rPr>
        <w:lastRenderedPageBreak/>
        <w:drawing>
          <wp:inline distT="0" distB="0" distL="0" distR="0" wp14:anchorId="7525D728" wp14:editId="3146A51A">
            <wp:extent cx="5943600" cy="2319655"/>
            <wp:effectExtent l="0" t="0" r="0" b="4445"/>
            <wp:docPr id="4" name="Chart 4">
              <a:extLst xmlns:a="http://schemas.openxmlformats.org/drawingml/2006/main">
                <a:ext uri="{FF2B5EF4-FFF2-40B4-BE49-F238E27FC236}">
                  <a16:creationId xmlns:a16="http://schemas.microsoft.com/office/drawing/2014/main" id="{608CFBFF-D614-45F5-BCF4-C8FC97E33C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EF81BE4" w14:textId="77777777" w:rsidR="00253FF8" w:rsidRDefault="00253FF8" w:rsidP="00253FF8">
      <w:pPr>
        <w:pStyle w:val="ListParagraph"/>
      </w:pPr>
    </w:p>
    <w:p w14:paraId="39E748D2" w14:textId="6BC27F2D" w:rsidR="000B0302" w:rsidRDefault="000B0302" w:rsidP="000B0302">
      <w:pPr>
        <w:pStyle w:val="ListParagraph"/>
        <w:numPr>
          <w:ilvl w:val="0"/>
          <w:numId w:val="3"/>
        </w:numPr>
      </w:pPr>
      <w:r>
        <w:t xml:space="preserve">Typical funding over time </w:t>
      </w:r>
      <w:r w:rsidR="00253FF8">
        <w:t>for projects that were and were not spotlighted</w:t>
      </w:r>
    </w:p>
    <w:p w14:paraId="1F95C933" w14:textId="3899296C" w:rsidR="00253FF8" w:rsidRDefault="00253FF8" w:rsidP="00253FF8">
      <w:pPr>
        <w:pStyle w:val="ListParagraph"/>
      </w:pPr>
      <w:r>
        <w:rPr>
          <w:noProof/>
        </w:rPr>
        <w:drawing>
          <wp:inline distT="0" distB="0" distL="0" distR="0" wp14:anchorId="66D6F364" wp14:editId="23037E32">
            <wp:extent cx="5664200" cy="2743200"/>
            <wp:effectExtent l="0" t="0" r="12700" b="0"/>
            <wp:docPr id="5" name="Chart 5">
              <a:extLst xmlns:a="http://schemas.openxmlformats.org/drawingml/2006/main">
                <a:ext uri="{FF2B5EF4-FFF2-40B4-BE49-F238E27FC236}">
                  <a16:creationId xmlns:a16="http://schemas.microsoft.com/office/drawing/2014/main" id="{8F03D129-C530-423A-9942-0691333720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7D415B0" w14:textId="77777777" w:rsidR="00253FF8" w:rsidRDefault="00253FF8" w:rsidP="00253FF8">
      <w:pPr>
        <w:pStyle w:val="ListParagraph"/>
      </w:pPr>
    </w:p>
    <w:sectPr w:rsidR="00253F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326D3"/>
    <w:multiLevelType w:val="hybridMultilevel"/>
    <w:tmpl w:val="5F0A7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4D2948"/>
    <w:multiLevelType w:val="hybridMultilevel"/>
    <w:tmpl w:val="5F0A7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261474"/>
    <w:multiLevelType w:val="hybridMultilevel"/>
    <w:tmpl w:val="D6424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7E1"/>
    <w:rsid w:val="000B0302"/>
    <w:rsid w:val="000C081C"/>
    <w:rsid w:val="000D17E1"/>
    <w:rsid w:val="00112172"/>
    <w:rsid w:val="001A5C84"/>
    <w:rsid w:val="00253FF8"/>
    <w:rsid w:val="00787A7E"/>
    <w:rsid w:val="0088523E"/>
    <w:rsid w:val="008B04F4"/>
    <w:rsid w:val="00D16C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42AF2"/>
  <w15:chartTrackingRefBased/>
  <w15:docId w15:val="{07182077-9D3D-486D-B3EF-14DC14D54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17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17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17E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D17E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D17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4.xml"/><Relationship Id="rId3" Type="http://schemas.openxmlformats.org/officeDocument/2006/relationships/settings" Target="settings.xml"/><Relationship Id="rId7" Type="http://schemas.openxmlformats.org/officeDocument/2006/relationships/chart" Target="charts/chart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theme" Target="theme/theme1.xml"/><Relationship Id="rId5" Type="http://schemas.openxmlformats.org/officeDocument/2006/relationships/chart" Target="charts/chart1.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oleObject" Target="file:///C:\Data\Bootcamp\Homework\01%20Kickstart%20StarterBoo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Data\Bootcamp\Homework\01%20Kickstart%20StarterBoo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Data\Bootcamp\Homework\01%20Kickstart%20StarterBoo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xlsx"/></Relationships>
</file>

<file path=word/charts/_rels/chart5.xml.rels><?xml version="1.0" encoding="UTF-8" standalone="yes"?>
<Relationships xmlns="http://schemas.openxmlformats.org/package/2006/relationships"><Relationship Id="rId3" Type="http://schemas.openxmlformats.org/officeDocument/2006/relationships/oleObject" Target="file:///C:\Data\Bootcamp\Homework\01%20Kickstart%20StarterBook.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[01 Kickstart StarterBook.xlsx]Pivot - count!PivotTable1</c:name>
    <c:fmtId val="-1"/>
  </c:pivotSource>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1"/>
          </a:solidFill>
          <a:ln>
            <a:noFill/>
          </a:ln>
          <a:effectLst>
            <a:outerShdw blurRad="254000" sx="102000" sy="102000" algn="ctr" rotWithShape="0">
              <a:prstClr val="black">
                <a:alpha val="20000"/>
              </a:prstClr>
            </a:outerShdw>
          </a:effectLst>
        </c:spPr>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pivotFmt>
      <c:pivotFmt>
        <c:idx val="10"/>
        <c:spPr>
          <a:solidFill>
            <a:schemeClr val="accent1"/>
          </a:solidFill>
          <a:ln>
            <a:noFill/>
          </a:ln>
          <a:effectLst>
            <a:outerShdw blurRad="254000" sx="102000" sy="102000" algn="ctr" rotWithShape="0">
              <a:prstClr val="black">
                <a:alpha val="20000"/>
              </a:prstClr>
            </a:outerShdw>
          </a:effectLst>
        </c:spPr>
      </c:pivotFmt>
    </c:pivotFmts>
    <c:plotArea>
      <c:layout/>
      <c:pieChart>
        <c:varyColors val="1"/>
        <c:ser>
          <c:idx val="0"/>
          <c:order val="0"/>
          <c:tx>
            <c:strRef>
              <c:f>'Pivot - count'!$B$3</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E16-4EF1-879A-28B23859F9B4}"/>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E16-4EF1-879A-28B23859F9B4}"/>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E16-4EF1-879A-28B23859F9B4}"/>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E16-4EF1-879A-28B23859F9B4}"/>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'Pivot - count'!$A$4:$A$8</c:f>
              <c:strCache>
                <c:ptCount val="4"/>
                <c:pt idx="0">
                  <c:v>canceled</c:v>
                </c:pt>
                <c:pt idx="1">
                  <c:v>failed</c:v>
                </c:pt>
                <c:pt idx="2">
                  <c:v>live</c:v>
                </c:pt>
                <c:pt idx="3">
                  <c:v>successful</c:v>
                </c:pt>
              </c:strCache>
            </c:strRef>
          </c:cat>
          <c:val>
            <c:numRef>
              <c:f>'Pivot - count'!$B$4:$B$8</c:f>
              <c:numCache>
                <c:formatCode>General</c:formatCode>
                <c:ptCount val="4"/>
                <c:pt idx="0">
                  <c:v>349</c:v>
                </c:pt>
                <c:pt idx="1">
                  <c:v>1530</c:v>
                </c:pt>
                <c:pt idx="2">
                  <c:v>50</c:v>
                </c:pt>
                <c:pt idx="3">
                  <c:v>2185</c:v>
                </c:pt>
              </c:numCache>
            </c:numRef>
          </c:val>
          <c:extLst>
            <c:ext xmlns:c16="http://schemas.microsoft.com/office/drawing/2014/chart" uri="{C3380CC4-5D6E-409C-BE32-E72D297353CC}">
              <c16:uniqueId val="{00000008-FE16-4EF1-879A-28B23859F9B4}"/>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[01 Kickstart StarterBook.xlsx]Pivot - Count by country!PivotTable2</c:name>
    <c:fmtId val="-1"/>
  </c:pivotSource>
  <c:chart>
    <c:autoTitleDeleted val="1"/>
    <c:pivotFmts>
      <c:pivotFmt>
        <c:idx val="0"/>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s>
    <c:plotArea>
      <c:layout/>
      <c:barChart>
        <c:barDir val="col"/>
        <c:grouping val="stacked"/>
        <c:varyColors val="0"/>
        <c:ser>
          <c:idx val="0"/>
          <c:order val="0"/>
          <c:tx>
            <c:strRef>
              <c:f>'Pivot - Count by country'!$B$3:$B$4</c:f>
              <c:strCache>
                <c:ptCount val="1"/>
                <c:pt idx="0">
                  <c:v>canceled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'Pivot - Count by country'!$A$5:$A$26</c:f>
              <c:strCache>
                <c:ptCount val="21"/>
                <c:pt idx="0">
                  <c:v>AT</c:v>
                </c:pt>
                <c:pt idx="1">
                  <c:v>AU</c:v>
                </c:pt>
                <c:pt idx="2">
                  <c:v>BE</c:v>
                </c:pt>
                <c:pt idx="3">
                  <c:v>CA</c:v>
                </c:pt>
                <c:pt idx="4">
                  <c:v>CH</c:v>
                </c:pt>
                <c:pt idx="5">
                  <c:v>DE</c:v>
                </c:pt>
                <c:pt idx="6">
                  <c:v>DK</c:v>
                </c:pt>
                <c:pt idx="7">
                  <c:v>ES</c:v>
                </c:pt>
                <c:pt idx="8">
                  <c:v>FR</c:v>
                </c:pt>
                <c:pt idx="9">
                  <c:v>GB</c:v>
                </c:pt>
                <c:pt idx="10">
                  <c:v>HK</c:v>
                </c:pt>
                <c:pt idx="11">
                  <c:v>IE</c:v>
                </c:pt>
                <c:pt idx="12">
                  <c:v>IT</c:v>
                </c:pt>
                <c:pt idx="13">
                  <c:v>LU</c:v>
                </c:pt>
                <c:pt idx="14">
                  <c:v>MX</c:v>
                </c:pt>
                <c:pt idx="15">
                  <c:v>NL</c:v>
                </c:pt>
                <c:pt idx="16">
                  <c:v>NO</c:v>
                </c:pt>
                <c:pt idx="17">
                  <c:v>NZ</c:v>
                </c:pt>
                <c:pt idx="18">
                  <c:v>SE</c:v>
                </c:pt>
                <c:pt idx="19">
                  <c:v>SG</c:v>
                </c:pt>
                <c:pt idx="20">
                  <c:v>US</c:v>
                </c:pt>
              </c:strCache>
            </c:strRef>
          </c:cat>
          <c:val>
            <c:numRef>
              <c:f>'Pivot - Count by country'!$B$5:$B$26</c:f>
              <c:numCache>
                <c:formatCode>General</c:formatCode>
                <c:ptCount val="21"/>
                <c:pt idx="1">
                  <c:v>14</c:v>
                </c:pt>
                <c:pt idx="3">
                  <c:v>17</c:v>
                </c:pt>
                <c:pt idx="4">
                  <c:v>3</c:v>
                </c:pt>
                <c:pt idx="5">
                  <c:v>3</c:v>
                </c:pt>
                <c:pt idx="6">
                  <c:v>4</c:v>
                </c:pt>
                <c:pt idx="7">
                  <c:v>1</c:v>
                </c:pt>
                <c:pt idx="8">
                  <c:v>5</c:v>
                </c:pt>
                <c:pt idx="9">
                  <c:v>25</c:v>
                </c:pt>
                <c:pt idx="10">
                  <c:v>1</c:v>
                </c:pt>
                <c:pt idx="11">
                  <c:v>2</c:v>
                </c:pt>
                <c:pt idx="12">
                  <c:v>3</c:v>
                </c:pt>
                <c:pt idx="14">
                  <c:v>1</c:v>
                </c:pt>
                <c:pt idx="15">
                  <c:v>4</c:v>
                </c:pt>
                <c:pt idx="17">
                  <c:v>4</c:v>
                </c:pt>
                <c:pt idx="18">
                  <c:v>5</c:v>
                </c:pt>
                <c:pt idx="20">
                  <c:v>257</c:v>
                </c:pt>
              </c:numCache>
            </c:numRef>
          </c:val>
          <c:extLst>
            <c:ext xmlns:c16="http://schemas.microsoft.com/office/drawing/2014/chart" uri="{C3380CC4-5D6E-409C-BE32-E72D297353CC}">
              <c16:uniqueId val="{00000000-FBBF-48BB-982B-FC55EE101ECE}"/>
            </c:ext>
          </c:extLst>
        </c:ser>
        <c:ser>
          <c:idx val="1"/>
          <c:order val="1"/>
          <c:tx>
            <c:strRef>
              <c:f>'Pivot - Count by country'!$C$3:$C$4</c:f>
              <c:strCache>
                <c:ptCount val="1"/>
                <c:pt idx="0">
                  <c:v>failed</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'Pivot - Count by country'!$A$5:$A$26</c:f>
              <c:strCache>
                <c:ptCount val="21"/>
                <c:pt idx="0">
                  <c:v>AT</c:v>
                </c:pt>
                <c:pt idx="1">
                  <c:v>AU</c:v>
                </c:pt>
                <c:pt idx="2">
                  <c:v>BE</c:v>
                </c:pt>
                <c:pt idx="3">
                  <c:v>CA</c:v>
                </c:pt>
                <c:pt idx="4">
                  <c:v>CH</c:v>
                </c:pt>
                <c:pt idx="5">
                  <c:v>DE</c:v>
                </c:pt>
                <c:pt idx="6">
                  <c:v>DK</c:v>
                </c:pt>
                <c:pt idx="7">
                  <c:v>ES</c:v>
                </c:pt>
                <c:pt idx="8">
                  <c:v>FR</c:v>
                </c:pt>
                <c:pt idx="9">
                  <c:v>GB</c:v>
                </c:pt>
                <c:pt idx="10">
                  <c:v>HK</c:v>
                </c:pt>
                <c:pt idx="11">
                  <c:v>IE</c:v>
                </c:pt>
                <c:pt idx="12">
                  <c:v>IT</c:v>
                </c:pt>
                <c:pt idx="13">
                  <c:v>LU</c:v>
                </c:pt>
                <c:pt idx="14">
                  <c:v>MX</c:v>
                </c:pt>
                <c:pt idx="15">
                  <c:v>NL</c:v>
                </c:pt>
                <c:pt idx="16">
                  <c:v>NO</c:v>
                </c:pt>
                <c:pt idx="17">
                  <c:v>NZ</c:v>
                </c:pt>
                <c:pt idx="18">
                  <c:v>SE</c:v>
                </c:pt>
                <c:pt idx="19">
                  <c:v>SG</c:v>
                </c:pt>
                <c:pt idx="20">
                  <c:v>US</c:v>
                </c:pt>
              </c:strCache>
            </c:strRef>
          </c:cat>
          <c:val>
            <c:numRef>
              <c:f>'Pivot - Count by country'!$C$5:$C$26</c:f>
              <c:numCache>
                <c:formatCode>General</c:formatCode>
                <c:ptCount val="21"/>
                <c:pt idx="0">
                  <c:v>2</c:v>
                </c:pt>
                <c:pt idx="1">
                  <c:v>41</c:v>
                </c:pt>
                <c:pt idx="2">
                  <c:v>1</c:v>
                </c:pt>
                <c:pt idx="3">
                  <c:v>64</c:v>
                </c:pt>
                <c:pt idx="4">
                  <c:v>2</c:v>
                </c:pt>
                <c:pt idx="5">
                  <c:v>27</c:v>
                </c:pt>
                <c:pt idx="6">
                  <c:v>6</c:v>
                </c:pt>
                <c:pt idx="7">
                  <c:v>9</c:v>
                </c:pt>
                <c:pt idx="8">
                  <c:v>10</c:v>
                </c:pt>
                <c:pt idx="9">
                  <c:v>205</c:v>
                </c:pt>
                <c:pt idx="10">
                  <c:v>2</c:v>
                </c:pt>
                <c:pt idx="11">
                  <c:v>4</c:v>
                </c:pt>
                <c:pt idx="12">
                  <c:v>19</c:v>
                </c:pt>
                <c:pt idx="14">
                  <c:v>8</c:v>
                </c:pt>
                <c:pt idx="15">
                  <c:v>14</c:v>
                </c:pt>
                <c:pt idx="16">
                  <c:v>5</c:v>
                </c:pt>
                <c:pt idx="17">
                  <c:v>5</c:v>
                </c:pt>
                <c:pt idx="18">
                  <c:v>9</c:v>
                </c:pt>
                <c:pt idx="20">
                  <c:v>1097</c:v>
                </c:pt>
              </c:numCache>
            </c:numRef>
          </c:val>
          <c:extLst>
            <c:ext xmlns:c16="http://schemas.microsoft.com/office/drawing/2014/chart" uri="{C3380CC4-5D6E-409C-BE32-E72D297353CC}">
              <c16:uniqueId val="{00000001-FBBF-48BB-982B-FC55EE101ECE}"/>
            </c:ext>
          </c:extLst>
        </c:ser>
        <c:ser>
          <c:idx val="2"/>
          <c:order val="2"/>
          <c:tx>
            <c:strRef>
              <c:f>'Pivot - Count by country'!$D$3:$D$4</c:f>
              <c:strCache>
                <c:ptCount val="1"/>
                <c:pt idx="0">
                  <c:v>live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'Pivot - Count by country'!$A$5:$A$26</c:f>
              <c:strCache>
                <c:ptCount val="21"/>
                <c:pt idx="0">
                  <c:v>AT</c:v>
                </c:pt>
                <c:pt idx="1">
                  <c:v>AU</c:v>
                </c:pt>
                <c:pt idx="2">
                  <c:v>BE</c:v>
                </c:pt>
                <c:pt idx="3">
                  <c:v>CA</c:v>
                </c:pt>
                <c:pt idx="4">
                  <c:v>CH</c:v>
                </c:pt>
                <c:pt idx="5">
                  <c:v>DE</c:v>
                </c:pt>
                <c:pt idx="6">
                  <c:v>DK</c:v>
                </c:pt>
                <c:pt idx="7">
                  <c:v>ES</c:v>
                </c:pt>
                <c:pt idx="8">
                  <c:v>FR</c:v>
                </c:pt>
                <c:pt idx="9">
                  <c:v>GB</c:v>
                </c:pt>
                <c:pt idx="10">
                  <c:v>HK</c:v>
                </c:pt>
                <c:pt idx="11">
                  <c:v>IE</c:v>
                </c:pt>
                <c:pt idx="12">
                  <c:v>IT</c:v>
                </c:pt>
                <c:pt idx="13">
                  <c:v>LU</c:v>
                </c:pt>
                <c:pt idx="14">
                  <c:v>MX</c:v>
                </c:pt>
                <c:pt idx="15">
                  <c:v>NL</c:v>
                </c:pt>
                <c:pt idx="16">
                  <c:v>NO</c:v>
                </c:pt>
                <c:pt idx="17">
                  <c:v>NZ</c:v>
                </c:pt>
                <c:pt idx="18">
                  <c:v>SE</c:v>
                </c:pt>
                <c:pt idx="19">
                  <c:v>SG</c:v>
                </c:pt>
                <c:pt idx="20">
                  <c:v>US</c:v>
                </c:pt>
              </c:strCache>
            </c:strRef>
          </c:cat>
          <c:val>
            <c:numRef>
              <c:f>'Pivot - Count by country'!$D$5:$D$26</c:f>
              <c:numCache>
                <c:formatCode>General</c:formatCode>
                <c:ptCount val="21"/>
                <c:pt idx="0">
                  <c:v>1</c:v>
                </c:pt>
                <c:pt idx="3">
                  <c:v>1</c:v>
                </c:pt>
                <c:pt idx="8">
                  <c:v>2</c:v>
                </c:pt>
                <c:pt idx="9">
                  <c:v>8</c:v>
                </c:pt>
                <c:pt idx="11">
                  <c:v>1</c:v>
                </c:pt>
                <c:pt idx="14">
                  <c:v>3</c:v>
                </c:pt>
                <c:pt idx="15">
                  <c:v>1</c:v>
                </c:pt>
                <c:pt idx="20">
                  <c:v>33</c:v>
                </c:pt>
              </c:numCache>
            </c:numRef>
          </c:val>
          <c:extLst>
            <c:ext xmlns:c16="http://schemas.microsoft.com/office/drawing/2014/chart" uri="{C3380CC4-5D6E-409C-BE32-E72D297353CC}">
              <c16:uniqueId val="{00000002-FBBF-48BB-982B-FC55EE101ECE}"/>
            </c:ext>
          </c:extLst>
        </c:ser>
        <c:ser>
          <c:idx val="3"/>
          <c:order val="3"/>
          <c:tx>
            <c:strRef>
              <c:f>'Pivot - Count by country'!$E$3:$E$4</c:f>
              <c:strCache>
                <c:ptCount val="1"/>
                <c:pt idx="0">
                  <c:v>successful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'Pivot - Count by country'!$A$5:$A$26</c:f>
              <c:strCache>
                <c:ptCount val="21"/>
                <c:pt idx="0">
                  <c:v>AT</c:v>
                </c:pt>
                <c:pt idx="1">
                  <c:v>AU</c:v>
                </c:pt>
                <c:pt idx="2">
                  <c:v>BE</c:v>
                </c:pt>
                <c:pt idx="3">
                  <c:v>CA</c:v>
                </c:pt>
                <c:pt idx="4">
                  <c:v>CH</c:v>
                </c:pt>
                <c:pt idx="5">
                  <c:v>DE</c:v>
                </c:pt>
                <c:pt idx="6">
                  <c:v>DK</c:v>
                </c:pt>
                <c:pt idx="7">
                  <c:v>ES</c:v>
                </c:pt>
                <c:pt idx="8">
                  <c:v>FR</c:v>
                </c:pt>
                <c:pt idx="9">
                  <c:v>GB</c:v>
                </c:pt>
                <c:pt idx="10">
                  <c:v>HK</c:v>
                </c:pt>
                <c:pt idx="11">
                  <c:v>IE</c:v>
                </c:pt>
                <c:pt idx="12">
                  <c:v>IT</c:v>
                </c:pt>
                <c:pt idx="13">
                  <c:v>LU</c:v>
                </c:pt>
                <c:pt idx="14">
                  <c:v>MX</c:v>
                </c:pt>
                <c:pt idx="15">
                  <c:v>NL</c:v>
                </c:pt>
                <c:pt idx="16">
                  <c:v>NO</c:v>
                </c:pt>
                <c:pt idx="17">
                  <c:v>NZ</c:v>
                </c:pt>
                <c:pt idx="18">
                  <c:v>SE</c:v>
                </c:pt>
                <c:pt idx="19">
                  <c:v>SG</c:v>
                </c:pt>
                <c:pt idx="20">
                  <c:v>US</c:v>
                </c:pt>
              </c:strCache>
            </c:strRef>
          </c:cat>
          <c:val>
            <c:numRef>
              <c:f>'Pivot - Count by country'!$E$5:$E$26</c:f>
              <c:numCache>
                <c:formatCode>General</c:formatCode>
                <c:ptCount val="21"/>
                <c:pt idx="0">
                  <c:v>3</c:v>
                </c:pt>
                <c:pt idx="1">
                  <c:v>19</c:v>
                </c:pt>
                <c:pt idx="2">
                  <c:v>1</c:v>
                </c:pt>
                <c:pt idx="3">
                  <c:v>64</c:v>
                </c:pt>
                <c:pt idx="4">
                  <c:v>1</c:v>
                </c:pt>
                <c:pt idx="5">
                  <c:v>23</c:v>
                </c:pt>
                <c:pt idx="6">
                  <c:v>4</c:v>
                </c:pt>
                <c:pt idx="7">
                  <c:v>11</c:v>
                </c:pt>
                <c:pt idx="8">
                  <c:v>10</c:v>
                </c:pt>
                <c:pt idx="9">
                  <c:v>366</c:v>
                </c:pt>
                <c:pt idx="11">
                  <c:v>8</c:v>
                </c:pt>
                <c:pt idx="12">
                  <c:v>7</c:v>
                </c:pt>
                <c:pt idx="13">
                  <c:v>2</c:v>
                </c:pt>
                <c:pt idx="15">
                  <c:v>2</c:v>
                </c:pt>
                <c:pt idx="16">
                  <c:v>2</c:v>
                </c:pt>
                <c:pt idx="17">
                  <c:v>3</c:v>
                </c:pt>
                <c:pt idx="18">
                  <c:v>7</c:v>
                </c:pt>
                <c:pt idx="19">
                  <c:v>1</c:v>
                </c:pt>
                <c:pt idx="20">
                  <c:v>1651</c:v>
                </c:pt>
              </c:numCache>
            </c:numRef>
          </c:val>
          <c:extLst>
            <c:ext xmlns:c16="http://schemas.microsoft.com/office/drawing/2014/chart" uri="{C3380CC4-5D6E-409C-BE32-E72D297353CC}">
              <c16:uniqueId val="{00000003-FBBF-48BB-982B-FC55EE101ECE}"/>
            </c:ext>
          </c:extLst>
        </c:ser>
        <c:dLbls>
          <c:showLegendKey val="0"/>
          <c:showVal val="0"/>
          <c:showCatName val="0"/>
          <c:showSerName val="0"/>
          <c:showPercent val="0"/>
          <c:showBubbleSize val="0"/>
        </c:dLbls>
        <c:gapWidth val="55"/>
        <c:overlap val="100"/>
        <c:axId val="543769104"/>
        <c:axId val="543767464"/>
      </c:barChart>
      <c:catAx>
        <c:axId val="54376910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767464"/>
        <c:crosses val="autoZero"/>
        <c:auto val="1"/>
        <c:lblAlgn val="ctr"/>
        <c:lblOffset val="100"/>
        <c:noMultiLvlLbl val="0"/>
      </c:catAx>
      <c:valAx>
        <c:axId val="543767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7691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[01 Kickstart StarterBook.xlsx]Pivot - subcat and status!PivotTable3</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s>
    <c:plotArea>
      <c:layout/>
      <c:barChart>
        <c:barDir val="col"/>
        <c:grouping val="stacked"/>
        <c:varyColors val="0"/>
        <c:ser>
          <c:idx val="0"/>
          <c:order val="0"/>
          <c:tx>
            <c:strRef>
              <c:f>'Pivot - subcat and status'!$B$4:$B$5</c:f>
              <c:strCache>
                <c:ptCount val="1"/>
                <c:pt idx="0">
                  <c:v>canceled</c:v>
                </c:pt>
              </c:strCache>
            </c:strRef>
          </c:tx>
          <c:spPr>
            <a:solidFill>
              <a:schemeClr val="accent1"/>
            </a:solidFill>
            <a:ln>
              <a:noFill/>
            </a:ln>
            <a:effectLst/>
          </c:spPr>
          <c:invertIfNegative val="0"/>
          <c:cat>
            <c:strRef>
              <c:f>'Pivot - subcat and status'!$A$6:$A$47</c:f>
              <c:strCache>
                <c:ptCount val="41"/>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strCache>
            </c:strRef>
          </c:cat>
          <c:val>
            <c:numRef>
              <c:f>'Pivot - subcat and status'!$B$6:$B$47</c:f>
              <c:numCache>
                <c:formatCode>General</c:formatCode>
                <c:ptCount val="41"/>
                <c:pt idx="1">
                  <c:v>20</c:v>
                </c:pt>
                <c:pt idx="2">
                  <c:v>24</c:v>
                </c:pt>
                <c:pt idx="10">
                  <c:v>20</c:v>
                </c:pt>
                <c:pt idx="18">
                  <c:v>20</c:v>
                </c:pt>
                <c:pt idx="29">
                  <c:v>40</c:v>
                </c:pt>
                <c:pt idx="32">
                  <c:v>18</c:v>
                </c:pt>
                <c:pt idx="33">
                  <c:v>17</c:v>
                </c:pt>
                <c:pt idx="36">
                  <c:v>10</c:v>
                </c:pt>
                <c:pt idx="38">
                  <c:v>60</c:v>
                </c:pt>
                <c:pt idx="39">
                  <c:v>100</c:v>
                </c:pt>
                <c:pt idx="40">
                  <c:v>20</c:v>
                </c:pt>
              </c:numCache>
            </c:numRef>
          </c:val>
          <c:extLst>
            <c:ext xmlns:c16="http://schemas.microsoft.com/office/drawing/2014/chart" uri="{C3380CC4-5D6E-409C-BE32-E72D297353CC}">
              <c16:uniqueId val="{00000000-5CC9-46B0-B28B-B2D3F6BF5130}"/>
            </c:ext>
          </c:extLst>
        </c:ser>
        <c:ser>
          <c:idx val="1"/>
          <c:order val="1"/>
          <c:tx>
            <c:strRef>
              <c:f>'Pivot - subcat and status'!$C$4:$C$5</c:f>
              <c:strCache>
                <c:ptCount val="1"/>
                <c:pt idx="0">
                  <c:v>failed</c:v>
                </c:pt>
              </c:strCache>
            </c:strRef>
          </c:tx>
          <c:spPr>
            <a:solidFill>
              <a:schemeClr val="accent2"/>
            </a:solidFill>
            <a:ln>
              <a:noFill/>
            </a:ln>
            <a:effectLst/>
          </c:spPr>
          <c:invertIfNegative val="0"/>
          <c:cat>
            <c:strRef>
              <c:f>'Pivot - subcat and status'!$A$6:$A$47</c:f>
              <c:strCache>
                <c:ptCount val="41"/>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strCache>
            </c:strRef>
          </c:cat>
          <c:val>
            <c:numRef>
              <c:f>'Pivot - subcat and status'!$C$6:$C$47</c:f>
              <c:numCache>
                <c:formatCode>General</c:formatCode>
                <c:ptCount val="41"/>
                <c:pt idx="0">
                  <c:v>100</c:v>
                </c:pt>
                <c:pt idx="3">
                  <c:v>40</c:v>
                </c:pt>
                <c:pt idx="6">
                  <c:v>80</c:v>
                </c:pt>
                <c:pt idx="8">
                  <c:v>40</c:v>
                </c:pt>
                <c:pt idx="9">
                  <c:v>40</c:v>
                </c:pt>
                <c:pt idx="10">
                  <c:v>120</c:v>
                </c:pt>
                <c:pt idx="11">
                  <c:v>20</c:v>
                </c:pt>
                <c:pt idx="13">
                  <c:v>20</c:v>
                </c:pt>
                <c:pt idx="14">
                  <c:v>60</c:v>
                </c:pt>
                <c:pt idx="15">
                  <c:v>11</c:v>
                </c:pt>
                <c:pt idx="17">
                  <c:v>40</c:v>
                </c:pt>
                <c:pt idx="18">
                  <c:v>60</c:v>
                </c:pt>
                <c:pt idx="19">
                  <c:v>20</c:v>
                </c:pt>
                <c:pt idx="21">
                  <c:v>20</c:v>
                </c:pt>
                <c:pt idx="22">
                  <c:v>57</c:v>
                </c:pt>
                <c:pt idx="23">
                  <c:v>20</c:v>
                </c:pt>
                <c:pt idx="24">
                  <c:v>353</c:v>
                </c:pt>
                <c:pt idx="27">
                  <c:v>20</c:v>
                </c:pt>
                <c:pt idx="32">
                  <c:v>2</c:v>
                </c:pt>
                <c:pt idx="33">
                  <c:v>80</c:v>
                </c:pt>
                <c:pt idx="36">
                  <c:v>47</c:v>
                </c:pt>
                <c:pt idx="37">
                  <c:v>100</c:v>
                </c:pt>
                <c:pt idx="38">
                  <c:v>120</c:v>
                </c:pt>
                <c:pt idx="39">
                  <c:v>60</c:v>
                </c:pt>
              </c:numCache>
            </c:numRef>
          </c:val>
          <c:extLst>
            <c:ext xmlns:c16="http://schemas.microsoft.com/office/drawing/2014/chart" uri="{C3380CC4-5D6E-409C-BE32-E72D297353CC}">
              <c16:uniqueId val="{00000001-5CC9-46B0-B28B-B2D3F6BF5130}"/>
            </c:ext>
          </c:extLst>
        </c:ser>
        <c:ser>
          <c:idx val="2"/>
          <c:order val="2"/>
          <c:tx>
            <c:strRef>
              <c:f>'Pivot - subcat and status'!$D$4:$D$5</c:f>
              <c:strCache>
                <c:ptCount val="1"/>
                <c:pt idx="0">
                  <c:v>live</c:v>
                </c:pt>
              </c:strCache>
            </c:strRef>
          </c:tx>
          <c:spPr>
            <a:solidFill>
              <a:schemeClr val="accent3"/>
            </a:solidFill>
            <a:ln>
              <a:noFill/>
            </a:ln>
            <a:effectLst/>
          </c:spPr>
          <c:invertIfNegative val="0"/>
          <c:cat>
            <c:strRef>
              <c:f>'Pivot - subcat and status'!$A$6:$A$47</c:f>
              <c:strCache>
                <c:ptCount val="41"/>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strCache>
            </c:strRef>
          </c:cat>
          <c:val>
            <c:numRef>
              <c:f>'Pivot - subcat and status'!$D$6:$D$47</c:f>
              <c:numCache>
                <c:formatCode>General</c:formatCode>
                <c:ptCount val="41"/>
                <c:pt idx="8">
                  <c:v>20</c:v>
                </c:pt>
                <c:pt idx="24">
                  <c:v>19</c:v>
                </c:pt>
                <c:pt idx="31">
                  <c:v>6</c:v>
                </c:pt>
                <c:pt idx="33">
                  <c:v>5</c:v>
                </c:pt>
              </c:numCache>
            </c:numRef>
          </c:val>
          <c:extLst>
            <c:ext xmlns:c16="http://schemas.microsoft.com/office/drawing/2014/chart" uri="{C3380CC4-5D6E-409C-BE32-E72D297353CC}">
              <c16:uniqueId val="{00000002-5CC9-46B0-B28B-B2D3F6BF5130}"/>
            </c:ext>
          </c:extLst>
        </c:ser>
        <c:ser>
          <c:idx val="3"/>
          <c:order val="3"/>
          <c:tx>
            <c:strRef>
              <c:f>'Pivot - subcat and status'!$E$4:$E$5</c:f>
              <c:strCache>
                <c:ptCount val="1"/>
                <c:pt idx="0">
                  <c:v>successful</c:v>
                </c:pt>
              </c:strCache>
            </c:strRef>
          </c:tx>
          <c:spPr>
            <a:solidFill>
              <a:schemeClr val="accent4"/>
            </a:solidFill>
            <a:ln>
              <a:noFill/>
            </a:ln>
            <a:effectLst/>
          </c:spPr>
          <c:invertIfNegative val="0"/>
          <c:cat>
            <c:strRef>
              <c:f>'Pivot - subcat and status'!$A$6:$A$47</c:f>
              <c:strCache>
                <c:ptCount val="41"/>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strCache>
            </c:strRef>
          </c:cat>
          <c:val>
            <c:numRef>
              <c:f>'Pivot - subcat and status'!$E$6:$E$47</c:f>
              <c:numCache>
                <c:formatCode>General</c:formatCode>
                <c:ptCount val="41"/>
                <c:pt idx="4">
                  <c:v>40</c:v>
                </c:pt>
                <c:pt idx="5">
                  <c:v>180</c:v>
                </c:pt>
                <c:pt idx="7">
                  <c:v>40</c:v>
                </c:pt>
                <c:pt idx="12">
                  <c:v>140</c:v>
                </c:pt>
                <c:pt idx="13">
                  <c:v>140</c:v>
                </c:pt>
                <c:pt idx="15">
                  <c:v>9</c:v>
                </c:pt>
                <c:pt idx="16">
                  <c:v>20</c:v>
                </c:pt>
                <c:pt idx="18">
                  <c:v>60</c:v>
                </c:pt>
                <c:pt idx="20">
                  <c:v>60</c:v>
                </c:pt>
                <c:pt idx="22">
                  <c:v>103</c:v>
                </c:pt>
                <c:pt idx="24">
                  <c:v>694</c:v>
                </c:pt>
                <c:pt idx="25">
                  <c:v>40</c:v>
                </c:pt>
                <c:pt idx="26">
                  <c:v>20</c:v>
                </c:pt>
                <c:pt idx="28">
                  <c:v>260</c:v>
                </c:pt>
                <c:pt idx="30">
                  <c:v>60</c:v>
                </c:pt>
                <c:pt idx="31">
                  <c:v>34</c:v>
                </c:pt>
                <c:pt idx="32">
                  <c:v>40</c:v>
                </c:pt>
                <c:pt idx="33">
                  <c:v>85</c:v>
                </c:pt>
                <c:pt idx="34">
                  <c:v>80</c:v>
                </c:pt>
                <c:pt idx="35">
                  <c:v>60</c:v>
                </c:pt>
                <c:pt idx="38">
                  <c:v>20</c:v>
                </c:pt>
              </c:numCache>
            </c:numRef>
          </c:val>
          <c:extLst>
            <c:ext xmlns:c16="http://schemas.microsoft.com/office/drawing/2014/chart" uri="{C3380CC4-5D6E-409C-BE32-E72D297353CC}">
              <c16:uniqueId val="{00000003-5CC9-46B0-B28B-B2D3F6BF5130}"/>
            </c:ext>
          </c:extLst>
        </c:ser>
        <c:dLbls>
          <c:showLegendKey val="0"/>
          <c:showVal val="0"/>
          <c:showCatName val="0"/>
          <c:showSerName val="0"/>
          <c:showPercent val="0"/>
          <c:showBubbleSize val="0"/>
        </c:dLbls>
        <c:gapWidth val="219"/>
        <c:overlap val="100"/>
        <c:axId val="553785192"/>
        <c:axId val="553779944"/>
      </c:barChart>
      <c:catAx>
        <c:axId val="553785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3779944"/>
        <c:crosses val="autoZero"/>
        <c:auto val="1"/>
        <c:lblAlgn val="ctr"/>
        <c:lblOffset val="100"/>
        <c:noMultiLvlLbl val="0"/>
      </c:catAx>
      <c:valAx>
        <c:axId val="553779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37851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[01 Kickstart StarterBook.xlsx]Add #1!PivotTable5</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s>
    <c:plotArea>
      <c:layout/>
      <c:barChart>
        <c:barDir val="col"/>
        <c:grouping val="percentStacked"/>
        <c:varyColors val="0"/>
        <c:ser>
          <c:idx val="0"/>
          <c:order val="0"/>
          <c:tx>
            <c:strRef>
              <c:f>'Add #1'!$B$3:$B$4</c:f>
              <c:strCache>
                <c:ptCount val="1"/>
                <c:pt idx="0">
                  <c:v>canceled</c:v>
                </c:pt>
              </c:strCache>
            </c:strRef>
          </c:tx>
          <c:spPr>
            <a:solidFill>
              <a:schemeClr val="accent1"/>
            </a:solidFill>
            <a:ln>
              <a:noFill/>
            </a:ln>
            <a:effectLst/>
          </c:spPr>
          <c:invertIfNegative val="0"/>
          <c:cat>
            <c:strRef>
              <c:f>'Add #1'!$A$5:$A$24</c:f>
              <c:strCache>
                <c:ptCount val="19"/>
                <c:pt idx="0">
                  <c:v>AT</c:v>
                </c:pt>
                <c:pt idx="1">
                  <c:v>AU</c:v>
                </c:pt>
                <c:pt idx="2">
                  <c:v>CA</c:v>
                </c:pt>
                <c:pt idx="3">
                  <c:v>CH</c:v>
                </c:pt>
                <c:pt idx="4">
                  <c:v>DE</c:v>
                </c:pt>
                <c:pt idx="5">
                  <c:v>DK</c:v>
                </c:pt>
                <c:pt idx="6">
                  <c:v>ES</c:v>
                </c:pt>
                <c:pt idx="7">
                  <c:v>FR</c:v>
                </c:pt>
                <c:pt idx="8">
                  <c:v>GB</c:v>
                </c:pt>
                <c:pt idx="9">
                  <c:v>IE</c:v>
                </c:pt>
                <c:pt idx="10">
                  <c:v>IT</c:v>
                </c:pt>
                <c:pt idx="11">
                  <c:v>LU</c:v>
                </c:pt>
                <c:pt idx="12">
                  <c:v>MX</c:v>
                </c:pt>
                <c:pt idx="13">
                  <c:v>NL</c:v>
                </c:pt>
                <c:pt idx="14">
                  <c:v>NO</c:v>
                </c:pt>
                <c:pt idx="15">
                  <c:v>NZ</c:v>
                </c:pt>
                <c:pt idx="16">
                  <c:v>SE</c:v>
                </c:pt>
                <c:pt idx="17">
                  <c:v>SG</c:v>
                </c:pt>
                <c:pt idx="18">
                  <c:v>US</c:v>
                </c:pt>
              </c:strCache>
            </c:strRef>
          </c:cat>
          <c:val>
            <c:numRef>
              <c:f>'Add #1'!$B$5:$B$24</c:f>
              <c:numCache>
                <c:formatCode>General</c:formatCode>
                <c:ptCount val="19"/>
                <c:pt idx="1">
                  <c:v>2</c:v>
                </c:pt>
                <c:pt idx="2">
                  <c:v>1</c:v>
                </c:pt>
                <c:pt idx="5">
                  <c:v>1</c:v>
                </c:pt>
                <c:pt idx="8">
                  <c:v>6</c:v>
                </c:pt>
                <c:pt idx="15">
                  <c:v>1</c:v>
                </c:pt>
                <c:pt idx="18">
                  <c:v>26</c:v>
                </c:pt>
              </c:numCache>
            </c:numRef>
          </c:val>
          <c:extLst>
            <c:ext xmlns:c16="http://schemas.microsoft.com/office/drawing/2014/chart" uri="{C3380CC4-5D6E-409C-BE32-E72D297353CC}">
              <c16:uniqueId val="{00000000-F1AE-4C01-A4D7-200D52141E01}"/>
            </c:ext>
          </c:extLst>
        </c:ser>
        <c:ser>
          <c:idx val="1"/>
          <c:order val="1"/>
          <c:tx>
            <c:strRef>
              <c:f>'Add #1'!$C$3:$C$4</c:f>
              <c:strCache>
                <c:ptCount val="1"/>
                <c:pt idx="0">
                  <c:v>failed</c:v>
                </c:pt>
              </c:strCache>
            </c:strRef>
          </c:tx>
          <c:spPr>
            <a:solidFill>
              <a:schemeClr val="accent2"/>
            </a:solidFill>
            <a:ln>
              <a:noFill/>
            </a:ln>
            <a:effectLst/>
          </c:spPr>
          <c:invertIfNegative val="0"/>
          <c:cat>
            <c:strRef>
              <c:f>'Add #1'!$A$5:$A$24</c:f>
              <c:strCache>
                <c:ptCount val="19"/>
                <c:pt idx="0">
                  <c:v>AT</c:v>
                </c:pt>
                <c:pt idx="1">
                  <c:v>AU</c:v>
                </c:pt>
                <c:pt idx="2">
                  <c:v>CA</c:v>
                </c:pt>
                <c:pt idx="3">
                  <c:v>CH</c:v>
                </c:pt>
                <c:pt idx="4">
                  <c:v>DE</c:v>
                </c:pt>
                <c:pt idx="5">
                  <c:v>DK</c:v>
                </c:pt>
                <c:pt idx="6">
                  <c:v>ES</c:v>
                </c:pt>
                <c:pt idx="7">
                  <c:v>FR</c:v>
                </c:pt>
                <c:pt idx="8">
                  <c:v>GB</c:v>
                </c:pt>
                <c:pt idx="9">
                  <c:v>IE</c:v>
                </c:pt>
                <c:pt idx="10">
                  <c:v>IT</c:v>
                </c:pt>
                <c:pt idx="11">
                  <c:v>LU</c:v>
                </c:pt>
                <c:pt idx="12">
                  <c:v>MX</c:v>
                </c:pt>
                <c:pt idx="13">
                  <c:v>NL</c:v>
                </c:pt>
                <c:pt idx="14">
                  <c:v>NO</c:v>
                </c:pt>
                <c:pt idx="15">
                  <c:v>NZ</c:v>
                </c:pt>
                <c:pt idx="16">
                  <c:v>SE</c:v>
                </c:pt>
                <c:pt idx="17">
                  <c:v>SG</c:v>
                </c:pt>
                <c:pt idx="18">
                  <c:v>US</c:v>
                </c:pt>
              </c:strCache>
            </c:strRef>
          </c:cat>
          <c:val>
            <c:numRef>
              <c:f>'Add #1'!$C$5:$C$24</c:f>
              <c:numCache>
                <c:formatCode>General</c:formatCode>
                <c:ptCount val="19"/>
                <c:pt idx="0">
                  <c:v>1</c:v>
                </c:pt>
                <c:pt idx="1">
                  <c:v>13</c:v>
                </c:pt>
                <c:pt idx="2">
                  <c:v>15</c:v>
                </c:pt>
                <c:pt idx="4">
                  <c:v>2</c:v>
                </c:pt>
                <c:pt idx="5">
                  <c:v>2</c:v>
                </c:pt>
                <c:pt idx="7">
                  <c:v>3</c:v>
                </c:pt>
                <c:pt idx="8">
                  <c:v>89</c:v>
                </c:pt>
                <c:pt idx="9">
                  <c:v>3</c:v>
                </c:pt>
                <c:pt idx="10">
                  <c:v>3</c:v>
                </c:pt>
                <c:pt idx="12">
                  <c:v>4</c:v>
                </c:pt>
                <c:pt idx="13">
                  <c:v>3</c:v>
                </c:pt>
                <c:pt idx="14">
                  <c:v>1</c:v>
                </c:pt>
                <c:pt idx="15">
                  <c:v>2</c:v>
                </c:pt>
                <c:pt idx="16">
                  <c:v>3</c:v>
                </c:pt>
                <c:pt idx="18">
                  <c:v>349</c:v>
                </c:pt>
              </c:numCache>
            </c:numRef>
          </c:val>
          <c:extLst>
            <c:ext xmlns:c16="http://schemas.microsoft.com/office/drawing/2014/chart" uri="{C3380CC4-5D6E-409C-BE32-E72D297353CC}">
              <c16:uniqueId val="{00000001-F1AE-4C01-A4D7-200D52141E01}"/>
            </c:ext>
          </c:extLst>
        </c:ser>
        <c:ser>
          <c:idx val="2"/>
          <c:order val="2"/>
          <c:tx>
            <c:strRef>
              <c:f>'Add #1'!$D$3:$D$4</c:f>
              <c:strCache>
                <c:ptCount val="1"/>
                <c:pt idx="0">
                  <c:v>live</c:v>
                </c:pt>
              </c:strCache>
            </c:strRef>
          </c:tx>
          <c:spPr>
            <a:solidFill>
              <a:schemeClr val="accent3"/>
            </a:solidFill>
            <a:ln>
              <a:noFill/>
            </a:ln>
            <a:effectLst/>
          </c:spPr>
          <c:invertIfNegative val="0"/>
          <c:cat>
            <c:strRef>
              <c:f>'Add #1'!$A$5:$A$24</c:f>
              <c:strCache>
                <c:ptCount val="19"/>
                <c:pt idx="0">
                  <c:v>AT</c:v>
                </c:pt>
                <c:pt idx="1">
                  <c:v>AU</c:v>
                </c:pt>
                <c:pt idx="2">
                  <c:v>CA</c:v>
                </c:pt>
                <c:pt idx="3">
                  <c:v>CH</c:v>
                </c:pt>
                <c:pt idx="4">
                  <c:v>DE</c:v>
                </c:pt>
                <c:pt idx="5">
                  <c:v>DK</c:v>
                </c:pt>
                <c:pt idx="6">
                  <c:v>ES</c:v>
                </c:pt>
                <c:pt idx="7">
                  <c:v>FR</c:v>
                </c:pt>
                <c:pt idx="8">
                  <c:v>GB</c:v>
                </c:pt>
                <c:pt idx="9">
                  <c:v>IE</c:v>
                </c:pt>
                <c:pt idx="10">
                  <c:v>IT</c:v>
                </c:pt>
                <c:pt idx="11">
                  <c:v>LU</c:v>
                </c:pt>
                <c:pt idx="12">
                  <c:v>MX</c:v>
                </c:pt>
                <c:pt idx="13">
                  <c:v>NL</c:v>
                </c:pt>
                <c:pt idx="14">
                  <c:v>NO</c:v>
                </c:pt>
                <c:pt idx="15">
                  <c:v>NZ</c:v>
                </c:pt>
                <c:pt idx="16">
                  <c:v>SE</c:v>
                </c:pt>
                <c:pt idx="17">
                  <c:v>SG</c:v>
                </c:pt>
                <c:pt idx="18">
                  <c:v>US</c:v>
                </c:pt>
              </c:strCache>
            </c:strRef>
          </c:cat>
          <c:val>
            <c:numRef>
              <c:f>'Add #1'!$D$5:$D$24</c:f>
              <c:numCache>
                <c:formatCode>General</c:formatCode>
                <c:ptCount val="19"/>
                <c:pt idx="7">
                  <c:v>1</c:v>
                </c:pt>
                <c:pt idx="8">
                  <c:v>6</c:v>
                </c:pt>
                <c:pt idx="9">
                  <c:v>1</c:v>
                </c:pt>
                <c:pt idx="12">
                  <c:v>3</c:v>
                </c:pt>
                <c:pt idx="13">
                  <c:v>1</c:v>
                </c:pt>
                <c:pt idx="18">
                  <c:v>12</c:v>
                </c:pt>
              </c:numCache>
            </c:numRef>
          </c:val>
          <c:extLst>
            <c:ext xmlns:c16="http://schemas.microsoft.com/office/drawing/2014/chart" uri="{C3380CC4-5D6E-409C-BE32-E72D297353CC}">
              <c16:uniqueId val="{00000002-F1AE-4C01-A4D7-200D52141E01}"/>
            </c:ext>
          </c:extLst>
        </c:ser>
        <c:ser>
          <c:idx val="3"/>
          <c:order val="3"/>
          <c:tx>
            <c:strRef>
              <c:f>'Add #1'!$E$3:$E$4</c:f>
              <c:strCache>
                <c:ptCount val="1"/>
                <c:pt idx="0">
                  <c:v>successful</c:v>
                </c:pt>
              </c:strCache>
            </c:strRef>
          </c:tx>
          <c:spPr>
            <a:solidFill>
              <a:schemeClr val="accent4"/>
            </a:solidFill>
            <a:ln>
              <a:noFill/>
            </a:ln>
            <a:effectLst/>
          </c:spPr>
          <c:invertIfNegative val="0"/>
          <c:cat>
            <c:strRef>
              <c:f>'Add #1'!$A$5:$A$24</c:f>
              <c:strCache>
                <c:ptCount val="19"/>
                <c:pt idx="0">
                  <c:v>AT</c:v>
                </c:pt>
                <c:pt idx="1">
                  <c:v>AU</c:v>
                </c:pt>
                <c:pt idx="2">
                  <c:v>CA</c:v>
                </c:pt>
                <c:pt idx="3">
                  <c:v>CH</c:v>
                </c:pt>
                <c:pt idx="4">
                  <c:v>DE</c:v>
                </c:pt>
                <c:pt idx="5">
                  <c:v>DK</c:v>
                </c:pt>
                <c:pt idx="6">
                  <c:v>ES</c:v>
                </c:pt>
                <c:pt idx="7">
                  <c:v>FR</c:v>
                </c:pt>
                <c:pt idx="8">
                  <c:v>GB</c:v>
                </c:pt>
                <c:pt idx="9">
                  <c:v>IE</c:v>
                </c:pt>
                <c:pt idx="10">
                  <c:v>IT</c:v>
                </c:pt>
                <c:pt idx="11">
                  <c:v>LU</c:v>
                </c:pt>
                <c:pt idx="12">
                  <c:v>MX</c:v>
                </c:pt>
                <c:pt idx="13">
                  <c:v>NL</c:v>
                </c:pt>
                <c:pt idx="14">
                  <c:v>NO</c:v>
                </c:pt>
                <c:pt idx="15">
                  <c:v>NZ</c:v>
                </c:pt>
                <c:pt idx="16">
                  <c:v>SE</c:v>
                </c:pt>
                <c:pt idx="17">
                  <c:v>SG</c:v>
                </c:pt>
                <c:pt idx="18">
                  <c:v>US</c:v>
                </c:pt>
              </c:strCache>
            </c:strRef>
          </c:cat>
          <c:val>
            <c:numRef>
              <c:f>'Add #1'!$E$5:$E$24</c:f>
              <c:numCache>
                <c:formatCode>General</c:formatCode>
                <c:ptCount val="19"/>
                <c:pt idx="1">
                  <c:v>6</c:v>
                </c:pt>
                <c:pt idx="2">
                  <c:v>28</c:v>
                </c:pt>
                <c:pt idx="3">
                  <c:v>1</c:v>
                </c:pt>
                <c:pt idx="4">
                  <c:v>4</c:v>
                </c:pt>
                <c:pt idx="5">
                  <c:v>1</c:v>
                </c:pt>
                <c:pt idx="6">
                  <c:v>2</c:v>
                </c:pt>
                <c:pt idx="7">
                  <c:v>2</c:v>
                </c:pt>
                <c:pt idx="8">
                  <c:v>258</c:v>
                </c:pt>
                <c:pt idx="9">
                  <c:v>5</c:v>
                </c:pt>
                <c:pt idx="10">
                  <c:v>1</c:v>
                </c:pt>
                <c:pt idx="11">
                  <c:v>1</c:v>
                </c:pt>
                <c:pt idx="14">
                  <c:v>1</c:v>
                </c:pt>
                <c:pt idx="15">
                  <c:v>2</c:v>
                </c:pt>
                <c:pt idx="16">
                  <c:v>1</c:v>
                </c:pt>
                <c:pt idx="17">
                  <c:v>1</c:v>
                </c:pt>
                <c:pt idx="18">
                  <c:v>525</c:v>
                </c:pt>
              </c:numCache>
            </c:numRef>
          </c:val>
          <c:extLst>
            <c:ext xmlns:c16="http://schemas.microsoft.com/office/drawing/2014/chart" uri="{C3380CC4-5D6E-409C-BE32-E72D297353CC}">
              <c16:uniqueId val="{00000003-F1AE-4C01-A4D7-200D52141E01}"/>
            </c:ext>
          </c:extLst>
        </c:ser>
        <c:dLbls>
          <c:showLegendKey val="0"/>
          <c:showVal val="0"/>
          <c:showCatName val="0"/>
          <c:showSerName val="0"/>
          <c:showPercent val="0"/>
          <c:showBubbleSize val="0"/>
        </c:dLbls>
        <c:gapWidth val="219"/>
        <c:overlap val="100"/>
        <c:axId val="477920600"/>
        <c:axId val="477916992"/>
      </c:barChart>
      <c:catAx>
        <c:axId val="477920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7916992"/>
        <c:crosses val="autoZero"/>
        <c:auto val="1"/>
        <c:lblAlgn val="ctr"/>
        <c:lblOffset val="100"/>
        <c:noMultiLvlLbl val="0"/>
      </c:catAx>
      <c:valAx>
        <c:axId val="4779169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79206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[01 Kickstart StarterBook.xlsx]Add #2!PivotTable6</c:name>
    <c:fmtId val="-1"/>
  </c:pivotSource>
  <c:chart>
    <c:autoTitleDeleted val="0"/>
    <c:pivotFmts>
      <c:pivotFmt>
        <c:idx val="0"/>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1"/>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2"/>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3"/>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4"/>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5"/>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6"/>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7"/>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8"/>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9"/>
        <c:spPr>
          <a:solidFill>
            <a:schemeClr val="accent1"/>
          </a:solidFill>
          <a:ln w="28575" cap="rnd">
            <a:solidFill>
              <a:schemeClr val="accent1"/>
            </a:solidFill>
            <a:round/>
          </a:ln>
          <a:effectLst/>
        </c:spPr>
      </c:pivotFmt>
      <c:pivotFmt>
        <c:idx val="10"/>
        <c:spPr>
          <a:solidFill>
            <a:schemeClr val="accent1"/>
          </a:solidFill>
          <a:ln w="28575" cap="rnd">
            <a:solidFill>
              <a:schemeClr val="accent1"/>
            </a:solidFill>
            <a:round/>
          </a:ln>
          <a:effectLst/>
        </c:spPr>
      </c:pivotFmt>
      <c:pivotFmt>
        <c:idx val="11"/>
        <c:spPr>
          <a:solidFill>
            <a:schemeClr val="accent1"/>
          </a:solidFill>
          <a:ln w="28575" cap="rnd">
            <a:solidFill>
              <a:schemeClr val="accent1"/>
            </a:solidFill>
            <a:round/>
          </a:ln>
          <a:effectLst/>
        </c:spPr>
      </c:pivotFmt>
      <c:pivotFmt>
        <c:idx val="12"/>
        <c:spPr>
          <a:solidFill>
            <a:schemeClr val="accent1"/>
          </a:solidFill>
          <a:ln w="28575" cap="rnd">
            <a:solidFill>
              <a:schemeClr val="accent1"/>
            </a:solidFill>
            <a:round/>
          </a:ln>
          <a:effectLst/>
        </c:spPr>
      </c:pivotFmt>
      <c:pivotFmt>
        <c:idx val="13"/>
        <c:spPr>
          <a:solidFill>
            <a:schemeClr val="accent1"/>
          </a:solidFill>
          <a:ln w="28575" cap="rnd">
            <a:solidFill>
              <a:schemeClr val="accent1"/>
            </a:solidFill>
            <a:round/>
          </a:ln>
          <a:effectLst/>
        </c:spPr>
      </c:pivotFmt>
      <c:pivotFmt>
        <c:idx val="14"/>
        <c:spPr>
          <a:solidFill>
            <a:schemeClr val="accent1"/>
          </a:solidFill>
          <a:ln w="28575" cap="rnd">
            <a:solidFill>
              <a:schemeClr val="accent1"/>
            </a:solidFill>
            <a:round/>
          </a:ln>
          <a:effectLst/>
        </c:spPr>
      </c:pivotFmt>
      <c:pivotFmt>
        <c:idx val="15"/>
        <c:spPr>
          <a:solidFill>
            <a:schemeClr val="accent1"/>
          </a:solidFill>
          <a:ln w="28575" cap="rnd">
            <a:solidFill>
              <a:schemeClr val="accent1"/>
            </a:solidFill>
            <a:round/>
          </a:ln>
          <a:effectLst/>
        </c:spPr>
      </c:pivotFmt>
      <c:pivotFmt>
        <c:idx val="16"/>
        <c:spPr>
          <a:solidFill>
            <a:schemeClr val="accent1"/>
          </a:solidFill>
          <a:ln w="28575" cap="rnd">
            <a:solidFill>
              <a:schemeClr val="accent1"/>
            </a:solidFill>
            <a:round/>
          </a:ln>
          <a:effectLst/>
        </c:spPr>
      </c:pivotFmt>
      <c:pivotFmt>
        <c:idx val="17"/>
        <c:spPr>
          <a:solidFill>
            <a:schemeClr val="accent1"/>
          </a:solidFill>
          <a:ln w="28575" cap="rnd">
            <a:solidFill>
              <a:schemeClr val="accent1"/>
            </a:solidFill>
            <a:round/>
          </a:ln>
          <a:effectLst/>
        </c:spPr>
      </c:pivotFmt>
      <c:pivotFmt>
        <c:idx val="18"/>
        <c:spPr>
          <a:solidFill>
            <a:schemeClr val="accent1"/>
          </a:solidFill>
          <a:ln w="28575" cap="rnd">
            <a:solidFill>
              <a:schemeClr val="accent1"/>
            </a:solidFill>
            <a:round/>
          </a:ln>
          <a:effectLst/>
        </c:spPr>
        <c:marker>
          <c:symbol val="none"/>
        </c:marker>
      </c:pivotFmt>
      <c:pivotFmt>
        <c:idx val="19"/>
        <c:spPr>
          <a:solidFill>
            <a:schemeClr val="accent1"/>
          </a:solidFill>
          <a:ln w="28575" cap="rnd">
            <a:solidFill>
              <a:schemeClr val="accent1"/>
            </a:solidFill>
            <a:round/>
          </a:ln>
          <a:effectLst/>
        </c:spPr>
        <c:marker>
          <c:symbol val="none"/>
        </c:marker>
      </c:pivotFmt>
      <c:pivotFmt>
        <c:idx val="20"/>
        <c:spPr>
          <a:solidFill>
            <a:schemeClr val="accent1"/>
          </a:solidFill>
          <a:ln w="28575" cap="rnd">
            <a:solidFill>
              <a:schemeClr val="accent1"/>
            </a:solidFill>
            <a:round/>
          </a:ln>
          <a:effectLst/>
        </c:spPr>
        <c:marker>
          <c:symbol val="none"/>
        </c:marker>
      </c:pivotFmt>
      <c:pivotFmt>
        <c:idx val="21"/>
        <c:spPr>
          <a:solidFill>
            <a:schemeClr val="accent1"/>
          </a:solidFill>
          <a:ln w="28575" cap="rnd">
            <a:solidFill>
              <a:schemeClr val="accent1"/>
            </a:solidFill>
            <a:round/>
          </a:ln>
          <a:effectLst/>
        </c:spPr>
        <c:marker>
          <c:symbol val="none"/>
        </c:marker>
      </c:pivotFmt>
      <c:pivotFmt>
        <c:idx val="22"/>
        <c:spPr>
          <a:solidFill>
            <a:schemeClr val="accent1"/>
          </a:solidFill>
          <a:ln w="28575" cap="rnd">
            <a:solidFill>
              <a:schemeClr val="accent1"/>
            </a:solidFill>
            <a:round/>
          </a:ln>
          <a:effectLst/>
        </c:spPr>
        <c:marker>
          <c:symbol val="none"/>
        </c:marker>
      </c:pivotFmt>
      <c:pivotFmt>
        <c:idx val="23"/>
        <c:spPr>
          <a:solidFill>
            <a:schemeClr val="accent1"/>
          </a:solidFill>
          <a:ln w="28575" cap="rnd">
            <a:solidFill>
              <a:schemeClr val="accent1"/>
            </a:solidFill>
            <a:round/>
          </a:ln>
          <a:effectLst/>
        </c:spPr>
        <c:marker>
          <c:symbol val="none"/>
        </c:marker>
      </c:pivotFmt>
      <c:pivotFmt>
        <c:idx val="24"/>
        <c:spPr>
          <a:solidFill>
            <a:schemeClr val="accent1"/>
          </a:solidFill>
          <a:ln w="28575" cap="rnd">
            <a:solidFill>
              <a:schemeClr val="accent1"/>
            </a:solidFill>
            <a:round/>
          </a:ln>
          <a:effectLst/>
        </c:spPr>
        <c:marker>
          <c:symbol val="none"/>
        </c:marker>
      </c:pivotFmt>
      <c:pivotFmt>
        <c:idx val="25"/>
        <c:spPr>
          <a:solidFill>
            <a:schemeClr val="accent1"/>
          </a:solidFill>
          <a:ln w="28575" cap="rnd">
            <a:solidFill>
              <a:schemeClr val="accent1"/>
            </a:solidFill>
            <a:round/>
          </a:ln>
          <a:effectLst/>
        </c:spPr>
        <c:marker>
          <c:symbol val="none"/>
        </c:marker>
      </c:pivotFmt>
      <c:pivotFmt>
        <c:idx val="26"/>
        <c:spPr>
          <a:solidFill>
            <a:schemeClr val="accent1"/>
          </a:solidFill>
          <a:ln w="28575" cap="rnd">
            <a:solidFill>
              <a:schemeClr val="accent1"/>
            </a:solidFill>
            <a:round/>
          </a:ln>
          <a:effectLst/>
        </c:spPr>
        <c:marker>
          <c:symbol val="none"/>
        </c:marker>
      </c:pivotFmt>
      <c:pivotFmt>
        <c:idx val="27"/>
        <c:spPr>
          <a:solidFill>
            <a:schemeClr val="accent1"/>
          </a:solidFill>
          <a:ln w="28575" cap="rnd">
            <a:solidFill>
              <a:schemeClr val="accent1"/>
            </a:solidFill>
            <a:round/>
          </a:ln>
          <a:effectLst/>
        </c:spPr>
        <c:marker>
          <c:symbol val="none"/>
        </c:marker>
      </c:pivotFmt>
      <c:pivotFmt>
        <c:idx val="28"/>
        <c:spPr>
          <a:solidFill>
            <a:schemeClr val="accent1"/>
          </a:solidFill>
          <a:ln w="28575" cap="rnd">
            <a:solidFill>
              <a:schemeClr val="accent1"/>
            </a:solidFill>
            <a:round/>
          </a:ln>
          <a:effectLst/>
        </c:spPr>
        <c:marker>
          <c:symbol val="none"/>
        </c:marker>
      </c:pivotFmt>
      <c:pivotFmt>
        <c:idx val="29"/>
        <c:spPr>
          <a:solidFill>
            <a:schemeClr val="accent1"/>
          </a:solidFill>
          <a:ln w="28575" cap="rnd">
            <a:solidFill>
              <a:schemeClr val="accent1"/>
            </a:solidFill>
            <a:round/>
          </a:ln>
          <a:effectLst/>
        </c:spPr>
        <c:marker>
          <c:symbol val="none"/>
        </c:marker>
      </c:pivotFmt>
      <c:pivotFmt>
        <c:idx val="30"/>
        <c:spPr>
          <a:solidFill>
            <a:schemeClr val="accent1"/>
          </a:solidFill>
          <a:ln w="28575" cap="rnd">
            <a:solidFill>
              <a:schemeClr val="accent1"/>
            </a:solidFill>
            <a:round/>
          </a:ln>
          <a:effectLst/>
        </c:spPr>
        <c:marker>
          <c:symbol val="none"/>
        </c:marker>
      </c:pivotFmt>
      <c:pivotFmt>
        <c:idx val="31"/>
        <c:spPr>
          <a:solidFill>
            <a:schemeClr val="accent1"/>
          </a:solidFill>
          <a:ln w="28575" cap="rnd">
            <a:solidFill>
              <a:schemeClr val="accent1"/>
            </a:solidFill>
            <a:round/>
          </a:ln>
          <a:effectLst/>
        </c:spPr>
        <c:marker>
          <c:symbol val="none"/>
        </c:marker>
      </c:pivotFmt>
      <c:pivotFmt>
        <c:idx val="32"/>
        <c:spPr>
          <a:solidFill>
            <a:schemeClr val="accent1"/>
          </a:solidFill>
          <a:ln w="28575" cap="rnd">
            <a:solidFill>
              <a:schemeClr val="accent1"/>
            </a:solidFill>
            <a:round/>
          </a:ln>
          <a:effectLst/>
        </c:spPr>
        <c:marker>
          <c:symbol val="none"/>
        </c:marker>
      </c:pivotFmt>
      <c:pivotFmt>
        <c:idx val="33"/>
        <c:spPr>
          <a:solidFill>
            <a:schemeClr val="accent1"/>
          </a:solidFill>
          <a:ln w="28575" cap="rnd">
            <a:solidFill>
              <a:schemeClr val="accent1"/>
            </a:solidFill>
            <a:round/>
          </a:ln>
          <a:effectLst/>
        </c:spPr>
        <c:marker>
          <c:symbol val="none"/>
        </c:marker>
      </c:pivotFmt>
      <c:pivotFmt>
        <c:idx val="34"/>
        <c:spPr>
          <a:solidFill>
            <a:schemeClr val="accent1"/>
          </a:solidFill>
          <a:ln w="28575" cap="rnd">
            <a:solidFill>
              <a:schemeClr val="accent1"/>
            </a:solidFill>
            <a:round/>
          </a:ln>
          <a:effectLst/>
        </c:spPr>
        <c:marker>
          <c:symbol val="none"/>
        </c:marker>
      </c:pivotFmt>
      <c:pivotFmt>
        <c:idx val="35"/>
        <c:spPr>
          <a:solidFill>
            <a:schemeClr val="accent1"/>
          </a:solidFill>
          <a:ln w="28575" cap="rnd">
            <a:solidFill>
              <a:schemeClr val="accent1"/>
            </a:solidFill>
            <a:round/>
          </a:ln>
          <a:effectLst/>
        </c:spPr>
        <c:marker>
          <c:symbol val="none"/>
        </c:marker>
      </c:pivotFmt>
      <c:pivotFmt>
        <c:idx val="36"/>
        <c:spPr>
          <a:solidFill>
            <a:schemeClr val="accent1"/>
          </a:solidFill>
          <a:ln w="28575" cap="rnd">
            <a:solidFill>
              <a:schemeClr val="accent1"/>
            </a:solidFill>
            <a:round/>
          </a:ln>
          <a:effectLst/>
        </c:spPr>
        <c:marker>
          <c:symbol val="none"/>
        </c:marker>
      </c:pivotFmt>
      <c:pivotFmt>
        <c:idx val="37"/>
        <c:spPr>
          <a:solidFill>
            <a:schemeClr val="accent1"/>
          </a:solidFill>
          <a:ln w="28575" cap="rnd">
            <a:solidFill>
              <a:schemeClr val="accent1"/>
            </a:solidFill>
            <a:round/>
          </a:ln>
          <a:effectLst/>
        </c:spPr>
        <c:marker>
          <c:symbol val="none"/>
        </c:marker>
      </c:pivotFmt>
      <c:pivotFmt>
        <c:idx val="38"/>
        <c:spPr>
          <a:solidFill>
            <a:schemeClr val="accent1"/>
          </a:solidFill>
          <a:ln w="28575" cap="rnd">
            <a:solidFill>
              <a:schemeClr val="accent1"/>
            </a:solidFill>
            <a:round/>
          </a:ln>
          <a:effectLst/>
        </c:spPr>
        <c:marker>
          <c:symbol val="none"/>
        </c:marker>
      </c:pivotFmt>
      <c:pivotFmt>
        <c:idx val="39"/>
        <c:spPr>
          <a:solidFill>
            <a:schemeClr val="accent1"/>
          </a:solidFill>
          <a:ln w="28575" cap="rnd">
            <a:solidFill>
              <a:schemeClr val="accent1"/>
            </a:solidFill>
            <a:round/>
          </a:ln>
          <a:effectLst/>
        </c:spPr>
        <c:marker>
          <c:symbol val="none"/>
        </c:marker>
      </c:pivotFmt>
      <c:pivotFmt>
        <c:idx val="40"/>
        <c:spPr>
          <a:solidFill>
            <a:schemeClr val="accent1"/>
          </a:solidFill>
          <a:ln w="28575" cap="rnd">
            <a:solidFill>
              <a:schemeClr val="accent1"/>
            </a:solidFill>
            <a:round/>
          </a:ln>
          <a:effectLst/>
        </c:spPr>
        <c:marker>
          <c:symbol val="none"/>
        </c:marker>
      </c:pivotFmt>
      <c:pivotFmt>
        <c:idx val="41"/>
        <c:spPr>
          <a:solidFill>
            <a:schemeClr val="accent1"/>
          </a:solidFill>
          <a:ln w="28575" cap="rnd">
            <a:solidFill>
              <a:schemeClr val="accent1"/>
            </a:solidFill>
            <a:round/>
          </a:ln>
          <a:effectLst/>
        </c:spPr>
        <c:marker>
          <c:symbol val="none"/>
        </c:marker>
      </c:pivotFmt>
      <c:pivotFmt>
        <c:idx val="42"/>
        <c:spPr>
          <a:solidFill>
            <a:schemeClr val="accent1"/>
          </a:solidFill>
          <a:ln w="28575" cap="rnd">
            <a:solidFill>
              <a:schemeClr val="accent1"/>
            </a:solidFill>
            <a:round/>
          </a:ln>
          <a:effectLst/>
        </c:spPr>
        <c:marker>
          <c:symbol val="none"/>
        </c:marker>
      </c:pivotFmt>
      <c:pivotFmt>
        <c:idx val="43"/>
        <c:spPr>
          <a:solidFill>
            <a:schemeClr val="accent1"/>
          </a:solidFill>
          <a:ln w="28575" cap="rnd">
            <a:solidFill>
              <a:schemeClr val="accent1"/>
            </a:solidFill>
            <a:round/>
          </a:ln>
          <a:effectLst/>
        </c:spPr>
        <c:marker>
          <c:symbol val="none"/>
        </c:marker>
      </c:pivotFmt>
      <c:pivotFmt>
        <c:idx val="44"/>
        <c:spPr>
          <a:solidFill>
            <a:schemeClr val="accent1"/>
          </a:solidFill>
          <a:ln w="28575" cap="rnd">
            <a:solidFill>
              <a:schemeClr val="accent1"/>
            </a:solidFill>
            <a:round/>
          </a:ln>
          <a:effectLst/>
        </c:spPr>
        <c:marker>
          <c:symbol val="none"/>
        </c:marker>
      </c:pivotFmt>
      <c:pivotFmt>
        <c:idx val="45"/>
        <c:spPr>
          <a:solidFill>
            <a:schemeClr val="accent1"/>
          </a:solidFill>
          <a:ln w="28575" cap="rnd">
            <a:solidFill>
              <a:schemeClr val="accent1"/>
            </a:solidFill>
            <a:round/>
          </a:ln>
          <a:effectLst/>
        </c:spPr>
        <c:marker>
          <c:symbol val="none"/>
        </c:marker>
      </c:pivotFmt>
      <c:pivotFmt>
        <c:idx val="46"/>
        <c:spPr>
          <a:solidFill>
            <a:schemeClr val="accent1"/>
          </a:solidFill>
          <a:ln w="28575" cap="rnd">
            <a:solidFill>
              <a:schemeClr val="accent1"/>
            </a:solidFill>
            <a:round/>
          </a:ln>
          <a:effectLst/>
        </c:spPr>
        <c:marker>
          <c:symbol val="none"/>
        </c:marker>
      </c:pivotFmt>
      <c:pivotFmt>
        <c:idx val="47"/>
        <c:spPr>
          <a:solidFill>
            <a:schemeClr val="accent1"/>
          </a:solidFill>
          <a:ln w="28575" cap="rnd">
            <a:solidFill>
              <a:schemeClr val="accent1"/>
            </a:solidFill>
            <a:round/>
          </a:ln>
          <a:effectLst/>
        </c:spPr>
        <c:marker>
          <c:symbol val="none"/>
        </c:marker>
      </c:pivotFmt>
      <c:pivotFmt>
        <c:idx val="48"/>
        <c:spPr>
          <a:solidFill>
            <a:schemeClr val="accent1"/>
          </a:solidFill>
          <a:ln w="28575" cap="rnd">
            <a:solidFill>
              <a:schemeClr val="accent1"/>
            </a:solidFill>
            <a:round/>
          </a:ln>
          <a:effectLst/>
        </c:spPr>
        <c:marker>
          <c:symbol val="none"/>
        </c:marker>
      </c:pivotFmt>
      <c:pivotFmt>
        <c:idx val="49"/>
        <c:spPr>
          <a:solidFill>
            <a:schemeClr val="accent1"/>
          </a:solidFill>
          <a:ln w="28575" cap="rnd">
            <a:solidFill>
              <a:schemeClr val="accent1"/>
            </a:solidFill>
            <a:round/>
          </a:ln>
          <a:effectLst/>
        </c:spPr>
        <c:marker>
          <c:symbol val="none"/>
        </c:marker>
      </c:pivotFmt>
      <c:pivotFmt>
        <c:idx val="50"/>
        <c:spPr>
          <a:solidFill>
            <a:schemeClr val="accent1"/>
          </a:solidFill>
          <a:ln w="28575" cap="rnd">
            <a:solidFill>
              <a:schemeClr val="accent1"/>
            </a:solidFill>
            <a:round/>
          </a:ln>
          <a:effectLst/>
        </c:spPr>
        <c:marker>
          <c:symbol val="none"/>
        </c:marker>
      </c:pivotFmt>
      <c:pivotFmt>
        <c:idx val="51"/>
        <c:spPr>
          <a:solidFill>
            <a:schemeClr val="accent1"/>
          </a:solidFill>
          <a:ln w="28575" cap="rnd">
            <a:solidFill>
              <a:schemeClr val="accent1"/>
            </a:solidFill>
            <a:round/>
          </a:ln>
          <a:effectLst/>
        </c:spPr>
        <c:marker>
          <c:symbol val="none"/>
        </c:marker>
      </c:pivotFmt>
      <c:pivotFmt>
        <c:idx val="52"/>
        <c:spPr>
          <a:solidFill>
            <a:schemeClr val="accent1"/>
          </a:solidFill>
          <a:ln w="28575" cap="rnd">
            <a:solidFill>
              <a:schemeClr val="accent1"/>
            </a:solidFill>
            <a:round/>
          </a:ln>
          <a:effectLst/>
        </c:spPr>
        <c:marker>
          <c:symbol val="none"/>
        </c:marker>
      </c:pivotFmt>
      <c:pivotFmt>
        <c:idx val="53"/>
        <c:spPr>
          <a:solidFill>
            <a:schemeClr val="accent1"/>
          </a:solidFill>
          <a:ln w="28575" cap="rnd">
            <a:solidFill>
              <a:schemeClr val="accent1"/>
            </a:solidFill>
            <a:round/>
          </a:ln>
          <a:effectLst/>
        </c:spPr>
        <c:marker>
          <c:symbol val="none"/>
        </c:marker>
      </c:pivotFmt>
      <c:pivotFmt>
        <c:idx val="54"/>
        <c:spPr>
          <a:solidFill>
            <a:schemeClr val="accent1"/>
          </a:solidFill>
          <a:ln w="28575" cap="rnd">
            <a:solidFill>
              <a:schemeClr val="accent1"/>
            </a:solidFill>
            <a:round/>
          </a:ln>
          <a:effectLst/>
        </c:spPr>
        <c:marker>
          <c:symbol val="none"/>
        </c:marker>
      </c:pivotFmt>
      <c:pivotFmt>
        <c:idx val="55"/>
        <c:spPr>
          <a:solidFill>
            <a:schemeClr val="accent1"/>
          </a:solidFill>
          <a:ln w="28575" cap="rnd">
            <a:solidFill>
              <a:schemeClr val="accent1"/>
            </a:solidFill>
            <a:round/>
          </a:ln>
          <a:effectLst/>
        </c:spPr>
        <c:marker>
          <c:symbol val="none"/>
        </c:marker>
      </c:pivotFmt>
      <c:pivotFmt>
        <c:idx val="56"/>
        <c:spPr>
          <a:solidFill>
            <a:schemeClr val="accent1"/>
          </a:solidFill>
          <a:ln w="28575" cap="rnd">
            <a:solidFill>
              <a:schemeClr val="accent1"/>
            </a:solidFill>
            <a:round/>
          </a:ln>
          <a:effectLst/>
        </c:spPr>
        <c:marker>
          <c:symbol val="none"/>
        </c:marker>
      </c:pivotFmt>
      <c:pivotFmt>
        <c:idx val="57"/>
        <c:spPr>
          <a:solidFill>
            <a:schemeClr val="accent1"/>
          </a:solidFill>
          <a:ln w="28575" cap="rnd">
            <a:solidFill>
              <a:schemeClr val="accent1"/>
            </a:solidFill>
            <a:round/>
          </a:ln>
          <a:effectLst/>
        </c:spPr>
        <c:marker>
          <c:symbol val="none"/>
        </c:marker>
      </c:pivotFmt>
      <c:pivotFmt>
        <c:idx val="58"/>
        <c:spPr>
          <a:solidFill>
            <a:schemeClr val="accent1"/>
          </a:solidFill>
          <a:ln w="28575" cap="rnd">
            <a:solidFill>
              <a:schemeClr val="accent1"/>
            </a:solidFill>
            <a:round/>
          </a:ln>
          <a:effectLst/>
        </c:spPr>
        <c:marker>
          <c:symbol val="none"/>
        </c:marker>
      </c:pivotFmt>
      <c:pivotFmt>
        <c:idx val="59"/>
        <c:spPr>
          <a:solidFill>
            <a:schemeClr val="accent1"/>
          </a:solidFill>
          <a:ln w="28575" cap="rnd">
            <a:solidFill>
              <a:schemeClr val="accent1"/>
            </a:solidFill>
            <a:round/>
          </a:ln>
          <a:effectLst/>
        </c:spPr>
        <c:marker>
          <c:symbol val="none"/>
        </c:marker>
      </c:pivotFmt>
      <c:pivotFmt>
        <c:idx val="60"/>
        <c:spPr>
          <a:solidFill>
            <a:schemeClr val="accent1"/>
          </a:solidFill>
          <a:ln w="28575" cap="rnd">
            <a:solidFill>
              <a:schemeClr val="accent1"/>
            </a:solidFill>
            <a:round/>
          </a:ln>
          <a:effectLst/>
        </c:spPr>
        <c:marker>
          <c:symbol val="none"/>
        </c:marker>
      </c:pivotFmt>
      <c:pivotFmt>
        <c:idx val="61"/>
        <c:spPr>
          <a:solidFill>
            <a:schemeClr val="accent1"/>
          </a:solidFill>
          <a:ln w="28575" cap="rnd">
            <a:solidFill>
              <a:schemeClr val="accent1"/>
            </a:solidFill>
            <a:round/>
          </a:ln>
          <a:effectLst/>
        </c:spPr>
        <c:marker>
          <c:symbol val="none"/>
        </c:marker>
      </c:pivotFmt>
      <c:pivotFmt>
        <c:idx val="62"/>
        <c:spPr>
          <a:solidFill>
            <a:schemeClr val="accent1"/>
          </a:solidFill>
          <a:ln w="28575" cap="rnd">
            <a:solidFill>
              <a:schemeClr val="accent1"/>
            </a:solidFill>
            <a:round/>
          </a:ln>
          <a:effectLst/>
        </c:spPr>
        <c:marker>
          <c:symbol val="none"/>
        </c:marker>
      </c:pivotFmt>
      <c:pivotFmt>
        <c:idx val="63"/>
        <c:spPr>
          <a:solidFill>
            <a:schemeClr val="accent1"/>
          </a:solidFill>
          <a:ln w="28575" cap="rnd">
            <a:solidFill>
              <a:schemeClr val="accent1"/>
            </a:solidFill>
            <a:round/>
          </a:ln>
          <a:effectLst/>
        </c:spPr>
        <c:marker>
          <c:symbol val="none"/>
        </c:marker>
      </c:pivotFmt>
      <c:pivotFmt>
        <c:idx val="64"/>
        <c:spPr>
          <a:solidFill>
            <a:schemeClr val="accent1"/>
          </a:solidFill>
          <a:ln w="28575" cap="rnd">
            <a:solidFill>
              <a:schemeClr val="accent1"/>
            </a:solidFill>
            <a:round/>
          </a:ln>
          <a:effectLst/>
        </c:spPr>
        <c:marker>
          <c:symbol val="none"/>
        </c:marker>
      </c:pivotFmt>
      <c:pivotFmt>
        <c:idx val="65"/>
        <c:spPr>
          <a:solidFill>
            <a:schemeClr val="accent1"/>
          </a:solidFill>
          <a:ln w="28575" cap="rnd">
            <a:solidFill>
              <a:schemeClr val="accent1"/>
            </a:solidFill>
            <a:round/>
          </a:ln>
          <a:effectLst/>
        </c:spPr>
        <c:marker>
          <c:symbol val="none"/>
        </c:marker>
      </c:pivotFmt>
      <c:pivotFmt>
        <c:idx val="66"/>
        <c:spPr>
          <a:solidFill>
            <a:schemeClr val="accent1"/>
          </a:solidFill>
          <a:ln w="28575" cap="rnd">
            <a:solidFill>
              <a:schemeClr val="accent1"/>
            </a:solidFill>
            <a:round/>
          </a:ln>
          <a:effectLst/>
        </c:spPr>
        <c:marker>
          <c:symbol val="none"/>
        </c:marker>
      </c:pivotFmt>
      <c:pivotFmt>
        <c:idx val="67"/>
        <c:spPr>
          <a:solidFill>
            <a:schemeClr val="accent1"/>
          </a:solidFill>
          <a:ln w="28575" cap="rnd">
            <a:solidFill>
              <a:schemeClr val="accent1"/>
            </a:solidFill>
            <a:round/>
          </a:ln>
          <a:effectLst/>
        </c:spPr>
        <c:marker>
          <c:symbol val="none"/>
        </c:marker>
      </c:pivotFmt>
      <c:pivotFmt>
        <c:idx val="68"/>
        <c:spPr>
          <a:solidFill>
            <a:schemeClr val="accent1"/>
          </a:solidFill>
          <a:ln w="28575" cap="rnd">
            <a:solidFill>
              <a:schemeClr val="accent1"/>
            </a:solidFill>
            <a:round/>
          </a:ln>
          <a:effectLst/>
        </c:spPr>
        <c:marker>
          <c:symbol val="none"/>
        </c:marker>
      </c:pivotFmt>
      <c:pivotFmt>
        <c:idx val="69"/>
        <c:spPr>
          <a:solidFill>
            <a:schemeClr val="accent1"/>
          </a:solidFill>
          <a:ln w="28575" cap="rnd">
            <a:solidFill>
              <a:schemeClr val="accent1"/>
            </a:solidFill>
            <a:round/>
          </a:ln>
          <a:effectLst/>
        </c:spPr>
        <c:marker>
          <c:symbol val="none"/>
        </c:marker>
      </c:pivotFmt>
      <c:pivotFmt>
        <c:idx val="70"/>
        <c:spPr>
          <a:solidFill>
            <a:schemeClr val="accent1"/>
          </a:solidFill>
          <a:ln w="28575" cap="rnd">
            <a:solidFill>
              <a:schemeClr val="accent1"/>
            </a:solidFill>
            <a:round/>
          </a:ln>
          <a:effectLst/>
        </c:spPr>
        <c:marker>
          <c:symbol val="none"/>
        </c:marker>
      </c:pivotFmt>
      <c:pivotFmt>
        <c:idx val="71"/>
        <c:spPr>
          <a:solidFill>
            <a:schemeClr val="accent1"/>
          </a:solidFill>
          <a:ln w="28575" cap="rnd">
            <a:solidFill>
              <a:schemeClr val="accent1"/>
            </a:solidFill>
            <a:round/>
          </a:ln>
          <a:effectLst/>
        </c:spPr>
        <c:marker>
          <c:symbol val="none"/>
        </c:marker>
      </c:pivotFmt>
      <c:pivotFmt>
        <c:idx val="72"/>
        <c:spPr>
          <a:solidFill>
            <a:schemeClr val="accent1"/>
          </a:solidFill>
          <a:ln w="28575" cap="rnd">
            <a:solidFill>
              <a:schemeClr val="accent1"/>
            </a:solidFill>
            <a:round/>
          </a:ln>
          <a:effectLst/>
        </c:spPr>
        <c:marker>
          <c:symbol val="none"/>
        </c:marker>
      </c:pivotFmt>
      <c:pivotFmt>
        <c:idx val="73"/>
        <c:spPr>
          <a:solidFill>
            <a:schemeClr val="accent1"/>
          </a:solidFill>
          <a:ln w="28575" cap="rnd">
            <a:solidFill>
              <a:schemeClr val="accent1"/>
            </a:solidFill>
            <a:round/>
          </a:ln>
          <a:effectLst/>
        </c:spPr>
        <c:marker>
          <c:symbol val="none"/>
        </c:marker>
      </c:pivotFmt>
      <c:pivotFmt>
        <c:idx val="74"/>
        <c:spPr>
          <a:solidFill>
            <a:schemeClr val="accent1"/>
          </a:solidFill>
          <a:ln w="28575" cap="rnd">
            <a:solidFill>
              <a:schemeClr val="accent1"/>
            </a:solidFill>
            <a:round/>
          </a:ln>
          <a:effectLst/>
        </c:spPr>
        <c:marker>
          <c:symbol val="none"/>
        </c:marker>
      </c:pivotFmt>
      <c:pivotFmt>
        <c:idx val="75"/>
        <c:spPr>
          <a:solidFill>
            <a:schemeClr val="accent1"/>
          </a:solidFill>
          <a:ln w="28575" cap="rnd">
            <a:solidFill>
              <a:schemeClr val="accent1"/>
            </a:solidFill>
            <a:round/>
          </a:ln>
          <a:effectLst/>
        </c:spPr>
        <c:marker>
          <c:symbol val="none"/>
        </c:marker>
      </c:pivotFmt>
      <c:pivotFmt>
        <c:idx val="76"/>
        <c:spPr>
          <a:solidFill>
            <a:schemeClr val="accent1"/>
          </a:solidFill>
          <a:ln w="28575" cap="rnd">
            <a:solidFill>
              <a:schemeClr val="accent1"/>
            </a:solidFill>
            <a:round/>
          </a:ln>
          <a:effectLst/>
        </c:spPr>
        <c:marker>
          <c:symbol val="none"/>
        </c:marker>
      </c:pivotFmt>
      <c:pivotFmt>
        <c:idx val="77"/>
        <c:spPr>
          <a:solidFill>
            <a:schemeClr val="accent1"/>
          </a:solidFill>
          <a:ln w="28575" cap="rnd">
            <a:solidFill>
              <a:schemeClr val="accent1"/>
            </a:solidFill>
            <a:round/>
          </a:ln>
          <a:effectLst/>
        </c:spPr>
        <c:marker>
          <c:symbol val="none"/>
        </c:marker>
      </c:pivotFmt>
      <c:pivotFmt>
        <c:idx val="78"/>
        <c:spPr>
          <a:solidFill>
            <a:schemeClr val="accent1"/>
          </a:solidFill>
          <a:ln w="28575" cap="rnd">
            <a:solidFill>
              <a:schemeClr val="accent1"/>
            </a:solidFill>
            <a:round/>
          </a:ln>
          <a:effectLst/>
        </c:spPr>
        <c:marker>
          <c:symbol val="none"/>
        </c:marker>
      </c:pivotFmt>
      <c:pivotFmt>
        <c:idx val="79"/>
        <c:spPr>
          <a:solidFill>
            <a:schemeClr val="accent1"/>
          </a:solidFill>
          <a:ln w="28575" cap="rnd">
            <a:solidFill>
              <a:schemeClr val="accent1"/>
            </a:solidFill>
            <a:round/>
          </a:ln>
          <a:effectLst/>
        </c:spPr>
        <c:marker>
          <c:symbol val="none"/>
        </c:marker>
      </c:pivotFmt>
      <c:pivotFmt>
        <c:idx val="80"/>
        <c:spPr>
          <a:solidFill>
            <a:schemeClr val="accent1"/>
          </a:solidFill>
          <a:ln w="28575" cap="rnd">
            <a:solidFill>
              <a:schemeClr val="accent1"/>
            </a:solidFill>
            <a:round/>
          </a:ln>
          <a:effectLst/>
        </c:spPr>
        <c:marker>
          <c:symbol val="none"/>
        </c:marker>
      </c:pivotFmt>
      <c:pivotFmt>
        <c:idx val="81"/>
        <c:spPr>
          <a:solidFill>
            <a:schemeClr val="accent1"/>
          </a:solidFill>
          <a:ln w="28575" cap="rnd">
            <a:solidFill>
              <a:schemeClr val="accent1"/>
            </a:solidFill>
            <a:round/>
          </a:ln>
          <a:effectLst/>
        </c:spPr>
        <c:marker>
          <c:symbol val="none"/>
        </c:marker>
      </c:pivotFmt>
      <c:pivotFmt>
        <c:idx val="82"/>
        <c:spPr>
          <a:solidFill>
            <a:schemeClr val="accent1"/>
          </a:solidFill>
          <a:ln w="28575" cap="rnd">
            <a:solidFill>
              <a:schemeClr val="accent1"/>
            </a:solidFill>
            <a:round/>
          </a:ln>
          <a:effectLst/>
        </c:spPr>
        <c:marker>
          <c:symbol val="none"/>
        </c:marker>
      </c:pivotFmt>
      <c:pivotFmt>
        <c:idx val="83"/>
        <c:spPr>
          <a:solidFill>
            <a:schemeClr val="accent1"/>
          </a:solidFill>
          <a:ln w="28575" cap="rnd">
            <a:solidFill>
              <a:schemeClr val="accent1"/>
            </a:solidFill>
            <a:round/>
          </a:ln>
          <a:effectLst/>
        </c:spPr>
        <c:marker>
          <c:symbol val="none"/>
        </c:marker>
      </c:pivotFmt>
      <c:pivotFmt>
        <c:idx val="84"/>
        <c:spPr>
          <a:solidFill>
            <a:schemeClr val="accent1"/>
          </a:solidFill>
          <a:ln w="28575" cap="rnd">
            <a:solidFill>
              <a:schemeClr val="accent1"/>
            </a:solidFill>
            <a:round/>
          </a:ln>
          <a:effectLst/>
        </c:spPr>
        <c:marker>
          <c:symbol val="none"/>
        </c:marker>
      </c:pivotFmt>
      <c:pivotFmt>
        <c:idx val="85"/>
        <c:spPr>
          <a:solidFill>
            <a:schemeClr val="accent1"/>
          </a:solidFill>
          <a:ln w="28575" cap="rnd">
            <a:solidFill>
              <a:schemeClr val="accent1"/>
            </a:solidFill>
            <a:round/>
          </a:ln>
          <a:effectLst/>
        </c:spPr>
        <c:marker>
          <c:symbol val="none"/>
        </c:marker>
      </c:pivotFmt>
      <c:pivotFmt>
        <c:idx val="86"/>
        <c:spPr>
          <a:solidFill>
            <a:schemeClr val="accent1"/>
          </a:solidFill>
          <a:ln w="28575" cap="rnd">
            <a:solidFill>
              <a:schemeClr val="accent1"/>
            </a:solidFill>
            <a:round/>
          </a:ln>
          <a:effectLst/>
        </c:spPr>
        <c:marker>
          <c:symbol val="none"/>
        </c:marker>
      </c:pivotFmt>
      <c:pivotFmt>
        <c:idx val="87"/>
        <c:spPr>
          <a:solidFill>
            <a:schemeClr val="accent1"/>
          </a:solidFill>
          <a:ln w="28575" cap="rnd">
            <a:solidFill>
              <a:schemeClr val="accent1"/>
            </a:solidFill>
            <a:round/>
          </a:ln>
          <a:effectLst/>
        </c:spPr>
        <c:marker>
          <c:symbol val="none"/>
        </c:marker>
      </c:pivotFmt>
      <c:pivotFmt>
        <c:idx val="88"/>
        <c:spPr>
          <a:solidFill>
            <a:schemeClr val="accent1"/>
          </a:solidFill>
          <a:ln w="28575" cap="rnd">
            <a:solidFill>
              <a:schemeClr val="accent1"/>
            </a:solidFill>
            <a:round/>
          </a:ln>
          <a:effectLst/>
        </c:spPr>
        <c:marker>
          <c:symbol val="none"/>
        </c:marker>
      </c:pivotFmt>
      <c:pivotFmt>
        <c:idx val="89"/>
        <c:spPr>
          <a:solidFill>
            <a:schemeClr val="accent1"/>
          </a:solidFill>
          <a:ln w="28575" cap="rnd">
            <a:solidFill>
              <a:schemeClr val="accent1"/>
            </a:solidFill>
            <a:round/>
          </a:ln>
          <a:effectLst/>
        </c:spPr>
        <c:marker>
          <c:symbol val="none"/>
        </c:marker>
      </c:pivotFmt>
      <c:pivotFmt>
        <c:idx val="90"/>
        <c:spPr>
          <a:solidFill>
            <a:schemeClr val="accent1"/>
          </a:solidFill>
          <a:ln w="28575" cap="rnd">
            <a:solidFill>
              <a:schemeClr val="accent1"/>
            </a:solidFill>
            <a:round/>
          </a:ln>
          <a:effectLst/>
        </c:spPr>
        <c:marker>
          <c:symbol val="none"/>
        </c:marker>
      </c:pivotFmt>
      <c:pivotFmt>
        <c:idx val="91"/>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'Add #2'!$B$3:$B$4</c:f>
              <c:strCache>
                <c:ptCount val="1"/>
                <c:pt idx="0">
                  <c:v>FALSE</c:v>
                </c:pt>
              </c:strCache>
            </c:strRef>
          </c:tx>
          <c:spPr>
            <a:ln w="28575" cap="rnd">
              <a:solidFill>
                <a:schemeClr val="accent1"/>
              </a:solidFill>
              <a:round/>
            </a:ln>
            <a:effectLst/>
          </c:spPr>
          <c:marker>
            <c:symbol val="none"/>
          </c:marker>
          <c:cat>
            <c:strRef>
              <c:f>'Add #2'!$A$5:$A$14</c:f>
              <c:strCache>
                <c:ptCount val="9"/>
                <c:pt idx="0">
                  <c:v>2009</c:v>
                </c:pt>
                <c:pt idx="1">
                  <c:v>2010</c:v>
                </c:pt>
                <c:pt idx="2">
                  <c:v>2011</c:v>
                </c:pt>
                <c:pt idx="3">
                  <c:v>2012</c:v>
                </c:pt>
                <c:pt idx="4">
                  <c:v>2013</c:v>
                </c:pt>
                <c:pt idx="5">
                  <c:v>2014</c:v>
                </c:pt>
                <c:pt idx="6">
                  <c:v>2015</c:v>
                </c:pt>
                <c:pt idx="7">
                  <c:v>2016</c:v>
                </c:pt>
                <c:pt idx="8">
                  <c:v>2017</c:v>
                </c:pt>
              </c:strCache>
            </c:strRef>
          </c:cat>
          <c:val>
            <c:numRef>
              <c:f>'Add #2'!$B$5:$B$14</c:f>
              <c:numCache>
                <c:formatCode>0%</c:formatCode>
                <c:ptCount val="9"/>
                <c:pt idx="0">
                  <c:v>7.3806666666666659E-2</c:v>
                </c:pt>
                <c:pt idx="1">
                  <c:v>8.7537516266021811E-2</c:v>
                </c:pt>
                <c:pt idx="2">
                  <c:v>7.2978117629983269E-2</c:v>
                </c:pt>
                <c:pt idx="3">
                  <c:v>5.215999407790145E-2</c:v>
                </c:pt>
                <c:pt idx="4">
                  <c:v>9.677466835765873E-2</c:v>
                </c:pt>
                <c:pt idx="5">
                  <c:v>8.5707686621181542E-2</c:v>
                </c:pt>
                <c:pt idx="6">
                  <c:v>8.9466372228921967E-2</c:v>
                </c:pt>
                <c:pt idx="7">
                  <c:v>9.4438302877153393E-2</c:v>
                </c:pt>
                <c:pt idx="8">
                  <c:v>1.7631039936112778</c:v>
                </c:pt>
              </c:numCache>
            </c:numRef>
          </c:val>
          <c:smooth val="0"/>
          <c:extLst>
            <c:ext xmlns:c16="http://schemas.microsoft.com/office/drawing/2014/chart" uri="{C3380CC4-5D6E-409C-BE32-E72D297353CC}">
              <c16:uniqueId val="{00000000-955F-4FA1-BA03-4BE557E31EE3}"/>
            </c:ext>
          </c:extLst>
        </c:ser>
        <c:ser>
          <c:idx val="1"/>
          <c:order val="1"/>
          <c:tx>
            <c:strRef>
              <c:f>'Add #2'!$C$3:$C$4</c:f>
              <c:strCache>
                <c:ptCount val="1"/>
                <c:pt idx="0">
                  <c:v>TRUE</c:v>
                </c:pt>
              </c:strCache>
            </c:strRef>
          </c:tx>
          <c:spPr>
            <a:ln w="28575" cap="rnd">
              <a:solidFill>
                <a:schemeClr val="accent2"/>
              </a:solidFill>
              <a:round/>
            </a:ln>
            <a:effectLst/>
          </c:spPr>
          <c:marker>
            <c:symbol val="none"/>
          </c:marker>
          <c:cat>
            <c:strRef>
              <c:f>'Add #2'!$A$5:$A$14</c:f>
              <c:strCache>
                <c:ptCount val="9"/>
                <c:pt idx="0">
                  <c:v>2009</c:v>
                </c:pt>
                <c:pt idx="1">
                  <c:v>2010</c:v>
                </c:pt>
                <c:pt idx="2">
                  <c:v>2011</c:v>
                </c:pt>
                <c:pt idx="3">
                  <c:v>2012</c:v>
                </c:pt>
                <c:pt idx="4">
                  <c:v>2013</c:v>
                </c:pt>
                <c:pt idx="5">
                  <c:v>2014</c:v>
                </c:pt>
                <c:pt idx="6">
                  <c:v>2015</c:v>
                </c:pt>
                <c:pt idx="7">
                  <c:v>2016</c:v>
                </c:pt>
                <c:pt idx="8">
                  <c:v>2017</c:v>
                </c:pt>
              </c:strCache>
            </c:strRef>
          </c:cat>
          <c:val>
            <c:numRef>
              <c:f>'Add #2'!$C$5:$C$14</c:f>
              <c:numCache>
                <c:formatCode>0%</c:formatCode>
                <c:ptCount val="9"/>
                <c:pt idx="0">
                  <c:v>1.0795146496212122</c:v>
                </c:pt>
                <c:pt idx="1">
                  <c:v>1.3782979335126673</c:v>
                </c:pt>
                <c:pt idx="2">
                  <c:v>1.2892153644938198</c:v>
                </c:pt>
                <c:pt idx="3">
                  <c:v>1.6046268653410907</c:v>
                </c:pt>
                <c:pt idx="4">
                  <c:v>2.4011308623716445</c:v>
                </c:pt>
                <c:pt idx="5">
                  <c:v>8.0567710391911973</c:v>
                </c:pt>
                <c:pt idx="6">
                  <c:v>1.4048134652629964</c:v>
                </c:pt>
                <c:pt idx="7">
                  <c:v>49.837850659923568</c:v>
                </c:pt>
                <c:pt idx="8">
                  <c:v>113.03272194972712</c:v>
                </c:pt>
              </c:numCache>
            </c:numRef>
          </c:val>
          <c:smooth val="0"/>
          <c:extLst>
            <c:ext xmlns:c16="http://schemas.microsoft.com/office/drawing/2014/chart" uri="{C3380CC4-5D6E-409C-BE32-E72D297353CC}">
              <c16:uniqueId val="{00000001-955F-4FA1-BA03-4BE557E31EE3}"/>
            </c:ext>
          </c:extLst>
        </c:ser>
        <c:dLbls>
          <c:showLegendKey val="0"/>
          <c:showVal val="0"/>
          <c:showCatName val="0"/>
          <c:showSerName val="0"/>
          <c:showPercent val="0"/>
          <c:showBubbleSize val="0"/>
        </c:dLbls>
        <c:smooth val="0"/>
        <c:axId val="555627096"/>
        <c:axId val="555636936"/>
      </c:lineChart>
      <c:catAx>
        <c:axId val="555627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36936"/>
        <c:crosses val="autoZero"/>
        <c:auto val="1"/>
        <c:lblAlgn val="ctr"/>
        <c:lblOffset val="100"/>
        <c:noMultiLvlLbl val="0"/>
      </c:catAx>
      <c:valAx>
        <c:axId val="55563693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270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727</TotalTime>
  <Pages>1</Pages>
  <Words>251</Words>
  <Characters>1431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Bode</dc:creator>
  <cp:keywords/>
  <dc:description/>
  <cp:lastModifiedBy>Josh Bode</cp:lastModifiedBy>
  <cp:revision>5</cp:revision>
  <dcterms:created xsi:type="dcterms:W3CDTF">2018-05-05T05:42:00Z</dcterms:created>
  <dcterms:modified xsi:type="dcterms:W3CDTF">2018-05-05T17:49:00Z</dcterms:modified>
</cp:coreProperties>
</file>