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Acton ADU Staff Lifecycle Checklist</w:t>
      </w:r>
    </w:p>
    <w:p>
      <w:pPr/>
      <w:r>
        <w:t xml:space="preserve">Oct 28, 2026</w:t>
      </w:r>
      <w:r>
        <w:t xml:space="preserve"> · </w:t>
      </w:r>
      <w:r>
        <w:t xml:space="preserve">@James Parks</w:t>
      </w:r>
    </w:p>
    <w:p>
      <w:pPr>
        <w:pStyle w:val="Heading2"/>
      </w:pPr>
      <w:r>
        <w:t xml:space="preserve">How to use this checklist</w:t>
      </w:r>
    </w:p>
    <w:p>
      <w:pPr/>
      <w:r>
        <w:t xml:space="preserve">This is the standard pre-boarding, onboarding, and offboarding checklist for Acton ADU, mapped to California requirements. Items tagged [CA] or [Fed] are legal requirements. Untagged items are BambooHR best practice. Each hire or departure gets a copy with the boxes ticked in BambooHR or this doc.</w:t>
      </w:r>
    </w:p>
    <w:p>
      <w:pPr/>
      <w:r>
        <w:t xml:space="preserve">Employee-count thresholds (5, 20, 75) change what applies. Confirm Acton's current headcount against each tagged item, and have counsel or the payroll provider sanity-check timing items before adopting.</w:t>
      </w:r>
    </w:p>
    <w:p>
      <w:pPr>
        <w:pStyle w:val="Heading3"/>
      </w:pPr>
      <w:r>
        <w:t xml:space="preserve">California compliance sources</w:t>
      </w:r>
    </w:p>
    <w:p>
      <w:pPr/>
      <w:r>
        <w:t xml:space="preserve">Official and free. Pull current PDFs from these pages each January and whenever a hire starts; never reuse last year's packet.</w:t>
      </w:r>
    </w:p>
    <w:tbl>
      <w:tblPr>
        <w:tblStyle w:val="TableGrid"/>
        <w:tblW w:w="0" w:type="auto"/>
        <w:tblLayout w:type="fixed"/>
        <w:tblLook w:val="04A0" w:firstRow="1" w:lastRow="0" w:firstColumn="0" w:lastColumn="0" w:noHBand="0" w:noVBand="1"/>
      </w:tblPr>
      <w:tblGrid>
        <w:gridCol w:w="2298"/>
        <w:gridCol w:w="3942"/>
        <w:gridCol w:w="3120"/>
      </w:tblGrid>
      <w:tr>
        <w:trPr>
          <w:tblHeader/>
        </w:trPr>
        <w:tc>
          <w:tcPr>
            <w:tcW w:w="2298" w:type="dxa"/>
            <w:shd w:val="clear" w:color="auto" w:fill="F2F2F2"/>
          </w:tcPr>
          <w:p>
            <w:pPr/>
            <w:r>
              <w:t xml:space="preserve">Source</w:t>
            </w:r>
          </w:p>
        </w:tc>
        <w:tc>
          <w:tcPr>
            <w:tcW w:w="3942" w:type="dxa"/>
            <w:shd w:val="clear" w:color="auto" w:fill="F2F2F2"/>
          </w:tcPr>
          <w:p>
            <w:pPr/>
            <w:r>
              <w:t xml:space="preserve">What it covers</w:t>
            </w:r>
          </w:p>
        </w:tc>
        <w:tc>
          <w:tcPr>
            <w:tcW w:w="3120" w:type="dxa"/>
            <w:shd w:val="clear" w:color="auto" w:fill="F2F2F2"/>
          </w:tcPr>
          <w:p>
            <w:pPr/>
            <w:r>
              <w:t xml:space="preserve">Link</w:t>
            </w:r>
          </w:p>
        </w:tc>
      </w:tr>
      <w:tr>
        <w:tc>
          <w:tcPr>
            <w:tcW w:w="2298" w:type="dxa"/>
          </w:tcPr>
          <w:p>
            <w:pPr/>
            <w:r>
              <w:t xml:space="preserve">DIR Required Posters and Notices</w:t>
            </w:r>
          </w:p>
        </w:tc>
        <w:tc>
          <w:tcPr>
            <w:tcW w:w="3942" w:type="dxa"/>
          </w:tcPr>
          <w:p>
            <w:pPr/>
            <w:r>
              <w:t xml:space="preserve">Labor Commissioner notices, Know Your Rights annual notice, posting rules</w:t>
            </w:r>
          </w:p>
        </w:tc>
        <w:tc>
          <w:tcPr>
            <w:tcW w:w="3120" w:type="dxa"/>
          </w:tcPr>
          <w:p>
            <w:pPr/>
            <w:hyperlink r:id="rId3" w:history="1">
              <w:r>
                <w:rPr>
                  <w:rStyle w:val="Hyperlink"/>
                </w:rPr>
                <w:t xml:space="preserve">dir.ca.gov/dlse/RequiredPosters.html</w:t>
              </w:r>
            </w:hyperlink>
          </w:p>
        </w:tc>
      </w:tr>
      <w:tr>
        <w:tc>
          <w:tcPr>
            <w:tcW w:w="2298" w:type="dxa"/>
          </w:tcPr>
          <w:p>
            <w:pPr/>
            <w:r>
              <w:t xml:space="preserve">DIR Workplace Postings</w:t>
            </w:r>
          </w:p>
        </w:tc>
        <w:tc>
          <w:tcPr>
            <w:tcW w:w="3942" w:type="dxa"/>
          </w:tcPr>
          <w:p>
            <w:pPr/>
            <w:r>
              <w:t xml:space="preserve">Downloadable posters and the Labor Code 2810.5 notice</w:t>
            </w:r>
          </w:p>
        </w:tc>
        <w:tc>
          <w:tcPr>
            <w:tcW w:w="3120" w:type="dxa"/>
          </w:tcPr>
          <w:p>
            <w:pPr/>
            <w:hyperlink r:id="rId4" w:history="1">
              <w:r>
                <w:rPr>
                  <w:rStyle w:val="Hyperlink"/>
                </w:rPr>
                <w:t xml:space="preserve">dir.ca.gov/wpnodb.html</w:t>
              </w:r>
            </w:hyperlink>
          </w:p>
        </w:tc>
      </w:tr>
      <w:tr>
        <w:tc>
          <w:tcPr>
            <w:tcW w:w="2298" w:type="dxa"/>
          </w:tcPr>
          <w:p>
            <w:pPr/>
            <w:r>
              <w:t xml:space="preserve">EDD Required Notices and Pamphlets</w:t>
            </w:r>
          </w:p>
        </w:tc>
        <w:tc>
          <w:tcPr>
            <w:tcW w:w="3942" w:type="dxa"/>
          </w:tcPr>
          <w:p>
            <w:pPr/>
            <w:r>
              <w:t xml:space="preserve">DE 2320, DE 2511, DE 2515, EITC notices</w:t>
            </w:r>
          </w:p>
        </w:tc>
        <w:tc>
          <w:tcPr>
            <w:tcW w:w="3120" w:type="dxa"/>
          </w:tcPr>
          <w:p>
            <w:pPr/>
            <w:hyperlink r:id="rId5" w:history="1">
              <w:r>
                <w:rPr>
                  <w:rStyle w:val="Hyperlink"/>
                </w:rPr>
                <w:t xml:space="preserve">edd.ca.gov Required Notices</w:t>
              </w:r>
            </w:hyperlink>
          </w:p>
        </w:tc>
      </w:tr>
      <w:tr>
        <w:tc>
          <w:tcPr>
            <w:tcW w:w="2298" w:type="dxa"/>
          </w:tcPr>
          <w:p>
            <w:pPr/>
            <w:r>
              <w:t xml:space="preserve">Civil Rights Department publications</w:t>
            </w:r>
          </w:p>
        </w:tc>
        <w:tc>
          <w:tcPr>
            <w:tcW w:w="3942" w:type="dxa"/>
          </w:tcPr>
          <w:p>
            <w:pPr/>
            <w:r>
              <w:t xml:space="preserve">Harassment pamphlet, PDL and CFRA notices, Survivors of Violence pamphlet</w:t>
            </w:r>
          </w:p>
        </w:tc>
        <w:tc>
          <w:tcPr>
            <w:tcW w:w="3120" w:type="dxa"/>
          </w:tcPr>
          <w:p>
            <w:pPr/>
            <w:hyperlink r:id="rId6" w:history="1">
              <w:r>
                <w:rPr>
                  <w:rStyle w:val="Hyperlink"/>
                </w:rPr>
                <w:t xml:space="preserve">calcivilrights.ca.gov/publications</w:t>
              </w:r>
            </w:hyperlink>
          </w:p>
        </w:tc>
      </w:tr>
      <w:tr>
        <w:tc>
          <w:tcPr>
            <w:tcW w:w="2298" w:type="dxa"/>
          </w:tcPr>
          <w:p>
            <w:pPr/>
            <w:r>
              <w:t xml:space="preserve">CalChamber HRCalifornia New Hire Guide (paid)</w:t>
            </w:r>
          </w:p>
        </w:tc>
        <w:tc>
          <w:tcPr>
            <w:tcW w:w="3942" w:type="dxa"/>
          </w:tcPr>
          <w:p>
            <w:pPr/>
            <w:r>
              <w:t xml:space="preserve">Packaged checklists, pamphlet bundles, year-round compliance alerts</w:t>
            </w:r>
          </w:p>
        </w:tc>
        <w:tc>
          <w:tcPr>
            <w:tcW w:w="3120" w:type="dxa"/>
          </w:tcPr>
          <w:p>
            <w:pPr/>
            <w:hyperlink r:id="rId7" w:history="1">
              <w:r>
                <w:rPr>
                  <w:rStyle w:val="Hyperlink"/>
                </w:rPr>
                <w:t xml:space="preserve">HRCalifornia New Hire Guide</w:t>
              </w:r>
            </w:hyperlink>
          </w:p>
        </w:tc>
      </w:tr>
    </w:tbl>
    <w:p>
      <w:pPr/>
      <w:r>
        <w:t xml:space="preserve">Use the state sites as the source of truth and CalChamber for the packaged kits and alerts.</w:t>
      </w:r>
    </w:p>
    <w:p>
      <w:pPr>
        <w:pStyle w:val="Heading2"/>
      </w:pPr>
      <w:r>
        <w:t xml:space="preserve">Part 1: Pre-boarding (offer accepted to Day 1)</w:t>
      </w:r>
    </w:p>
    <w:p>
      <w:pPr/>
      <w:r>
        <w:t xml:space="preserve">Goal: every legal document, account, and seat is ready so Day 1 is orientation, not IT triage.</w:t>
      </w:r>
    </w:p>
    <w:p>
      <w:pPr>
        <w:pStyle w:val="Heading3"/>
      </w:pPr>
      <w:r>
        <w:t xml:space="preserve">Legal and HR</w:t>
      </w:r>
    </w:p>
    <w:p>
      <w:pPr>
        <w:pStyle w:val="ListParagraph"/>
        <w:numPr>
          <w:ilvl w:val="0"/>
          <w:numId w:val="2"/>
        </w:numPr>
      </w:pPr>
      <w:r>
        <w:t xml:space="preserve">☐ Offer letter: at-will status, pay rate, exempt or non-exempt, start date. E-sign in BambooHR.</w:t>
      </w:r>
    </w:p>
    <w:p>
      <w:pPr>
        <w:pStyle w:val="ListParagraph"/>
        <w:numPr>
          <w:ilvl w:val="0"/>
          <w:numId w:val="2"/>
        </w:numPr>
      </w:pPr>
      <w:r>
        <w:t xml:space="preserve">☐ [CA] Background check only after a conditional offer. Fair Chance Act individualized assessment if a conviction surfaces (Gov Code 12952).</w:t>
      </w:r>
    </w:p>
    <w:p>
      <w:pPr>
        <w:pStyle w:val="ListParagraph"/>
        <w:numPr>
          <w:ilvl w:val="0"/>
          <w:numId w:val="2"/>
        </w:numPr>
      </w:pPr>
      <w:r>
        <w:t xml:space="preserve">☐ [CA] Prepare the Wage Theft Prevention Act notice for non-exempt hires (Labor Code 2810.5). Employer completes it and gives it at hire.</w:t>
      </w:r>
    </w:p>
    <w:p>
      <w:pPr>
        <w:pStyle w:val="ListParagraph"/>
        <w:numPr>
          <w:ilvl w:val="0"/>
          <w:numId w:val="2"/>
        </w:numPr>
      </w:pPr>
      <w:r>
        <w:t xml:space="preserve">☐ [Fed] [CA] Prepare W-4 and DE 4 (2026 version).</w:t>
      </w:r>
    </w:p>
    <w:p>
      <w:pPr>
        <w:pStyle w:val="ListParagraph"/>
        <w:numPr>
          <w:ilvl w:val="0"/>
          <w:numId w:val="2"/>
        </w:numPr>
      </w:pPr>
      <w:r>
        <w:t xml:space="preserve">☐ [Fed] I-9 Section 1 completed by the employee on or before Day 1.</w:t>
      </w:r>
    </w:p>
    <w:p>
      <w:pPr>
        <w:pStyle w:val="ListParagraph"/>
        <w:numPr>
          <w:ilvl w:val="0"/>
          <w:numId w:val="2"/>
        </w:numPr>
      </w:pPr>
      <w:r>
        <w:t xml:space="preserve">☐ [CA] Assemble the 2026 pamphlet packet (full list in Part 2, Day 1). Download current PDFs from DIR, EDD, and CRD. Delivery by email with e-acknowledgment in BambooHR is permitted.</w:t>
      </w:r>
    </w:p>
    <w:p>
      <w:pPr>
        <w:pStyle w:val="ListParagraph"/>
        <w:numPr>
          <w:ilvl w:val="0"/>
          <w:numId w:val="2"/>
        </w:numPr>
      </w:pPr>
      <w:r>
        <w:t xml:space="preserve">☐ [CA] Confirm current labor law posters at the office and every active jobsite.</w:t>
      </w:r>
    </w:p>
    <w:p>
      <w:pPr>
        <w:pStyle w:val="ListParagraph"/>
        <w:numPr>
          <w:ilvl w:val="0"/>
          <w:numId w:val="2"/>
        </w:numPr>
      </w:pPr>
      <w:r>
        <w:t xml:space="preserve">☐ Payroll setup, pay schedule, direct deposit authorization (written consent required).</w:t>
      </w:r>
    </w:p>
    <w:p>
      <w:pPr>
        <w:pStyle w:val="ListParagraph"/>
        <w:numPr>
          <w:ilvl w:val="0"/>
          <w:numId w:val="2"/>
        </w:numPr>
      </w:pPr>
      <w:r>
        <w:t xml:space="preserve">☐ [CA] Expense reimbursement method set for mileage and phone (Labor Code 2802).</w:t>
      </w:r>
    </w:p>
    <w:p>
      <w:pPr>
        <w:pStyle w:val="Heading3"/>
      </w:pPr>
      <w:r>
        <w:t xml:space="preserve">Accounts, all staff</w:t>
      </w:r>
    </w:p>
    <w:p>
      <w:pPr>
        <w:pStyle w:val="ListParagraph"/>
        <w:numPr>
          <w:ilvl w:val="0"/>
          <w:numId w:val="3"/>
        </w:numPr>
      </w:pPr>
      <w:r>
        <w:t xml:space="preserve">☐ Google Workspace: Gmail account, Google Groups, shared Drives matched to role.</w:t>
      </w:r>
    </w:p>
    <w:p>
      <w:pPr>
        <w:pStyle w:val="ListParagraph"/>
        <w:numPr>
          <w:ilvl w:val="0"/>
          <w:numId w:val="3"/>
        </w:numPr>
      </w:pPr>
      <w:r>
        <w:t xml:space="preserve">☐ Slack: invite, 2FA enabled, added to #general. Add to the department channel for their role: #sales, #design, #production, #pm, or #marketing. The hiring manager then decides which project channels and special project channels they join and adds them directly.</w:t>
      </w:r>
    </w:p>
    <w:p>
      <w:pPr>
        <w:pStyle w:val="ListParagraph"/>
        <w:numPr>
          <w:ilvl w:val="0"/>
          <w:numId w:val="3"/>
        </w:numPr>
      </w:pPr>
      <w:r>
        <w:t xml:space="preserve">☐ JobTread: user created, role and permissions set, added to active jobs. Confirm a seat is free.</w:t>
      </w:r>
    </w:p>
    <w:p>
      <w:pPr>
        <w:pStyle w:val="ListParagraph"/>
        <w:numPr>
          <w:ilvl w:val="0"/>
          <w:numId w:val="3"/>
        </w:numPr>
      </w:pPr>
      <w:r>
        <w:t xml:space="preserve">☐ Verify all four logins work before Day 1.</w:t>
      </w:r>
    </w:p>
    <w:p>
      <w:pPr>
        <w:pStyle w:val="Heading3"/>
      </w:pPr>
      <w:r>
        <w:t xml:space="preserve">Accounts, designers</w:t>
      </w:r>
    </w:p>
    <w:p>
      <w:pPr>
        <w:pStyle w:val="ListParagraph"/>
        <w:numPr>
          <w:ilvl w:val="0"/>
          <w:numId w:val="4"/>
        </w:numPr>
      </w:pPr>
      <w:r>
        <w:t xml:space="preserve">☐ Autodesk Revit named-user seat assigned in the Autodesk admin console.</w:t>
      </w:r>
    </w:p>
    <w:p>
      <w:pPr>
        <w:pStyle w:val="ListParagraph"/>
        <w:numPr>
          <w:ilvl w:val="0"/>
          <w:numId w:val="4"/>
        </w:numPr>
      </w:pPr>
      <w:r>
        <w:t xml:space="preserve">☐ Bluebeam Revu named-user license assigned in Bluebeam Cloud admin.</w:t>
      </w:r>
    </w:p>
    <w:p>
      <w:pPr>
        <w:pStyle w:val="ListParagraph"/>
        <w:numPr>
          <w:ilvl w:val="0"/>
          <w:numId w:val="4"/>
        </w:numPr>
      </w:pPr>
      <w:r>
        <w:t xml:space="preserve">☐ Added to design shared Drive, Revit template library, and project model folders.</w:t>
      </w:r>
    </w:p>
    <w:p>
      <w:pPr>
        <w:pStyle w:val="ListParagraph"/>
        <w:numPr>
          <w:ilvl w:val="0"/>
          <w:numId w:val="4"/>
        </w:numPr>
      </w:pPr>
      <w:r>
        <w:t xml:space="preserve">☐ Laptop meets Revit spec (dedicated GPU, 32GB RAM recommended).</w:t>
      </w:r>
    </w:p>
    <w:p>
      <w:pPr>
        <w:pStyle w:val="Heading3"/>
      </w:pPr>
      <w:r>
        <w:t xml:space="preserve">Accounts, sales</w:t>
      </w:r>
    </w:p>
    <w:p>
      <w:pPr>
        <w:pStyle w:val="ListParagraph"/>
        <w:numPr>
          <w:ilvl w:val="0"/>
          <w:numId w:val="5"/>
        </w:numPr>
      </w:pPr>
      <w:r>
        <w:t xml:space="preserve">☐ GoHighLevel: user created, assigned to sales pipeline, lead assignment and round-robin set, calendar sync on, calling and texting permissions confirmed, A2P 10DLC registration complete before texting leads.</w:t>
      </w:r>
    </w:p>
    <w:p>
      <w:pPr>
        <w:pStyle w:val="ListParagraph"/>
        <w:numPr>
          <w:ilvl w:val="0"/>
          <w:numId w:val="5"/>
        </w:numPr>
      </w:pPr>
      <w:r>
        <w:t xml:space="preserve">☐ Added to sales shared Drive and proposal templates.</w:t>
      </w:r>
    </w:p>
    <w:p>
      <w:pPr>
        <w:pStyle w:val="Heading3"/>
      </w:pPr>
      <w:r>
        <w:t xml:space="preserve">Accounts, marketing</w:t>
      </w:r>
    </w:p>
    <w:p>
      <w:pPr>
        <w:pStyle w:val="ListParagraph"/>
        <w:numPr>
          <w:ilvl w:val="0"/>
          <w:numId w:val="6"/>
        </w:numPr>
      </w:pPr>
      <w:r>
        <w:t xml:space="preserve">☐ GoHighLevel: marketing permissions (campaigns, automations, forms, funnels). Admin rights limited to one or two people.</w:t>
      </w:r>
    </w:p>
    <w:p>
      <w:pPr>
        <w:pStyle w:val="ListParagraph"/>
        <w:numPr>
          <w:ilvl w:val="0"/>
          <w:numId w:val="6"/>
        </w:numPr>
      </w:pPr>
      <w:r>
        <w:t xml:space="preserve">☐ Webflow: workspace member with correct role (Designer, Content Editor, or Site Manager). Confirm a seat is free.</w:t>
      </w:r>
    </w:p>
    <w:p>
      <w:pPr>
        <w:pStyle w:val="ListParagraph"/>
        <w:numPr>
          <w:ilvl w:val="0"/>
          <w:numId w:val="6"/>
        </w:numPr>
      </w:pPr>
      <w:r>
        <w:t xml:space="preserve">☐ Meta Business Suite: add as a person in Business Settings; assign Facebook Page, Instagram, ad account, and Pixel or datasets. Review agency partner permissions.</w:t>
      </w:r>
    </w:p>
    <w:p>
      <w:pPr>
        <w:pStyle w:val="ListParagraph"/>
        <w:numPr>
          <w:ilvl w:val="0"/>
          <w:numId w:val="6"/>
        </w:numPr>
      </w:pPr>
      <w:r>
        <w:t xml:space="preserve">☐ X (Twitter): Delegate access, never the master password.</w:t>
      </w:r>
    </w:p>
    <w:p>
      <w:pPr>
        <w:pStyle w:val="ListParagraph"/>
        <w:numPr>
          <w:ilvl w:val="0"/>
          <w:numId w:val="6"/>
        </w:numPr>
      </w:pPr>
      <w:r>
        <w:t xml:space="preserve">☐ YouTube: Channel Manager or Editor via the brand account using their company Google address.</w:t>
      </w:r>
    </w:p>
    <w:p>
      <w:pPr>
        <w:pStyle w:val="ListParagraph"/>
        <w:numPr>
          <w:ilvl w:val="0"/>
          <w:numId w:val="6"/>
        </w:numPr>
      </w:pPr>
      <w:r>
        <w:t xml:space="preserve">☐ LinkedIn Company Page: admin role matched to need.</w:t>
      </w:r>
    </w:p>
    <w:p>
      <w:pPr>
        <w:pStyle w:val="ListParagraph"/>
        <w:numPr>
          <w:ilvl w:val="0"/>
          <w:numId w:val="6"/>
        </w:numPr>
      </w:pPr>
      <w:r>
        <w:t xml:space="preserve">☐ Google Business Profile: Manager role. Primary Owner stays on a company-controlled account.</w:t>
      </w:r>
    </w:p>
    <w:p>
      <w:pPr>
        <w:pStyle w:val="ListParagraph"/>
        <w:numPr>
          <w:ilvl w:val="0"/>
          <w:numId w:val="6"/>
        </w:numPr>
      </w:pPr>
      <w:r>
        <w:t xml:space="preserve">☐ Google Ads: Standard or Admin user. Link through the agency MCC if one exists rather than duplicating.</w:t>
      </w:r>
    </w:p>
    <w:p>
      <w:pPr>
        <w:pStyle w:val="ListParagraph"/>
        <w:numPr>
          <w:ilvl w:val="0"/>
          <w:numId w:val="6"/>
        </w:numPr>
      </w:pPr>
      <w:r>
        <w:t xml:space="preserve">☐ Google Analytics (GA4): Editor or Analyst at property level.</w:t>
      </w:r>
    </w:p>
    <w:p>
      <w:pPr>
        <w:pStyle w:val="ListParagraph"/>
        <w:numPr>
          <w:ilvl w:val="0"/>
          <w:numId w:val="6"/>
        </w:numPr>
      </w:pPr>
      <w:r>
        <w:t xml:space="preserve">☐ Brand assets Drive, podcast assets, and scheduling tool if used.</w:t>
      </w:r>
    </w:p>
    <w:p>
      <w:pPr>
        <w:pStyle w:val="ListParagraph"/>
        <w:numPr>
          <w:ilvl w:val="0"/>
          <w:numId w:val="6"/>
        </w:numPr>
      </w:pPr>
      <w:r>
        <w:t xml:space="preserve">☐ Log every grant in the access register (platform, role, date, approver).</w:t>
      </w:r>
    </w:p>
    <w:p>
      <w:pPr>
        <w:pStyle w:val="Heading3"/>
      </w:pPr>
      <w:r>
        <w:t xml:space="preserve">Licensed software gate (all roles)</w:t>
      </w:r>
    </w:p>
    <w:p>
      <w:pPr>
        <w:pStyle w:val="ListParagraph"/>
        <w:numPr>
          <w:ilvl w:val="0"/>
          <w:numId w:val="7"/>
        </w:numPr>
      </w:pPr>
      <w:r>
        <w:t xml:space="preserve">☐ Before the offer goes out, confirm seat availability for JobTread, Webflow, Autodesk Revit, and Bluebeam Revu. Record seat cost on the hiring approval so finance signs off on fully loaded cost.</w:t>
      </w:r>
    </w:p>
    <w:p>
      <w:pPr>
        <w:pStyle w:val="Heading3"/>
      </w:pPr>
      <w:r>
        <w:t xml:space="preserve">Operational</w:t>
      </w:r>
    </w:p>
    <w:p>
      <w:pPr>
        <w:pStyle w:val="ListParagraph"/>
        <w:numPr>
          <w:ilvl w:val="0"/>
          <w:numId w:val="8"/>
        </w:numPr>
      </w:pPr>
      <w:r>
        <w:t xml:space="preserve">☐ Equipment ordered: laptop, phone. Field roles add PPE, tools, vehicle or mileage setup.</w:t>
      </w:r>
    </w:p>
    <w:p>
      <w:pPr>
        <w:pStyle w:val="ListParagraph"/>
        <w:numPr>
          <w:ilvl w:val="0"/>
          <w:numId w:val="8"/>
        </w:numPr>
      </w:pPr>
      <w:r>
        <w:t xml:space="preserve">☐ Buddy or mentor assigned.</w:t>
      </w:r>
    </w:p>
    <w:p>
      <w:pPr>
        <w:pStyle w:val="ListParagraph"/>
        <w:numPr>
          <w:ilvl w:val="0"/>
          <w:numId w:val="8"/>
        </w:numPr>
      </w:pPr>
      <w:r>
        <w:t xml:space="preserve">☐ 30/60/90 day plan drafted with the hiring manager.</w:t>
      </w:r>
    </w:p>
    <w:p>
      <w:pPr>
        <w:pStyle w:val="ListParagraph"/>
        <w:numPr>
          <w:ilvl w:val="0"/>
          <w:numId w:val="8"/>
        </w:numPr>
      </w:pPr>
      <w:r>
        <w:t xml:space="preserve">☐ Welcome email: Day 1 time, location, parking, dress code, schedule.</w:t>
      </w:r>
    </w:p>
    <w:p>
      <w:pPr>
        <w:pStyle w:val="ListParagraph"/>
        <w:numPr>
          <w:ilvl w:val="0"/>
          <w:numId w:val="8"/>
        </w:numPr>
      </w:pPr>
      <w:r>
        <w:t xml:space="preserve">☐ Calendar invites, org chart, internal announcement.</w:t>
      </w:r>
    </w:p>
    <w:p>
      <w:pPr>
        <w:pStyle w:val="ListParagraph"/>
        <w:numPr>
          <w:ilvl w:val="0"/>
          <w:numId w:val="8"/>
        </w:numPr>
      </w:pPr>
      <w:r>
        <w:t xml:space="preserve">☐ Workspace or jobsite assignment ready.</w:t>
      </w:r>
    </w:p>
    <w:p>
      <w:pPr>
        <w:pStyle w:val="Heading2"/>
      </w:pPr>
      <w:r>
        <w:t xml:space="preserve">Part 2: Onboarding (Day 1 to 90)</w:t>
      </w:r>
    </w:p>
    <w:p>
      <w:pPr/>
      <w:r>
        <w:t xml:space="preserve">Goal: legal paperwork closed in the first week, the new hire productive in their tools by Day 30, and a formal review at Day 90.</w:t>
      </w:r>
    </w:p>
    <w:p>
      <w:pPr>
        <w:pStyle w:val="Heading3"/>
      </w:pPr>
      <w:r>
        <w:t xml:space="preserve">Day 1, legal</w:t>
      </w:r>
    </w:p>
    <w:p>
      <w:pPr>
        <w:pStyle w:val="ListParagraph"/>
        <w:numPr>
          <w:ilvl w:val="0"/>
          <w:numId w:val="9"/>
        </w:numPr>
      </w:pPr>
      <w:r>
        <w:t xml:space="preserve">☐ [Fed] I-9 Section 2 completed within 3 business days; identity documents verified.</w:t>
      </w:r>
    </w:p>
    <w:p>
      <w:pPr>
        <w:pStyle w:val="ListParagraph"/>
        <w:numPr>
          <w:ilvl w:val="0"/>
          <w:numId w:val="9"/>
        </w:numPr>
      </w:pPr>
      <w:r>
        <w:t xml:space="preserve">☐ [Fed] [CA] Collect signed W-4 and DE 4.</w:t>
      </w:r>
    </w:p>
    <w:p>
      <w:pPr>
        <w:pStyle w:val="ListParagraph"/>
        <w:numPr>
          <w:ilvl w:val="0"/>
          <w:numId w:val="9"/>
        </w:numPr>
      </w:pPr>
      <w:r>
        <w:t xml:space="preserve">☐ [CA] Deliver the following with signed acknowledgment in BambooHR:</w:t>
      </w:r>
    </w:p>
    <w:p>
      <w:pPr>
        <w:pStyle w:val="ListParagraph"/>
        <w:numPr>
          <w:ilvl w:val="1"/>
          <w:numId w:val="10"/>
        </w:numPr>
      </w:pPr>
      <w:r>
        <w:t xml:space="preserve">Wage Theft Prevention Act notice (non-exempt only)</w:t>
      </w:r>
    </w:p>
    <w:p>
      <w:pPr>
        <w:pStyle w:val="ListParagraph"/>
        <w:numPr>
          <w:ilvl w:val="1"/>
          <w:numId w:val="10"/>
        </w:numPr>
      </w:pPr>
      <w:r>
        <w:t xml:space="preserve">SB 294 Workplace Know Your Rights notice (required at hire from February 1, 2026; covers workers' comp, immigration protections, union rights, constitutional rights)</w:t>
      </w:r>
    </w:p>
    <w:p>
      <w:pPr>
        <w:pStyle w:val="ListParagraph"/>
        <w:numPr>
          <w:ilvl w:val="1"/>
          <w:numId w:val="10"/>
        </w:numPr>
      </w:pPr>
      <w:r>
        <w:t xml:space="preserve">Emergency contact designation form (SB 294)</w:t>
      </w:r>
    </w:p>
    <w:p>
      <w:pPr>
        <w:pStyle w:val="ListParagraph"/>
        <w:numPr>
          <w:ilvl w:val="1"/>
          <w:numId w:val="10"/>
        </w:numPr>
      </w:pPr>
      <w:r>
        <w:t xml:space="preserve">Sexual harassment prevention pamphlet (CRD)</w:t>
      </w:r>
    </w:p>
    <w:p>
      <w:pPr>
        <w:pStyle w:val="ListParagraph"/>
        <w:numPr>
          <w:ilvl w:val="1"/>
          <w:numId w:val="10"/>
        </w:numPr>
      </w:pPr>
      <w:r>
        <w:t xml:space="preserve">Workers' Compensation Time of Hire pamphlet (at hire or by end of first pay period)</w:t>
      </w:r>
    </w:p>
    <w:p>
      <w:pPr>
        <w:pStyle w:val="ListParagraph"/>
        <w:numPr>
          <w:ilvl w:val="1"/>
          <w:numId w:val="10"/>
        </w:numPr>
      </w:pPr>
      <w:r>
        <w:t xml:space="preserve">Paid Family Leave pamphlet (DE 2511)</w:t>
      </w:r>
    </w:p>
    <w:p>
      <w:pPr>
        <w:pStyle w:val="ListParagraph"/>
        <w:numPr>
          <w:ilvl w:val="1"/>
          <w:numId w:val="10"/>
        </w:numPr>
      </w:pPr>
      <w:r>
        <w:t xml:space="preserve">State Disability Insurance pamphlet (DE 2515)</w:t>
      </w:r>
    </w:p>
    <w:p>
      <w:pPr>
        <w:pStyle w:val="ListParagraph"/>
        <w:numPr>
          <w:ilvl w:val="1"/>
          <w:numId w:val="10"/>
        </w:numPr>
      </w:pPr>
      <w:r>
        <w:t xml:space="preserve">Survivors of Violence rights pamphlet (2026 version)</w:t>
      </w:r>
    </w:p>
    <w:p>
      <w:pPr>
        <w:pStyle w:val="ListParagraph"/>
        <w:numPr>
          <w:ilvl w:val="1"/>
          <w:numId w:val="10"/>
        </w:numPr>
      </w:pPr>
      <w:r>
        <w:t xml:space="preserve">Pregnancy Disability Leave and CFRA notice (5+ employees)</w:t>
      </w:r>
    </w:p>
    <w:p>
      <w:pPr>
        <w:pStyle w:val="ListParagraph"/>
        <w:numPr>
          <w:ilvl w:val="1"/>
          <w:numId w:val="10"/>
        </w:numPr>
      </w:pPr>
      <w:r>
        <w:t xml:space="preserve">Paid Sick Leave notice (Labor Code 246, 2026 version)</w:t>
      </w:r>
    </w:p>
    <w:p>
      <w:pPr>
        <w:pStyle w:val="ListParagraph"/>
        <w:numPr>
          <w:ilvl w:val="1"/>
          <w:numId w:val="10"/>
        </w:numPr>
      </w:pPr>
      <w:r>
        <w:t xml:space="preserve">Earned Income Tax Credit notice</w:t>
      </w:r>
    </w:p>
    <w:p>
      <w:pPr>
        <w:pStyle w:val="ListParagraph"/>
        <w:numPr>
          <w:ilvl w:val="1"/>
          <w:numId w:val="10"/>
        </w:numPr>
      </w:pPr>
      <w:r>
        <w:t xml:space="preserve">Employee handbook with CA policies: harassment, meal and rest breaks, overtime, sick leave, lactation accommodation, expense reimbursement</w:t>
      </w:r>
    </w:p>
    <w:p>
      <w:pPr>
        <w:pStyle w:val="ListParagraph"/>
        <w:numPr>
          <w:ilvl w:val="0"/>
          <w:numId w:val="9"/>
        </w:numPr>
      </w:pPr>
      <w:r>
        <w:t xml:space="preserve">☐ [CA] Cal/OSHA Injury and Illness Prevention Program orientation, signed (8 CCR 3203).</w:t>
      </w:r>
    </w:p>
    <w:p>
      <w:pPr>
        <w:pStyle w:val="ListParagraph"/>
        <w:numPr>
          <w:ilvl w:val="0"/>
          <w:numId w:val="9"/>
        </w:numPr>
      </w:pPr>
      <w:r>
        <w:t xml:space="preserve">☐ [CA] Field roles: Heat Illness Prevention training before any outdoor work (8 CCR 3395); PPE issue log signed.</w:t>
      </w:r>
    </w:p>
    <w:p>
      <w:pPr>
        <w:pStyle w:val="ListParagraph"/>
        <w:numPr>
          <w:ilvl w:val="0"/>
          <w:numId w:val="9"/>
        </w:numPr>
      </w:pPr>
      <w:r>
        <w:t xml:space="preserve">☐ [CA] Meal and rest period policy acknowledged; timekeeping set up for non-exempt staff.</w:t>
      </w:r>
    </w:p>
    <w:p>
      <w:pPr>
        <w:pStyle w:val="Heading3"/>
      </w:pPr>
      <w:r>
        <w:t xml:space="preserve">Day 1, operational</w:t>
      </w:r>
    </w:p>
    <w:p>
      <w:pPr>
        <w:pStyle w:val="ListParagraph"/>
        <w:numPr>
          <w:ilvl w:val="0"/>
          <w:numId w:val="11"/>
        </w:numPr>
      </w:pPr>
      <w:r>
        <w:t xml:space="preserve">☐ Welcome, team intros, office or jobsite tour.</w:t>
      </w:r>
    </w:p>
    <w:p>
      <w:pPr>
        <w:pStyle w:val="ListParagraph"/>
        <w:numPr>
          <w:ilvl w:val="0"/>
          <w:numId w:val="11"/>
        </w:numPr>
      </w:pPr>
      <w:r>
        <w:t xml:space="preserve">☐ Verify all logins and 2FA. Designers open Revit and Bluebeam under their own license.</w:t>
      </w:r>
    </w:p>
    <w:p>
      <w:pPr>
        <w:pStyle w:val="ListParagraph"/>
        <w:numPr>
          <w:ilvl w:val="0"/>
          <w:numId w:val="11"/>
        </w:numPr>
      </w:pPr>
      <w:r>
        <w:t xml:space="preserve">☐ Benefits enrollment started; deadlines explained.</w:t>
      </w:r>
    </w:p>
    <w:p>
      <w:pPr>
        <w:pStyle w:val="ListParagraph"/>
        <w:numPr>
          <w:ilvl w:val="0"/>
          <w:numId w:val="11"/>
        </w:numPr>
      </w:pPr>
      <w:r>
        <w:t xml:space="preserve">☐ 30/60/90 plan reviewed with manager.</w:t>
      </w:r>
    </w:p>
    <w:p>
      <w:pPr>
        <w:pStyle w:val="ListParagraph"/>
        <w:numPr>
          <w:ilvl w:val="0"/>
          <w:numId w:val="11"/>
        </w:numPr>
      </w:pPr>
      <w:r>
        <w:t xml:space="preserve">☐ Slack onboarding automation fires the Baxter intro sequence: what Baxter is, which functions are staff-facing, and where to go when it misbehaves. Same content sent by email for a searchable copy.</w:t>
      </w:r>
    </w:p>
    <w:p>
      <w:pPr>
        <w:pStyle w:val="ListParagraph"/>
        <w:numPr>
          <w:ilvl w:val="0"/>
          <w:numId w:val="11"/>
        </w:numPr>
      </w:pPr>
      <w:r>
        <w:t xml:space="preserve">☐ Lunch with manager or buddy.</w:t>
      </w:r>
    </w:p>
    <w:p>
      <w:pPr>
        <w:pStyle w:val="Heading3"/>
      </w:pPr>
      <w:r>
        <w:t xml:space="preserve">Day 2 to 3</w:t>
      </w:r>
    </w:p>
    <w:p>
      <w:pPr>
        <w:pStyle w:val="ListParagraph"/>
        <w:numPr>
          <w:ilvl w:val="0"/>
          <w:numId w:val="12"/>
        </w:numPr>
      </w:pPr>
      <w:r>
        <w:t xml:space="preserve">☐ Recorded Baxter video walkthrough (Loom or similar) covering staff-facing modules only. Internal engineering functions stay out.</w:t>
      </w:r>
    </w:p>
    <w:p>
      <w:pPr>
        <w:pStyle w:val="Heading3"/>
      </w:pPr>
      <w:r>
        <w:t xml:space="preserve">Week 1</w:t>
      </w:r>
    </w:p>
    <w:p>
      <w:pPr>
        <w:pStyle w:val="ListParagraph"/>
        <w:numPr>
          <w:ilvl w:val="0"/>
          <w:numId w:val="13"/>
        </w:numPr>
      </w:pPr>
      <w:r>
        <w:t xml:space="preserve">☐ Company story, mission, and brand overview.</w:t>
      </w:r>
    </w:p>
    <w:p>
      <w:pPr>
        <w:pStyle w:val="ListParagraph"/>
        <w:numPr>
          <w:ilvl w:val="0"/>
          <w:numId w:val="13"/>
        </w:numPr>
      </w:pPr>
      <w:r>
        <w:t xml:space="preserve">☐ Role training, SOPs, shadowing. Field roles ride along on an active project.</w:t>
      </w:r>
    </w:p>
    <w:p>
      <w:pPr>
        <w:pStyle w:val="ListParagraph"/>
        <w:numPr>
          <w:ilvl w:val="0"/>
          <w:numId w:val="13"/>
        </w:numPr>
      </w:pPr>
      <w:r>
        <w:t xml:space="preserve">☐ Live 30-minute Baxter session with the tech ops manager, role-specific: sales sees lead intake and handoff; design sees document and project flow; marketing sees data and reporting; admin sees the rest.</w:t>
      </w:r>
    </w:p>
    <w:p>
      <w:pPr>
        <w:pStyle w:val="ListParagraph"/>
        <w:numPr>
          <w:ilvl w:val="0"/>
          <w:numId w:val="13"/>
        </w:numPr>
      </w:pPr>
      <w:r>
        <w:t xml:space="preserve">☐ Baxter checkpoint: employee completes a short role task in Baxter (log an entry, pull a report, trigger a handoff) and confirms in the Slack sequence. Step marked complete in BambooHR.</w:t>
      </w:r>
    </w:p>
    <w:p>
      <w:pPr>
        <w:pStyle w:val="ListParagraph"/>
        <w:numPr>
          <w:ilvl w:val="0"/>
          <w:numId w:val="13"/>
        </w:numPr>
      </w:pPr>
      <w:r>
        <w:t xml:space="preserve">☐ Cross-functional intros: design, permits, construction, sales.</w:t>
      </w:r>
    </w:p>
    <w:p>
      <w:pPr>
        <w:pStyle w:val="ListParagraph"/>
        <w:numPr>
          <w:ilvl w:val="0"/>
          <w:numId w:val="13"/>
        </w:numPr>
      </w:pPr>
      <w:r>
        <w:t xml:space="preserve">☐ First small deliverable assigned.</w:t>
      </w:r>
    </w:p>
    <w:p>
      <w:pPr>
        <w:pStyle w:val="ListParagraph"/>
        <w:numPr>
          <w:ilvl w:val="0"/>
          <w:numId w:val="13"/>
        </w:numPr>
      </w:pPr>
      <w:r>
        <w:t xml:space="preserve">☐ Manager check-in at end of week.</w:t>
      </w:r>
    </w:p>
    <w:p>
      <w:pPr>
        <w:pStyle w:val="Heading3"/>
      </w:pPr>
      <w:r>
        <w:t xml:space="preserve">Within 20 days</w:t>
      </w:r>
    </w:p>
    <w:p>
      <w:pPr>
        <w:pStyle w:val="ListParagraph"/>
        <w:numPr>
          <w:ilvl w:val="0"/>
          <w:numId w:val="14"/>
        </w:numPr>
      </w:pPr>
      <w:r>
        <w:t xml:space="preserve">☐ [CA] File the DE 34 new employee report with EDD within 20 days of the start date.</w:t>
      </w:r>
    </w:p>
    <w:p>
      <w:pPr>
        <w:pStyle w:val="Heading3"/>
      </w:pPr>
      <w:r>
        <w:t xml:space="preserve">Day 30</w:t>
      </w:r>
    </w:p>
    <w:p>
      <w:pPr>
        <w:pStyle w:val="ListParagraph"/>
        <w:numPr>
          <w:ilvl w:val="0"/>
          <w:numId w:val="15"/>
        </w:numPr>
      </w:pPr>
      <w:r>
        <w:t xml:space="preserve">☐ Benefits enrollment confirmed.</w:t>
      </w:r>
    </w:p>
    <w:p>
      <w:pPr>
        <w:pStyle w:val="ListParagraph"/>
        <w:numPr>
          <w:ilvl w:val="0"/>
          <w:numId w:val="15"/>
        </w:numPr>
      </w:pPr>
      <w:r>
        <w:t xml:space="preserve">☐ Access and equipment gaps closed.</w:t>
      </w:r>
    </w:p>
    <w:p>
      <w:pPr>
        <w:pStyle w:val="ListParagraph"/>
        <w:numPr>
          <w:ilvl w:val="0"/>
          <w:numId w:val="15"/>
        </w:numPr>
      </w:pPr>
      <w:r>
        <w:t xml:space="preserve">☐ 30-day check-in: what is working, what is unclear, feedback both directions.</w:t>
      </w:r>
    </w:p>
    <w:p>
      <w:pPr>
        <w:pStyle w:val="ListParagraph"/>
        <w:numPr>
          <w:ilvl w:val="0"/>
          <w:numId w:val="15"/>
        </w:numPr>
      </w:pPr>
      <w:r>
        <w:t xml:space="preserve">☐ Slack prompt asks what was confusing about Baxter; answers routed to the tech ops manager for playbook updates.</w:t>
      </w:r>
    </w:p>
    <w:p>
      <w:pPr>
        <w:pStyle w:val="Heading3"/>
      </w:pPr>
      <w:r>
        <w:t xml:space="preserve">Within 6 months</w:t>
      </w:r>
    </w:p>
    <w:p>
      <w:pPr>
        <w:pStyle w:val="ListParagraph"/>
        <w:numPr>
          <w:ilvl w:val="0"/>
          <w:numId w:val="16"/>
        </w:numPr>
      </w:pPr>
      <w:r>
        <w:t xml:space="preserve">☐ [CA] Harassment prevention training (5+ employees): 1 hour non-supervisory, 2 hours supervisory, within 6 months of hire or promotion, then every 2 years. Completion tracked in BambooHR.</w:t>
      </w:r>
    </w:p>
    <w:p>
      <w:pPr>
        <w:pStyle w:val="Heading3"/>
      </w:pPr>
      <w:r>
        <w:t xml:space="preserve">Day 60</w:t>
      </w:r>
    </w:p>
    <w:p>
      <w:pPr>
        <w:pStyle w:val="ListParagraph"/>
        <w:numPr>
          <w:ilvl w:val="0"/>
          <w:numId w:val="17"/>
        </w:numPr>
      </w:pPr>
      <w:r>
        <w:t xml:space="preserve">☐ Mid-plan review against goals.</w:t>
      </w:r>
    </w:p>
    <w:p>
      <w:pPr>
        <w:pStyle w:val="ListParagraph"/>
        <w:numPr>
          <w:ilvl w:val="0"/>
          <w:numId w:val="17"/>
        </w:numPr>
      </w:pPr>
      <w:r>
        <w:t xml:space="preserve">☐ Expanded ownership of a workflow or project.</w:t>
      </w:r>
    </w:p>
    <w:p>
      <w:pPr>
        <w:pStyle w:val="ListParagraph"/>
        <w:numPr>
          <w:ilvl w:val="0"/>
          <w:numId w:val="17"/>
        </w:numPr>
      </w:pPr>
      <w:r>
        <w:t xml:space="preserve">☐ Peer feedback collected.</w:t>
      </w:r>
    </w:p>
    <w:p>
      <w:pPr>
        <w:pStyle w:val="Heading3"/>
      </w:pPr>
      <w:r>
        <w:t xml:space="preserve">Day 90</w:t>
      </w:r>
    </w:p>
    <w:p>
      <w:pPr>
        <w:pStyle w:val="ListParagraph"/>
        <w:numPr>
          <w:ilvl w:val="0"/>
          <w:numId w:val="18"/>
        </w:numPr>
      </w:pPr>
      <w:r>
        <w:t xml:space="preserve">☐ Formal 90-day review and next-quarter goals.</w:t>
      </w:r>
    </w:p>
    <w:p>
      <w:pPr>
        <w:pStyle w:val="ListParagraph"/>
        <w:numPr>
          <w:ilvl w:val="0"/>
          <w:numId w:val="18"/>
        </w:numPr>
      </w:pPr>
      <w:r>
        <w:t xml:space="preserve">☐ New hire onboarding survey.</w:t>
      </w:r>
    </w:p>
    <w:p>
      <w:pPr>
        <w:pStyle w:val="ListParagraph"/>
        <w:numPr>
          <w:ilvl w:val="0"/>
          <w:numId w:val="18"/>
        </w:numPr>
      </w:pPr>
      <w:r>
        <w:t xml:space="preserve">☐ Onboarding plan closed in BambooHR.</w:t>
      </w:r>
    </w:p>
    <w:p>
      <w:pPr>
        <w:pStyle w:val="ListParagraph"/>
        <w:numPr>
          <w:ilvl w:val="0"/>
          <w:numId w:val="18"/>
        </w:numPr>
      </w:pPr>
      <w:r>
        <w:t xml:space="preserve">☐ Introductory period outcome confirmed in writing.</w:t>
      </w:r>
    </w:p>
    <w:p>
      <w:pPr>
        <w:pStyle w:val="Heading2"/>
      </w:pPr>
      <w:r>
        <w:t xml:space="preserve">Part 3: Offboarding (notice to close)</w:t>
      </w:r>
    </w:p>
    <w:p>
      <w:pPr/>
      <w:r>
        <w:t xml:space="preserve">Goal: final pay and notices delivered on time, every account and seat released, and no access lingering after 7 days.</w:t>
      </w:r>
    </w:p>
    <w:p>
      <w:pPr>
        <w:pStyle w:val="Heading3"/>
      </w:pPr>
      <w:r>
        <w:t xml:space="preserve">Notice received</w:t>
      </w:r>
    </w:p>
    <w:p>
      <w:pPr>
        <w:pStyle w:val="ListParagraph"/>
        <w:numPr>
          <w:ilvl w:val="0"/>
          <w:numId w:val="19"/>
        </w:numPr>
      </w:pPr>
      <w:r>
        <w:t xml:space="preserve">☐ Resignation documented in writing, or termination documentation completed with reasons and supporting file.</w:t>
      </w:r>
    </w:p>
    <w:p>
      <w:pPr>
        <w:pStyle w:val="ListParagraph"/>
        <w:numPr>
          <w:ilvl w:val="0"/>
          <w:numId w:val="19"/>
        </w:numPr>
      </w:pPr>
      <w:r>
        <w:t xml:space="preserve">☐ [CA] Cal-WARN check: 75+ employees and 50+ affected at one site requires 60 days notice. Flag for future scale.</w:t>
      </w:r>
    </w:p>
    <w:p>
      <w:pPr>
        <w:pStyle w:val="ListParagraph"/>
        <w:numPr>
          <w:ilvl w:val="0"/>
          <w:numId w:val="19"/>
        </w:numPr>
      </w:pPr>
      <w:r>
        <w:t xml:space="preserve">☐ Notify payroll, IT, and the direct team on a need-to-know basis.</w:t>
      </w:r>
    </w:p>
    <w:p>
      <w:pPr>
        <w:pStyle w:val="ListParagraph"/>
        <w:numPr>
          <w:ilvl w:val="0"/>
          <w:numId w:val="19"/>
        </w:numPr>
      </w:pPr>
      <w:r>
        <w:t xml:space="preserve">☐ Knowledge transfer plan: active projects, client contacts, open permits, vendor relationships.</w:t>
      </w:r>
    </w:p>
    <w:p>
      <w:pPr>
        <w:pStyle w:val="ListParagraph"/>
        <w:numPr>
          <w:ilvl w:val="0"/>
          <w:numId w:val="19"/>
        </w:numPr>
      </w:pPr>
      <w:r>
        <w:t xml:space="preserve">☐ Exit interview scheduled.</w:t>
      </w:r>
    </w:p>
    <w:p>
      <w:pPr>
        <w:pStyle w:val="Heading3"/>
      </w:pPr>
      <w:r>
        <w:t xml:space="preserve">Last week</w:t>
      </w:r>
    </w:p>
    <w:p>
      <w:pPr>
        <w:pStyle w:val="ListParagraph"/>
        <w:numPr>
          <w:ilvl w:val="0"/>
          <w:numId w:val="20"/>
        </w:numPr>
      </w:pPr>
      <w:r>
        <w:t xml:space="preserve">☐ Google Drive: transfer ownership of all files and folders to the manager. Orphaned ownership is the most common post-departure data loss.</w:t>
      </w:r>
    </w:p>
    <w:p>
      <w:pPr>
        <w:pStyle w:val="ListParagraph"/>
        <w:numPr>
          <w:ilvl w:val="0"/>
          <w:numId w:val="20"/>
        </w:numPr>
      </w:pPr>
      <w:r>
        <w:t xml:space="preserve">☐ JobTread: reassign jobs, tasks, and daily log responsibilities before deactivation.</w:t>
      </w:r>
    </w:p>
    <w:p>
      <w:pPr>
        <w:pStyle w:val="ListParagraph"/>
        <w:numPr>
          <w:ilvl w:val="0"/>
          <w:numId w:val="20"/>
        </w:numPr>
      </w:pPr>
      <w:r>
        <w:t xml:space="preserve">☐ Designers: all working Revit models saved to shared storage, not local drives. Bluebeam markup sessions handed off.</w:t>
      </w:r>
    </w:p>
    <w:p>
      <w:pPr>
        <w:pStyle w:val="ListParagraph"/>
        <w:numPr>
          <w:ilvl w:val="0"/>
          <w:numId w:val="20"/>
        </w:numPr>
      </w:pPr>
      <w:r>
        <w:t xml:space="preserve">☐ Sales: reassign all open GoHighLevel opportunities and contacts; turn off round-robin for the user; export conversation history if needed.</w:t>
      </w:r>
    </w:p>
    <w:p>
      <w:pPr>
        <w:pStyle w:val="ListParagraph"/>
        <w:numPr>
          <w:ilvl w:val="0"/>
          <w:numId w:val="20"/>
        </w:numPr>
      </w:pPr>
      <w:r>
        <w:t xml:space="preserve">☐ Marketing: reassign GoHighLevel campaigns and automations; confirm no Webflow pages are checked out or in draft under their name.</w:t>
      </w:r>
    </w:p>
    <w:p>
      <w:pPr>
        <w:pStyle w:val="ListParagraph"/>
        <w:numPr>
          <w:ilvl w:val="0"/>
          <w:numId w:val="20"/>
        </w:numPr>
      </w:pPr>
      <w:r>
        <w:t xml:space="preserve">☐ Email forwarding and auto-reply plan set.</w:t>
      </w:r>
    </w:p>
    <w:p>
      <w:pPr>
        <w:pStyle w:val="ListParagraph"/>
        <w:numPr>
          <w:ilvl w:val="0"/>
          <w:numId w:val="20"/>
        </w:numPr>
      </w:pPr>
      <w:r>
        <w:t xml:space="preserve">☐ Collect company property: laptop, phone, keys, badges, vehicle, tools, PPE, credit cards. [CA] No wage deductions for unreturned items (Labor Code 221).</w:t>
      </w:r>
    </w:p>
    <w:p>
      <w:pPr>
        <w:pStyle w:val="ListParagraph"/>
        <w:numPr>
          <w:ilvl w:val="0"/>
          <w:numId w:val="20"/>
        </w:numPr>
      </w:pPr>
      <w:r>
        <w:t xml:space="preserve">☐ [CA] No training-cost clawback. Most stay-or-pay agreements are void as of January 1, 2026.</w:t>
      </w:r>
    </w:p>
    <w:p>
      <w:pPr>
        <w:pStyle w:val="ListParagraph"/>
        <w:numPr>
          <w:ilvl w:val="0"/>
          <w:numId w:val="20"/>
        </w:numPr>
      </w:pPr>
      <w:r>
        <w:t xml:space="preserve">☐ Remove from active jobsite rosters and client-facing contact lists.</w:t>
      </w:r>
    </w:p>
    <w:p>
      <w:pPr>
        <w:pStyle w:val="ListParagraph"/>
        <w:numPr>
          <w:ilvl w:val="0"/>
          <w:numId w:val="20"/>
        </w:numPr>
      </w:pPr>
      <w:r>
        <w:t xml:space="preserve">☐ Exit interview conducted.</w:t>
      </w:r>
    </w:p>
    <w:p>
      <w:pPr>
        <w:pStyle w:val="Heading3"/>
      </w:pPr>
      <w:r>
        <w:t xml:space="preserve">Last day, legal</w:t>
      </w:r>
    </w:p>
    <w:p>
      <w:pPr>
        <w:pStyle w:val="ListParagraph"/>
        <w:numPr>
          <w:ilvl w:val="0"/>
          <w:numId w:val="21"/>
        </w:numPr>
      </w:pPr>
      <w:r>
        <w:t xml:space="preserve">☐ [CA] Final pay timing: immediately if fired or laid off. If the employee resigns, within 72 hours, or on the last day if they gave 72+ hours notice (Labor Code 201, 202). Waiting time penalties under Labor Code 203 run up to 30 days of wages.</w:t>
      </w:r>
    </w:p>
    <w:p>
      <w:pPr>
        <w:pStyle w:val="ListParagraph"/>
        <w:numPr>
          <w:ilvl w:val="0"/>
          <w:numId w:val="21"/>
        </w:numPr>
      </w:pPr>
      <w:r>
        <w:t xml:space="preserve">☐ [CA] Pay out all accrued, unused vacation at the final rate of pay (Labor Code 227.3). Sick leave is not paid out.</w:t>
      </w:r>
    </w:p>
    <w:p>
      <w:pPr>
        <w:pStyle w:val="ListParagraph"/>
        <w:numPr>
          <w:ilvl w:val="0"/>
          <w:numId w:val="21"/>
        </w:numPr>
      </w:pPr>
      <w:r>
        <w:t xml:space="preserve">☐ [CA] Direct deposit for final pay only with written consent and only if timing is met; otherwise cut a paper check.</w:t>
      </w:r>
    </w:p>
    <w:p>
      <w:pPr>
        <w:pStyle w:val="ListParagraph"/>
        <w:numPr>
          <w:ilvl w:val="0"/>
          <w:numId w:val="21"/>
        </w:numPr>
      </w:pPr>
      <w:r>
        <w:t xml:space="preserve">☐ [CA] Final itemized wage statement (Labor Code 226).</w:t>
      </w:r>
    </w:p>
    <w:p>
      <w:pPr>
        <w:pStyle w:val="ListParagraph"/>
        <w:numPr>
          <w:ilvl w:val="0"/>
          <w:numId w:val="21"/>
        </w:numPr>
      </w:pPr>
      <w:r>
        <w:t xml:space="preserve">☐ [CA] Separation notices delivered:</w:t>
      </w:r>
    </w:p>
    <w:p>
      <w:pPr>
        <w:pStyle w:val="ListParagraph"/>
        <w:numPr>
          <w:ilvl w:val="1"/>
          <w:numId w:val="22"/>
        </w:numPr>
      </w:pPr>
      <w:r>
        <w:t xml:space="preserve">Notice to Employee as to Change in Relationship (discharge, layoff, or leave)</w:t>
      </w:r>
    </w:p>
    <w:p>
      <w:pPr>
        <w:pStyle w:val="ListParagraph"/>
        <w:numPr>
          <w:ilvl w:val="1"/>
          <w:numId w:val="22"/>
        </w:numPr>
      </w:pPr>
      <w:r>
        <w:t xml:space="preserve">EDD For Your Benefit pamphlet (DE 2320)</w:t>
      </w:r>
    </w:p>
    <w:p>
      <w:pPr>
        <w:pStyle w:val="ListParagraph"/>
        <w:numPr>
          <w:ilvl w:val="1"/>
          <w:numId w:val="22"/>
        </w:numPr>
      </w:pPr>
      <w:r>
        <w:t xml:space="preserve">COBRA (20+ employees) or Cal-COBRA (2 to 19 employees) election notice; COBRA election form within 20 days</w:t>
      </w:r>
    </w:p>
    <w:p>
      <w:pPr>
        <w:pStyle w:val="ListParagraph"/>
        <w:numPr>
          <w:ilvl w:val="1"/>
          <w:numId w:val="22"/>
        </w:numPr>
      </w:pPr>
      <w:r>
        <w:t xml:space="preserve">Health Insurance Premium Payment notice (DHCS 9061) if on group health</w:t>
      </w:r>
    </w:p>
    <w:p>
      <w:pPr>
        <w:pStyle w:val="Heading3"/>
      </w:pPr>
      <w:r>
        <w:t xml:space="preserve">Last day, access</w:t>
      </w:r>
    </w:p>
    <w:p>
      <w:pPr>
        <w:pStyle w:val="ListParagraph"/>
        <w:numPr>
          <w:ilvl w:val="0"/>
          <w:numId w:val="23"/>
        </w:numPr>
      </w:pPr>
      <w:r>
        <w:t xml:space="preserve">☐ Google Workspace: suspend the account (do not delete) for 30 days; forward email to manager; set auto-reply.</w:t>
      </w:r>
    </w:p>
    <w:p>
      <w:pPr>
        <w:pStyle w:val="ListParagraph"/>
        <w:numPr>
          <w:ilvl w:val="0"/>
          <w:numId w:val="23"/>
        </w:numPr>
      </w:pPr>
      <w:r>
        <w:t xml:space="preserve">☐ Slack: deactivate. Channel history stays.</w:t>
      </w:r>
    </w:p>
    <w:p>
      <w:pPr>
        <w:pStyle w:val="ListParagraph"/>
        <w:numPr>
          <w:ilvl w:val="0"/>
          <w:numId w:val="23"/>
        </w:numPr>
      </w:pPr>
      <w:r>
        <w:t xml:space="preserve">☐ JobTread: deactivate user; seat freed.</w:t>
      </w:r>
    </w:p>
    <w:p>
      <w:pPr>
        <w:pStyle w:val="ListParagraph"/>
        <w:numPr>
          <w:ilvl w:val="0"/>
          <w:numId w:val="23"/>
        </w:numPr>
      </w:pPr>
      <w:r>
        <w:t xml:space="preserve">☐ Designers: unassign Revit and Bluebeam named-user licenses; seats returned to pool.</w:t>
      </w:r>
    </w:p>
    <w:p>
      <w:pPr>
        <w:pStyle w:val="ListParagraph"/>
        <w:numPr>
          <w:ilvl w:val="0"/>
          <w:numId w:val="23"/>
        </w:numPr>
      </w:pPr>
      <w:r>
        <w:t xml:space="preserve">☐ Sales: deactivate GoHighLevel user; release or reassign their phone number.</w:t>
      </w:r>
    </w:p>
    <w:p>
      <w:pPr>
        <w:pStyle w:val="ListParagraph"/>
        <w:numPr>
          <w:ilvl w:val="0"/>
          <w:numId w:val="23"/>
        </w:numPr>
      </w:pPr>
      <w:r>
        <w:t xml:space="preserve">☐ Marketing: deactivate GoHighLevel user; remove Webflow member; remove from Meta Business Suite, Facebook, Instagram, X, YouTube, LinkedIn, Google Business Profile, Google Ads, and GA4. Confirm Primary Owner on Google Business Profile, the YouTube brand account, and Meta Business Suite is still a company-controlled account.</w:t>
      </w:r>
    </w:p>
    <w:p>
      <w:pPr>
        <w:pStyle w:val="ListParagraph"/>
        <w:numPr>
          <w:ilvl w:val="0"/>
          <w:numId w:val="23"/>
        </w:numPr>
      </w:pPr>
      <w:r>
        <w:t xml:space="preserve">☐ Baxter: deactivate user, API keys, and any automations running under their identity.</w:t>
      </w:r>
    </w:p>
    <w:p>
      <w:pPr>
        <w:pStyle w:val="ListParagraph"/>
        <w:numPr>
          <w:ilvl w:val="0"/>
          <w:numId w:val="23"/>
        </w:numPr>
      </w:pPr>
      <w:r>
        <w:t xml:space="preserve">☐ Rotate shared credentials: Wi-Fi, vendor logins, scheduling tools, stock photo accounts, podcast hosting.</w:t>
      </w:r>
    </w:p>
    <w:p>
      <w:pPr>
        <w:pStyle w:val="ListParagraph"/>
        <w:numPr>
          <w:ilvl w:val="0"/>
          <w:numId w:val="23"/>
        </w:numPr>
      </w:pPr>
      <w:r>
        <w:t xml:space="preserve">☐ Deactivate payroll and benefits; provide 401k rollover instructions.</w:t>
      </w:r>
    </w:p>
    <w:p>
      <w:pPr>
        <w:pStyle w:val="Heading3"/>
      </w:pPr>
      <w:r>
        <w:t xml:space="preserve">Post-departure</w:t>
      </w:r>
    </w:p>
    <w:p>
      <w:pPr>
        <w:pStyle w:val="ListParagraph"/>
        <w:numPr>
          <w:ilvl w:val="0"/>
          <w:numId w:val="24"/>
        </w:numPr>
      </w:pPr>
      <w:r>
        <w:t xml:space="preserve">☐ 7-day audit: Google admin, Slack, JobTread, GoHighLevel, Webflow, Autodesk, Bluebeam, Baxter, and every social and Google platform show no active access.</w:t>
      </w:r>
    </w:p>
    <w:p>
      <w:pPr>
        <w:pStyle w:val="ListParagraph"/>
        <w:numPr>
          <w:ilvl w:val="0"/>
          <w:numId w:val="24"/>
        </w:numPr>
      </w:pPr>
      <w:r>
        <w:t xml:space="preserve">☐ [CA] [Fed] Retention: personnel file 3 years after separation (Labor Code 1198.5); payroll and time records 3 years (Labor Code 1174); I-9 for 3 years from hire or 1 year from termination, whichever is later.</w:t>
      </w:r>
    </w:p>
    <w:p>
      <w:pPr>
        <w:pStyle w:val="ListParagraph"/>
        <w:numPr>
          <w:ilvl w:val="0"/>
          <w:numId w:val="24"/>
        </w:numPr>
      </w:pPr>
      <w:r>
        <w:t xml:space="preserve">☐ Delete or archive the Google account after the retention window.</w:t>
      </w:r>
    </w:p>
    <w:p>
      <w:pPr>
        <w:pStyle w:val="ListParagraph"/>
        <w:numPr>
          <w:ilvl w:val="0"/>
          <w:numId w:val="24"/>
        </w:numPr>
      </w:pPr>
      <w:r>
        <w:t xml:space="preserve">☐ Review exit interview themes with ownership.</w:t>
      </w:r>
    </w:p>
    <w:p>
      <w:pPr>
        <w:pStyle w:val="ListParagraph"/>
        <w:numPr>
          <w:ilvl w:val="0"/>
          <w:numId w:val="24"/>
        </w:numPr>
      </w:pPr>
      <w:r>
        <w:t xml:space="preserve">☐ Open backfill requisition if needed.</w:t>
      </w:r>
    </w:p>
    <w:p>
      <w:pPr>
        <w:pStyle w:val="ListParagraph"/>
        <w:numPr>
          <w:ilvl w:val="0"/>
          <w:numId w:val="24"/>
        </w:numPr>
      </w:pPr>
      <w:r>
        <w:t xml:space="preserve">☐ Update org chart, website team page, and internal directory.</w:t>
      </w:r>
    </w:p>
    <w:p>
      <w:pPr>
        <w:pStyle w:val="Heading2"/>
      </w:pPr>
      <w:r>
        <w:t xml:space="preserve">Recurring compliance calendar</w:t>
      </w:r>
    </w:p>
    <w:p>
      <w:pPr/>
      <w:r>
        <w:t xml:space="preserve">These run on a schedule regardless of hires. Assign an owner in BambooHR for each.</w:t>
      </w:r>
    </w:p>
    <w:tbl>
      <w:tblPr>
        <w:tblStyle w:val="TableGrid"/>
        <w:tblW w:w="0" w:type="auto"/>
        <w:tblLayout w:type="fixed"/>
        <w:tblLook w:val="04A0" w:firstRow="1" w:lastRow="0" w:firstColumn="0" w:lastColumn="0" w:noHBand="0" w:noVBand="1"/>
      </w:tblPr>
      <w:tblGrid>
        <w:gridCol w:w="4744"/>
        <w:gridCol w:w="2699"/>
        <w:gridCol w:w="1916"/>
      </w:tblGrid>
      <w:tr>
        <w:trPr>
          <w:tblHeader/>
        </w:trPr>
        <w:tc>
          <w:tcPr>
            <w:tcW w:w="4744" w:type="dxa"/>
            <w:shd w:val="clear" w:color="auto" w:fill="F2F2F2"/>
          </w:tcPr>
          <w:p>
            <w:pPr/>
            <w:r>
              <w:t xml:space="preserve">Item</w:t>
            </w:r>
          </w:p>
        </w:tc>
        <w:tc>
          <w:tcPr>
            <w:tcW w:w="2699" w:type="dxa"/>
            <w:shd w:val="clear" w:color="auto" w:fill="F2F2F2"/>
          </w:tcPr>
          <w:p>
            <w:pPr/>
            <w:r>
              <w:t xml:space="preserve">When</w:t>
            </w:r>
          </w:p>
        </w:tc>
        <w:tc>
          <w:tcPr>
            <w:tcW w:w="1916" w:type="dxa"/>
            <w:shd w:val="clear" w:color="auto" w:fill="F2F2F2"/>
          </w:tcPr>
          <w:p>
            <w:pPr/>
            <w:r>
              <w:t xml:space="preserve">Requirement</w:t>
            </w:r>
          </w:p>
        </w:tc>
      </w:tr>
      <w:tr>
        <w:tc>
          <w:tcPr>
            <w:tcW w:w="4744" w:type="dxa"/>
          </w:tcPr>
          <w:p>
            <w:pPr/>
            <w:r>
              <w:t xml:space="preserve">Know Your Rights notice to all employees</w:t>
            </w:r>
          </w:p>
        </w:tc>
        <w:tc>
          <w:tcPr>
            <w:tcW w:w="2699" w:type="dxa"/>
          </w:tcPr>
          <w:p>
            <w:pPr/>
            <w:r>
              <w:t xml:space="preserve">On or before February 1 each year</w:t>
            </w:r>
          </w:p>
        </w:tc>
        <w:tc>
          <w:tcPr>
            <w:tcW w:w="1916" w:type="dxa"/>
          </w:tcPr>
          <w:p>
            <w:pPr/>
            <w:r>
              <w:t xml:space="preserve">[CA] SB 294</w:t>
            </w:r>
          </w:p>
        </w:tc>
      </w:tr>
      <w:tr>
        <w:tc>
          <w:tcPr>
            <w:tcW w:w="4744" w:type="dxa"/>
          </w:tcPr>
          <w:p>
            <w:pPr/>
            <w:r>
              <w:t xml:space="preserve">Harassment prevention training refresh</w:t>
            </w:r>
          </w:p>
        </w:tc>
        <w:tc>
          <w:tcPr>
            <w:tcW w:w="2699" w:type="dxa"/>
          </w:tcPr>
          <w:p>
            <w:pPr/>
            <w:r>
              <w:t xml:space="preserve">Every 2 years per employee</w:t>
            </w:r>
          </w:p>
        </w:tc>
        <w:tc>
          <w:tcPr>
            <w:tcW w:w="1916" w:type="dxa"/>
          </w:tcPr>
          <w:p>
            <w:pPr/>
            <w:r>
              <w:t xml:space="preserve">[CA] Gov Code 12950.1 (5+ employees)</w:t>
            </w:r>
          </w:p>
        </w:tc>
      </w:tr>
      <w:tr>
        <w:tc>
          <w:tcPr>
            <w:tcW w:w="4744" w:type="dxa"/>
          </w:tcPr>
          <w:p>
            <w:pPr/>
            <w:r>
              <w:t xml:space="preserve">EITC notice</w:t>
            </w:r>
          </w:p>
        </w:tc>
        <w:tc>
          <w:tcPr>
            <w:tcW w:w="2699" w:type="dxa"/>
          </w:tcPr>
          <w:p>
            <w:pPr/>
            <w:r>
              <w:t xml:space="preserve">Twice yearly per EDD schedule</w:t>
            </w:r>
          </w:p>
        </w:tc>
        <w:tc>
          <w:tcPr>
            <w:tcW w:w="1916" w:type="dxa"/>
          </w:tcPr>
          <w:p>
            <w:pPr/>
            <w:r>
              <w:t xml:space="preserve">[CA]</w:t>
            </w:r>
          </w:p>
        </w:tc>
      </w:tr>
      <w:tr>
        <w:tc>
          <w:tcPr>
            <w:tcW w:w="4744" w:type="dxa"/>
          </w:tcPr>
          <w:p>
            <w:pPr/>
            <w:r>
              <w:t xml:space="preserve">Labor law poster refresh, office and jobsites</w:t>
            </w:r>
          </w:p>
        </w:tc>
        <w:tc>
          <w:tcPr>
            <w:tcW w:w="2699" w:type="dxa"/>
          </w:tcPr>
          <w:p>
            <w:pPr/>
            <w:r>
              <w:t xml:space="preserve">Each January</w:t>
            </w:r>
          </w:p>
        </w:tc>
        <w:tc>
          <w:tcPr>
            <w:tcW w:w="1916" w:type="dxa"/>
          </w:tcPr>
          <w:p>
            <w:pPr/>
            <w:r>
              <w:t xml:space="preserve">[CA] [Fed]</w:t>
            </w:r>
          </w:p>
        </w:tc>
      </w:tr>
      <w:tr>
        <w:tc>
          <w:tcPr>
            <w:tcW w:w="4744" w:type="dxa"/>
          </w:tcPr>
          <w:p>
            <w:pPr/>
            <w:r>
              <w:t xml:space="preserve">Pamphlet packet refresh from DIR, EDD, CRD</w:t>
            </w:r>
          </w:p>
        </w:tc>
        <w:tc>
          <w:tcPr>
            <w:tcW w:w="2699" w:type="dxa"/>
          </w:tcPr>
          <w:p>
            <w:pPr/>
            <w:r>
              <w:t xml:space="preserve">Each January</w:t>
            </w:r>
          </w:p>
        </w:tc>
        <w:tc>
          <w:tcPr>
            <w:tcW w:w="1916" w:type="dxa"/>
          </w:tcPr>
          <w:p>
            <w:pPr/>
            <w:r>
              <w:t xml:space="preserve">[CA]</w:t>
            </w:r>
          </w:p>
        </w:tc>
      </w:tr>
      <w:tr>
        <w:tc>
          <w:tcPr>
            <w:tcW w:w="4744" w:type="dxa"/>
          </w:tcPr>
          <w:p>
            <w:pPr/>
            <w:r>
              <w:t xml:space="preserve">Slack onboarding automation and Baxter walkthrough review</w:t>
            </w:r>
          </w:p>
        </w:tc>
        <w:tc>
          <w:tcPr>
            <w:tcW w:w="2699" w:type="dxa"/>
          </w:tcPr>
          <w:p>
            <w:pPr/>
            <w:r>
              <w:t xml:space="preserve">Quarterly, tech ops manager</w:t>
            </w:r>
          </w:p>
        </w:tc>
        <w:tc>
          <w:tcPr>
            <w:tcW w:w="1916" w:type="dxa"/>
          </w:tcPr>
          <w:p>
            <w:pPr/>
            <w:r>
              <w:t xml:space="preserve">Best practice</w:t>
            </w:r>
          </w:p>
        </w:tc>
      </w:tr>
      <w:tr>
        <w:tc>
          <w:tcPr>
            <w:tcW w:w="4744" w:type="dxa"/>
          </w:tcPr>
          <w:p>
            <w:pPr/>
            <w:r>
              <w:t xml:space="preserve">Access register audit (all platforms, all staff)</w:t>
            </w:r>
          </w:p>
        </w:tc>
        <w:tc>
          <w:tcPr>
            <w:tcW w:w="2699" w:type="dxa"/>
          </w:tcPr>
          <w:p>
            <w:pPr/>
            <w:r>
              <w:t xml:space="preserve">Quarterly</w:t>
            </w:r>
          </w:p>
        </w:tc>
        <w:tc>
          <w:tcPr>
            <w:tcW w:w="1916" w:type="dxa"/>
          </w:tcPr>
          <w:p>
            <w:pPr/>
            <w:r>
              <w:t xml:space="preserve">Best practice</w:t>
            </w:r>
          </w:p>
        </w:tc>
      </w:tr>
    </w:tbl>
    <w:p>
      <w:pPr>
        <w:pStyle w:val="Heading2"/>
      </w:pPr>
      <w:r>
        <w:t xml:space="preserve">Flags</w:t>
      </w:r>
    </w:p>
    <w:p>
      <w:pPr>
        <w:pStyle w:val="ListParagraph"/>
        <w:numPr>
          <w:ilvl w:val="0"/>
          <w:numId w:val="25"/>
        </w:numPr>
      </w:pPr>
      <w:r>
        <w:t xml:space="preserve">Employee-count thresholds (5, 20, 75) decide whether CFRA, COBRA vs Cal-COBRA, harassment training, and Cal-WARN apply. Confirm current headcount before adopting.</w:t>
      </w:r>
    </w:p>
    <w:p>
      <w:pPr>
        <w:pStyle w:val="ListParagraph"/>
        <w:numPr>
          <w:ilvl w:val="0"/>
          <w:numId w:val="25"/>
        </w:numPr>
      </w:pPr>
      <w:r>
        <w:t xml:space="preserve">SB 294 and the 2026 pamphlet revisions are new this year. Do not reuse a 2025 packet.</w:t>
      </w:r>
    </w:p>
    <w:p>
      <w:pPr>
        <w:pStyle w:val="ListParagraph"/>
        <w:numPr>
          <w:ilvl w:val="0"/>
          <w:numId w:val="25"/>
        </w:numPr>
      </w:pPr>
      <w:r>
        <w:t xml:space="preserve">Social media access is the highest-risk item on this list for a brand-forward company. Confirm the company Google Workspace account owns the YouTube channel and is Primary Owner on Meta Business Suite and Google Business Profile before the next hire or departure.</w:t>
      </w:r>
    </w:p>
    <w:p>
      <w:pPr>
        <w:pStyle w:val="ListParagraph"/>
        <w:numPr>
          <w:ilvl w:val="0"/>
          <w:numId w:val="25"/>
        </w:numPr>
      </w:pPr>
      <w:r>
        <w:t xml:space="preserve">Autodesk, Bluebeam, Webflow, and JobTread seats are real cost lines. The licensed software gate in Part 1 exists so finance sees them at hiring approval, not at invoice.</w:t>
      </w:r>
    </w:p>
    <w:p>
      <w:pPr>
        <w:pStyle w:val="ListParagraph"/>
        <w:numPr>
          <w:ilvl w:val="0"/>
          <w:numId w:val="25"/>
        </w:numPr>
      </w:pPr>
      <w:r>
        <w:t xml:space="preserve">Have employment counsel or the payroll provider check timing items (final pay, I-9, DE 34, training deadlines) before this goes live.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ir.ca.gov/dlse/RequiredPosters.html" TargetMode="External"/><Relationship Id="rId4" Type="http://schemas.openxmlformats.org/officeDocument/2006/relationships/hyperlink" Target="https://www.dir.ca.gov/wpnodb.html" TargetMode="External"/><Relationship Id="rId5" Type="http://schemas.openxmlformats.org/officeDocument/2006/relationships/hyperlink" Target="https://edd.ca.gov/en/Payroll_Taxes/Required_Notices_and_Pamphlets" TargetMode="External"/><Relationship Id="rId6" Type="http://schemas.openxmlformats.org/officeDocument/2006/relationships/hyperlink" Target="https://calcivilrights.ca.gov/publications/" TargetMode="External"/><Relationship Id="rId7" Type="http://schemas.openxmlformats.org/officeDocument/2006/relationships/hyperlink" Target="https://p-hrcalifornia.calchamber.com/forms-tools/new-hire-guid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Acton ADU Staff Lifecycle Checklist</dc:title>
  <dc:description>Claude Docs node/0ab7df9f-1e13@7 docx-w7</dc:description>
  <cp:revision>7</cp:revision>
</cp:coreProperties>
</file>