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035040" cy="2011680"/>
            <wp:docPr id="1" name="Picture 1"/>
            <wp:cNvGraphicFramePr>
              <a:graphicFrameLocks noChangeAspect="1"/>
            </wp:cNvGraphicFramePr>
            <a:graphic>
              <a:graphicData uri="http://schemas.openxmlformats.org/drawingml/2006/picture">
                <pic:pic>
                  <pic:nvPicPr>
                    <pic:cNvPr id="0" name="wide_clean_white_background_branding_logo_image_w.png"/>
                    <pic:cNvPicPr/>
                  </pic:nvPicPr>
                  <pic:blipFill>
                    <a:blip r:embed="rId9"/>
                    <a:stretch>
                      <a:fillRect/>
                    </a:stretch>
                  </pic:blipFill>
                  <pic:spPr>
                    <a:xfrm>
                      <a:off x="0" y="0"/>
                      <a:ext cx="6035040" cy="2011680"/>
                    </a:xfrm>
                    <a:prstGeom prst="rect"/>
                  </pic:spPr>
                </pic:pic>
              </a:graphicData>
            </a:graphic>
          </wp:inline>
        </w:drawing>
      </w:r>
    </w:p>
    <w:p>
      <w:pPr>
        <w:pStyle w:val="Title"/>
        <w:jc w:val="center"/>
      </w:pPr>
      <w:r>
        <w:t>Brand Source of Truth</w:t>
      </w:r>
    </w:p>
    <w:p>
      <w:pPr>
        <w:jc w:val="center"/>
      </w:pPr>
      <w:r>
        <w:rPr>
          <w:b/>
          <w:color w:val="4F46E5"/>
          <w:sz w:val="26"/>
        </w:rPr>
        <w:t>Handoff for Claude Code → Cursor implementation</w:t>
      </w:r>
    </w:p>
    <w:p>
      <w:pPr>
        <w:jc w:val="center"/>
      </w:pPr>
      <w:r>
        <w:t>Version 1.0  |  shootportal.app  |  August 2026</w:t>
      </w:r>
    </w:p>
    <w:tbl>
      <w:tblPr>
        <w:tblW w:type="auto" w:w="0"/>
        <w:tblLayout w:type="fixed"/>
        <w:tblLook w:firstColumn="1" w:firstRow="1" w:lastColumn="0" w:lastRow="0" w:noHBand="0" w:noVBand="1" w:val="04A0"/>
      </w:tblPr>
      <w:tblGrid>
        <w:gridCol w:w="9792"/>
      </w:tblGrid>
      <w:tr>
        <w:tc>
          <w:tcPr>
            <w:tcW w:type="dxa" w:w="10080"/>
            <w:shd w:fill="F8FAFC"/>
            <w:tcMar>
              <w:top w:w="220" w:type="dxa"/>
              <w:start w:w="240" w:type="dxa"/>
              <w:bottom w:w="220" w:type="dxa"/>
              <w:end w:w="240" w:type="dxa"/>
            </w:tcMar>
          </w:tcPr>
          <w:p>
            <w:r>
              <w:rPr>
                <w:b/>
                <w:color w:val="0F172A"/>
              </w:rPr>
              <w:t>Purpose</w:t>
            </w:r>
          </w:p>
          <w:p>
            <w:r>
              <w:t>This document is the brand and product-language source of truth for the ShootPortal SaaS conversion. Claude should use it when creating Cursor prompts. Cursor should preserve working functionality while replacing Swift Aerial Media-specific branding and hardcoded assumptions with tenant-aware, configurable behavior.</w:t>
            </w:r>
          </w:p>
        </w:tc>
      </w:tr>
    </w:tbl>
    <w:p>
      <w:pPr>
        <w:pStyle w:val="Heading1"/>
      </w:pPr>
      <w:r>
        <w:t>1. Brand Foundation</w:t>
      </w:r>
    </w:p>
    <w:p>
      <w:r>
        <w:rPr>
          <w:b/>
          <w:color w:val="0F172A"/>
        </w:rPr>
        <w:t xml:space="preserve">Brand name: </w:t>
      </w:r>
      <w:r>
        <w:t>ShootPortal</w:t>
      </w:r>
    </w:p>
    <w:p>
      <w:r>
        <w:rPr>
          <w:b/>
          <w:color w:val="0F172A"/>
        </w:rPr>
        <w:t xml:space="preserve">Canonical domain: </w:t>
      </w:r>
      <w:r>
        <w:t>shootportal.app</w:t>
      </w:r>
    </w:p>
    <w:p>
      <w:r>
        <w:rPr>
          <w:b/>
          <w:color w:val="0F172A"/>
        </w:rPr>
        <w:t xml:space="preserve">Category: </w:t>
      </w:r>
      <w:r>
        <w:t>All-in-one client and project operations platform for media professionals</w:t>
      </w:r>
    </w:p>
    <w:p>
      <w:r>
        <w:rPr>
          <w:b/>
          <w:color w:val="0F172A"/>
        </w:rPr>
        <w:t xml:space="preserve">Primary positioning: </w:t>
      </w:r>
      <w:r>
        <w:t>ShootPortal helps media businesses manage the complete client journey from project request through final delivery.</w:t>
      </w:r>
    </w:p>
    <w:p>
      <w:r>
        <w:rPr>
          <w:b/>
          <w:color w:val="0F172A"/>
        </w:rPr>
        <w:t xml:space="preserve">Primary tagline: </w:t>
      </w:r>
      <w:r>
        <w:t>From request to delivery. One portal.</w:t>
      </w:r>
    </w:p>
    <w:p>
      <w:r>
        <w:rPr>
          <w:b/>
          <w:color w:val="0F172A"/>
        </w:rPr>
        <w:t xml:space="preserve">Product shorthand: </w:t>
      </w:r>
      <w:r>
        <w:t>SP may be used internally; public-facing copy should prefer ShootPortal.</w:t>
      </w:r>
    </w:p>
    <w:p>
      <w:r>
        <w:rPr>
          <w:b/>
          <w:color w:val="0F172A"/>
        </w:rPr>
        <w:t>Core workflow</w:t>
      </w:r>
    </w:p>
    <w:p>
      <w:pPr>
        <w:jc w:val="center"/>
      </w:pPr>
      <w:r>
        <w:rPr>
          <w:b/>
          <w:color w:val="4F46E5"/>
          <w:sz w:val="26"/>
        </w:rPr>
        <w:t>Request  →  Estimate  →  Schedule  →  Shoot  →  Review  →  Pay  →  Deliver</w:t>
      </w:r>
    </w:p>
    <w:p>
      <w:pPr>
        <w:pStyle w:val="ListBullet"/>
      </w:pPr>
      <w:r>
        <w:t>ShootPortal is NOT drone-specific.</w:t>
      </w:r>
    </w:p>
    <w:p>
      <w:pPr>
        <w:pStyle w:val="ListBullet"/>
      </w:pPr>
      <w:r>
        <w:t>The platform must comfortably serve photographers, videographers, drone operators, real estate media companies, event shooters, and small production teams.</w:t>
      </w:r>
    </w:p>
    <w:p>
      <w:pPr>
        <w:pStyle w:val="ListBullet"/>
      </w:pPr>
      <w:r>
        <w:t>Avoid product architecture, copy, database naming, routes, or UI that unnecessarily assumes the tenant is a drone business.</w:t>
      </w:r>
    </w:p>
    <w:p>
      <w:pPr>
        <w:pStyle w:val="ListBullet"/>
      </w:pPr>
      <w:r>
        <w:t>The tenant’s own media business should be the hero in client-facing experiences. ShootPortal is the infrastructure beneath it.</w:t>
      </w:r>
    </w:p>
    <w:p>
      <w:pPr>
        <w:pStyle w:val="Heading1"/>
      </w:pPr>
      <w:r>
        <w:t>2. Audience and Market</w:t>
      </w:r>
    </w:p>
    <w:p>
      <w:pPr>
        <w:pStyle w:val="Heading2"/>
      </w:pPr>
      <w:r>
        <w:t>Primary users</w:t>
      </w:r>
    </w:p>
    <w:p>
      <w:pPr>
        <w:pStyle w:val="ListBullet"/>
      </w:pPr>
      <w:r>
        <w:t>Independent photographers and videographers</w:t>
      </w:r>
    </w:p>
    <w:p>
      <w:pPr>
        <w:pStyle w:val="ListBullet"/>
      </w:pPr>
      <w:r>
        <w:t>Real estate media businesses</w:t>
      </w:r>
    </w:p>
    <w:p>
      <w:pPr>
        <w:pStyle w:val="ListBullet"/>
      </w:pPr>
      <w:r>
        <w:t>Drone operators and aerial media companies</w:t>
      </w:r>
    </w:p>
    <w:p>
      <w:pPr>
        <w:pStyle w:val="ListBullet"/>
      </w:pPr>
      <w:r>
        <w:t>Event photographers/videographers</w:t>
      </w:r>
    </w:p>
    <w:p>
      <w:pPr>
        <w:pStyle w:val="ListBullet"/>
      </w:pPr>
      <w:r>
        <w:t>Commercial media teams</w:t>
      </w:r>
    </w:p>
    <w:p>
      <w:pPr>
        <w:pStyle w:val="ListBullet"/>
      </w:pPr>
      <w:r>
        <w:t>Small creative production companies</w:t>
      </w:r>
    </w:p>
    <w:p>
      <w:pPr>
        <w:pStyle w:val="Heading2"/>
      </w:pPr>
      <w:r>
        <w:t>User roles inside the SaaS</w:t>
      </w:r>
    </w:p>
    <w:p>
      <w:pPr>
        <w:pStyle w:val="ListBullet"/>
      </w:pPr>
      <w:r>
        <w:t>Super Admin: ShootPortal platform owner. Can manage the platform and tenants. This interface should be clearly separated from normal tenant administration.</w:t>
      </w:r>
    </w:p>
    <w:p>
      <w:pPr>
        <w:pStyle w:val="ListBullet"/>
      </w:pPr>
      <w:r>
        <w:t>Business Admin / Team Member: works inside one tenant/business and manages that business only.</w:t>
      </w:r>
    </w:p>
    <w:p>
      <w:pPr>
        <w:pStyle w:val="ListBullet"/>
      </w:pPr>
      <w:r>
        <w:t>Client: the tenant’s customer. Uses a simple, branded project portal to request, approve, schedule, review, pay, message, and download.</w:t>
      </w:r>
    </w:p>
    <w:p>
      <w:pPr>
        <w:pStyle w:val="Heading1"/>
      </w:pPr>
      <w:r>
        <w:t>3. Brand Personality</w:t>
      </w:r>
    </w:p>
    <w:p>
      <w:r>
        <w:rPr>
          <w:b/>
          <w:color w:val="0F172A"/>
        </w:rPr>
        <w:t xml:space="preserve">Professional: </w:t>
      </w:r>
      <w:r>
        <w:t>Polished enough for commercial and real-estate clients without feeling corporate.</w:t>
      </w:r>
    </w:p>
    <w:p>
      <w:r>
        <w:rPr>
          <w:b/>
          <w:color w:val="0F172A"/>
        </w:rPr>
        <w:t xml:space="preserve">Modern: </w:t>
      </w:r>
      <w:r>
        <w:t>Clean SaaS conventions, not trendy visual gimmicks.</w:t>
      </w:r>
    </w:p>
    <w:p>
      <w:r>
        <w:rPr>
          <w:b/>
          <w:color w:val="0F172A"/>
        </w:rPr>
        <w:t xml:space="preserve">Premium: </w:t>
      </w:r>
      <w:r>
        <w:t>The experience should make a small media business look established and organized.</w:t>
      </w:r>
    </w:p>
    <w:p>
      <w:r>
        <w:rPr>
          <w:b/>
          <w:color w:val="0F172A"/>
        </w:rPr>
        <w:t xml:space="preserve">Simple: </w:t>
      </w:r>
      <w:r>
        <w:t>Users should understand what to do next without training.</w:t>
      </w:r>
    </w:p>
    <w:p>
      <w:r>
        <w:rPr>
          <w:b/>
          <w:color w:val="0F172A"/>
        </w:rPr>
        <w:t xml:space="preserve">Efficient: </w:t>
      </w:r>
      <w:r>
        <w:t>Every feature should reduce admin work, email hunting, or tool switching.</w:t>
      </w:r>
    </w:p>
    <w:p>
      <w:r>
        <w:rPr>
          <w:b/>
          <w:color w:val="0F172A"/>
        </w:rPr>
        <w:t xml:space="preserve">Confident: </w:t>
      </w:r>
      <w:r>
        <w:t>Short, direct copy. No exaggerated startup language.</w:t>
      </w:r>
    </w:p>
    <w:p>
      <w:r>
        <w:rPr>
          <w:b/>
        </w:rPr>
        <w:t xml:space="preserve">Reference feel: </w:t>
      </w:r>
      <w:r>
        <w:t>Stripe + Linear + Dropbox + HoneyBook, adapted for media-project operations.</w:t>
      </w:r>
    </w:p>
    <w:p>
      <w:pPr>
        <w:pStyle w:val="Heading1"/>
      </w:pPr>
      <w:r>
        <w:t>4. Visual Identity</w:t>
      </w:r>
    </w:p>
    <w:p>
      <w:pPr>
        <w:pStyle w:val="Heading2"/>
      </w:pPr>
      <w:r>
        <w:t>Logo</w:t>
      </w:r>
    </w:p>
    <w:p>
      <w:r>
        <w:t>Use the supplied ShootPortal logo as the current visual reference: a rounded-square SP monogram paired with the ShootPortal wordmark. The mark should remain category-neutral: no drone, camera, aperture, play-button, or real-estate-house iconography.</w:t>
      </w:r>
    </w:p>
    <w:p>
      <w:pPr>
        <w:jc w:val="center"/>
      </w:pPr>
      <w:r>
        <w:drawing>
          <wp:inline xmlns:a="http://schemas.openxmlformats.org/drawingml/2006/main" xmlns:pic="http://schemas.openxmlformats.org/drawingml/2006/picture">
            <wp:extent cx="5120640" cy="1706880"/>
            <wp:docPr id="2" name="Picture 2"/>
            <wp:cNvGraphicFramePr>
              <a:graphicFrameLocks noChangeAspect="1"/>
            </wp:cNvGraphicFramePr>
            <a:graphic>
              <a:graphicData uri="http://schemas.openxmlformats.org/drawingml/2006/picture">
                <pic:pic>
                  <pic:nvPicPr>
                    <pic:cNvPr id="0" name="wide_clean_white_background_branding_logo_image_w.png"/>
                    <pic:cNvPicPr/>
                  </pic:nvPicPr>
                  <pic:blipFill>
                    <a:blip r:embed="rId9"/>
                    <a:stretch>
                      <a:fillRect/>
                    </a:stretch>
                  </pic:blipFill>
                  <pic:spPr>
                    <a:xfrm>
                      <a:off x="0" y="0"/>
                      <a:ext cx="5120640" cy="1706880"/>
                    </a:xfrm>
                    <a:prstGeom prst="rect"/>
                  </pic:spPr>
                </pic:pic>
              </a:graphicData>
            </a:graphic>
          </wp:inline>
        </w:drawing>
      </w:r>
    </w:p>
    <w:p>
      <w:pPr>
        <w:pStyle w:val="ListBullet"/>
      </w:pPr>
      <w:r>
        <w:t>Wordmark capitalization: ShootPortal (capital S and P, one word).</w:t>
      </w:r>
    </w:p>
    <w:p>
      <w:pPr>
        <w:pStyle w:val="ListBullet"/>
      </w:pPr>
      <w:r>
        <w:t>Use the SP monogram for favicon, PWA/app icon, collapsed navigation, and small avatar contexts.</w:t>
      </w:r>
    </w:p>
    <w:p>
      <w:pPr>
        <w:pStyle w:val="ListBullet"/>
      </w:pPr>
      <w:r>
        <w:t>Create light and dark-safe logo variants when implementation requires them.</w:t>
      </w:r>
    </w:p>
    <w:p>
      <w:pPr>
        <w:pStyle w:val="ListBullet"/>
      </w:pPr>
      <w:r>
        <w:t>The logo may retain its subtle indigo/purple treatment. Core application UI should not become gradient-heavy.</w:t>
      </w:r>
    </w:p>
    <w:p>
      <w:pPr>
        <w:pStyle w:val="Heading2"/>
      </w:pPr>
      <w:r>
        <w:t>Color system</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0F172A"/>
          </w:tcPr>
          <w:p>
            <w:r>
              <w:rPr>
                <w:b/>
                <w:color w:val="FFFFFF"/>
              </w:rPr>
              <w:t>Token</w:t>
            </w:r>
          </w:p>
        </w:tc>
        <w:tc>
          <w:tcPr>
            <w:tcW w:type="dxa" w:w="2520"/>
            <w:shd w:fill="0F172A"/>
          </w:tcPr>
          <w:p>
            <w:r>
              <w:rPr>
                <w:b/>
                <w:color w:val="FFFFFF"/>
              </w:rPr>
              <w:t>Hex</w:t>
            </w:r>
          </w:p>
        </w:tc>
        <w:tc>
          <w:tcPr>
            <w:tcW w:type="dxa" w:w="2520"/>
            <w:shd w:fill="0F172A"/>
          </w:tcPr>
          <w:p>
            <w:r>
              <w:rPr>
                <w:b/>
                <w:color w:val="FFFFFF"/>
              </w:rPr>
              <w:t>Primary use</w:t>
            </w:r>
          </w:p>
        </w:tc>
        <w:tc>
          <w:tcPr>
            <w:tcW w:type="dxa" w:w="2520"/>
            <w:shd w:fill="0F172A"/>
          </w:tcPr>
          <w:p>
            <w:r>
              <w:rPr>
                <w:b/>
                <w:color w:val="FFFFFF"/>
              </w:rPr>
              <w:t>Implementation note</w:t>
            </w:r>
          </w:p>
        </w:tc>
      </w:tr>
      <w:tr>
        <w:tc>
          <w:tcPr>
            <w:tcW w:type="dxa" w:w="2520"/>
            <w:tcMar>
              <w:top w:w="80" w:type="dxa"/>
              <w:start w:w="90" w:type="dxa"/>
              <w:bottom w:w="80" w:type="dxa"/>
              <w:end w:w="90" w:type="dxa"/>
            </w:tcMar>
          </w:tcPr>
          <w:p>
            <w:r>
              <w:t>Portal Indigo</w:t>
            </w:r>
          </w:p>
        </w:tc>
        <w:tc>
          <w:tcPr>
            <w:tcW w:type="dxa" w:w="2520"/>
            <w:tcMar>
              <w:top w:w="80" w:type="dxa"/>
              <w:start w:w="90" w:type="dxa"/>
              <w:bottom w:w="80" w:type="dxa"/>
              <w:end w:w="90" w:type="dxa"/>
            </w:tcMar>
            <w:shd w:fill="4F46E5"/>
          </w:tcPr>
          <w:p>
            <w:r>
              <w:rPr>
                <w:color w:val="FFFFFF"/>
              </w:rPr>
              <w:t>#4F46E5</w:t>
            </w:r>
          </w:p>
        </w:tc>
        <w:tc>
          <w:tcPr>
            <w:tcW w:type="dxa" w:w="2520"/>
            <w:tcMar>
              <w:top w:w="80" w:type="dxa"/>
              <w:start w:w="90" w:type="dxa"/>
              <w:bottom w:w="80" w:type="dxa"/>
              <w:end w:w="90" w:type="dxa"/>
            </w:tcMar>
          </w:tcPr>
          <w:p>
            <w:r>
              <w:t>Primary CTA, active states, links, focus</w:t>
            </w:r>
          </w:p>
        </w:tc>
        <w:tc>
          <w:tcPr>
            <w:tcW w:type="dxa" w:w="2520"/>
            <w:tcMar>
              <w:top w:w="80" w:type="dxa"/>
              <w:start w:w="90" w:type="dxa"/>
              <w:bottom w:w="80" w:type="dxa"/>
              <w:end w:w="90" w:type="dxa"/>
            </w:tcMar>
          </w:tcPr>
          <w:p>
            <w:r>
              <w:t>Core brand accent</w:t>
            </w:r>
          </w:p>
        </w:tc>
      </w:tr>
      <w:tr>
        <w:tc>
          <w:tcPr>
            <w:tcW w:type="dxa" w:w="2520"/>
            <w:tcMar>
              <w:top w:w="80" w:type="dxa"/>
              <w:start w:w="90" w:type="dxa"/>
              <w:bottom w:w="80" w:type="dxa"/>
              <w:end w:w="90" w:type="dxa"/>
            </w:tcMar>
          </w:tcPr>
          <w:p>
            <w:r>
              <w:t>Midnight</w:t>
            </w:r>
          </w:p>
        </w:tc>
        <w:tc>
          <w:tcPr>
            <w:tcW w:type="dxa" w:w="2520"/>
            <w:tcMar>
              <w:top w:w="80" w:type="dxa"/>
              <w:start w:w="90" w:type="dxa"/>
              <w:bottom w:w="80" w:type="dxa"/>
              <w:end w:w="90" w:type="dxa"/>
            </w:tcMar>
            <w:shd w:fill="0F172A"/>
          </w:tcPr>
          <w:p>
            <w:r>
              <w:rPr>
                <w:color w:val="FFFFFF"/>
              </w:rPr>
              <w:t>#0F172A</w:t>
            </w:r>
          </w:p>
        </w:tc>
        <w:tc>
          <w:tcPr>
            <w:tcW w:type="dxa" w:w="2520"/>
            <w:tcMar>
              <w:top w:w="80" w:type="dxa"/>
              <w:start w:w="90" w:type="dxa"/>
              <w:bottom w:w="80" w:type="dxa"/>
              <w:end w:w="90" w:type="dxa"/>
            </w:tcMar>
          </w:tcPr>
          <w:p>
            <w:r>
              <w:t>Headings, dark UI, footer</w:t>
            </w:r>
          </w:p>
        </w:tc>
        <w:tc>
          <w:tcPr>
            <w:tcW w:type="dxa" w:w="2520"/>
            <w:tcMar>
              <w:top w:w="80" w:type="dxa"/>
              <w:start w:w="90" w:type="dxa"/>
              <w:bottom w:w="80" w:type="dxa"/>
              <w:end w:w="90" w:type="dxa"/>
            </w:tcMar>
          </w:tcPr>
          <w:p>
            <w:r>
              <w:t>Primary dark</w:t>
            </w:r>
          </w:p>
        </w:tc>
      </w:tr>
      <w:tr>
        <w:tc>
          <w:tcPr>
            <w:tcW w:type="dxa" w:w="2520"/>
            <w:tcMar>
              <w:top w:w="80" w:type="dxa"/>
              <w:start w:w="90" w:type="dxa"/>
              <w:bottom w:w="80" w:type="dxa"/>
              <w:end w:w="90" w:type="dxa"/>
            </w:tcMar>
          </w:tcPr>
          <w:p>
            <w:r>
              <w:t>Slate 600</w:t>
            </w:r>
          </w:p>
        </w:tc>
        <w:tc>
          <w:tcPr>
            <w:tcW w:type="dxa" w:w="2520"/>
            <w:tcMar>
              <w:top w:w="80" w:type="dxa"/>
              <w:start w:w="90" w:type="dxa"/>
              <w:bottom w:w="80" w:type="dxa"/>
              <w:end w:w="90" w:type="dxa"/>
            </w:tcMar>
            <w:shd w:fill="475569"/>
          </w:tcPr>
          <w:p>
            <w:r>
              <w:rPr>
                <w:color w:val="FFFFFF"/>
              </w:rPr>
              <w:t>#475569</w:t>
            </w:r>
          </w:p>
        </w:tc>
        <w:tc>
          <w:tcPr>
            <w:tcW w:type="dxa" w:w="2520"/>
            <w:tcMar>
              <w:top w:w="80" w:type="dxa"/>
              <w:start w:w="90" w:type="dxa"/>
              <w:bottom w:w="80" w:type="dxa"/>
              <w:end w:w="90" w:type="dxa"/>
            </w:tcMar>
          </w:tcPr>
          <w:p>
            <w:r>
              <w:t>Body/secondary text</w:t>
            </w:r>
          </w:p>
        </w:tc>
        <w:tc>
          <w:tcPr>
            <w:tcW w:type="dxa" w:w="2520"/>
            <w:tcMar>
              <w:top w:w="80" w:type="dxa"/>
              <w:start w:w="90" w:type="dxa"/>
              <w:bottom w:w="80" w:type="dxa"/>
              <w:end w:w="90" w:type="dxa"/>
            </w:tcMar>
          </w:tcPr>
          <w:p>
            <w:r>
              <w:t>Default text secondary</w:t>
            </w:r>
          </w:p>
        </w:tc>
      </w:tr>
      <w:tr>
        <w:tc>
          <w:tcPr>
            <w:tcW w:type="dxa" w:w="2520"/>
            <w:tcMar>
              <w:top w:w="80" w:type="dxa"/>
              <w:start w:w="90" w:type="dxa"/>
              <w:bottom w:w="80" w:type="dxa"/>
              <w:end w:w="90" w:type="dxa"/>
            </w:tcMar>
          </w:tcPr>
          <w:p>
            <w:r>
              <w:t>Cloud</w:t>
            </w:r>
          </w:p>
        </w:tc>
        <w:tc>
          <w:tcPr>
            <w:tcW w:type="dxa" w:w="2520"/>
            <w:tcMar>
              <w:top w:w="80" w:type="dxa"/>
              <w:start w:w="90" w:type="dxa"/>
              <w:bottom w:w="80" w:type="dxa"/>
              <w:end w:w="90" w:type="dxa"/>
            </w:tcMar>
            <w:shd w:fill="F8FAFC"/>
          </w:tcPr>
          <w:p>
            <w:r>
              <w:rPr>
                <w:color w:val="0F172A"/>
              </w:rPr>
              <w:t>#F8FAFC</w:t>
            </w:r>
          </w:p>
        </w:tc>
        <w:tc>
          <w:tcPr>
            <w:tcW w:type="dxa" w:w="2520"/>
            <w:tcMar>
              <w:top w:w="80" w:type="dxa"/>
              <w:start w:w="90" w:type="dxa"/>
              <w:bottom w:w="80" w:type="dxa"/>
              <w:end w:w="90" w:type="dxa"/>
            </w:tcMar>
          </w:tcPr>
          <w:p>
            <w:r>
              <w:t>App/page backgrounds</w:t>
            </w:r>
          </w:p>
        </w:tc>
        <w:tc>
          <w:tcPr>
            <w:tcW w:type="dxa" w:w="2520"/>
            <w:tcMar>
              <w:top w:w="80" w:type="dxa"/>
              <w:start w:w="90" w:type="dxa"/>
              <w:bottom w:w="80" w:type="dxa"/>
              <w:end w:w="90" w:type="dxa"/>
            </w:tcMar>
          </w:tcPr>
          <w:p>
            <w:r>
              <w:t>Primary light background</w:t>
            </w:r>
          </w:p>
        </w:tc>
      </w:tr>
      <w:tr>
        <w:tc>
          <w:tcPr>
            <w:tcW w:type="dxa" w:w="2520"/>
            <w:tcMar>
              <w:top w:w="80" w:type="dxa"/>
              <w:start w:w="90" w:type="dxa"/>
              <w:bottom w:w="80" w:type="dxa"/>
              <w:end w:w="90" w:type="dxa"/>
            </w:tcMar>
          </w:tcPr>
          <w:p>
            <w:r>
              <w:t>Slate 200</w:t>
            </w:r>
          </w:p>
        </w:tc>
        <w:tc>
          <w:tcPr>
            <w:tcW w:type="dxa" w:w="2520"/>
            <w:tcMar>
              <w:top w:w="80" w:type="dxa"/>
              <w:start w:w="90" w:type="dxa"/>
              <w:bottom w:w="80" w:type="dxa"/>
              <w:end w:w="90" w:type="dxa"/>
            </w:tcMar>
            <w:shd w:fill="E2E8F0"/>
          </w:tcPr>
          <w:p>
            <w:r>
              <w:rPr>
                <w:color w:val="0F172A"/>
              </w:rPr>
              <w:t>#E2E8F0</w:t>
            </w:r>
          </w:p>
        </w:tc>
        <w:tc>
          <w:tcPr>
            <w:tcW w:type="dxa" w:w="2520"/>
            <w:tcMar>
              <w:top w:w="80" w:type="dxa"/>
              <w:start w:w="90" w:type="dxa"/>
              <w:bottom w:w="80" w:type="dxa"/>
              <w:end w:w="90" w:type="dxa"/>
            </w:tcMar>
          </w:tcPr>
          <w:p>
            <w:r>
              <w:t>Borders, dividers, inputs</w:t>
            </w:r>
          </w:p>
        </w:tc>
        <w:tc>
          <w:tcPr>
            <w:tcW w:type="dxa" w:w="2520"/>
            <w:tcMar>
              <w:top w:w="80" w:type="dxa"/>
              <w:start w:w="90" w:type="dxa"/>
              <w:bottom w:w="80" w:type="dxa"/>
              <w:end w:w="90" w:type="dxa"/>
            </w:tcMar>
          </w:tcPr>
          <w:p>
            <w:r>
              <w:t>Default border</w:t>
            </w:r>
          </w:p>
        </w:tc>
      </w:tr>
      <w:tr>
        <w:tc>
          <w:tcPr>
            <w:tcW w:type="dxa" w:w="2520"/>
            <w:tcMar>
              <w:top w:w="80" w:type="dxa"/>
              <w:start w:w="90" w:type="dxa"/>
              <w:bottom w:w="80" w:type="dxa"/>
              <w:end w:w="90" w:type="dxa"/>
            </w:tcMar>
          </w:tcPr>
          <w:p>
            <w:r>
              <w:t>White</w:t>
            </w:r>
          </w:p>
        </w:tc>
        <w:tc>
          <w:tcPr>
            <w:tcW w:type="dxa" w:w="2520"/>
            <w:tcMar>
              <w:top w:w="80" w:type="dxa"/>
              <w:start w:w="90" w:type="dxa"/>
              <w:bottom w:w="80" w:type="dxa"/>
              <w:end w:w="90" w:type="dxa"/>
            </w:tcMar>
            <w:shd w:fill="FFFFFF"/>
          </w:tcPr>
          <w:p>
            <w:r>
              <w:rPr>
                <w:color w:val="0F172A"/>
              </w:rPr>
              <w:t>#FFFFFF</w:t>
            </w:r>
          </w:p>
        </w:tc>
        <w:tc>
          <w:tcPr>
            <w:tcW w:type="dxa" w:w="2520"/>
            <w:tcMar>
              <w:top w:w="80" w:type="dxa"/>
              <w:start w:w="90" w:type="dxa"/>
              <w:bottom w:w="80" w:type="dxa"/>
              <w:end w:w="90" w:type="dxa"/>
            </w:tcMar>
          </w:tcPr>
          <w:p>
            <w:r>
              <w:t>Cards and surfaces</w:t>
            </w:r>
          </w:p>
        </w:tc>
        <w:tc>
          <w:tcPr>
            <w:tcW w:type="dxa" w:w="2520"/>
            <w:tcMar>
              <w:top w:w="80" w:type="dxa"/>
              <w:start w:w="90" w:type="dxa"/>
              <w:bottom w:w="80" w:type="dxa"/>
              <w:end w:w="90" w:type="dxa"/>
            </w:tcMar>
          </w:tcPr>
          <w:p>
            <w:r>
              <w:t>Primary surface</w:t>
            </w:r>
          </w:p>
        </w:tc>
      </w:tr>
      <w:tr>
        <w:tc>
          <w:tcPr>
            <w:tcW w:type="dxa" w:w="2520"/>
            <w:tcMar>
              <w:top w:w="80" w:type="dxa"/>
              <w:start w:w="90" w:type="dxa"/>
              <w:bottom w:w="80" w:type="dxa"/>
              <w:end w:w="90" w:type="dxa"/>
            </w:tcMar>
          </w:tcPr>
          <w:p>
            <w:r>
              <w:t>Success</w:t>
            </w:r>
          </w:p>
        </w:tc>
        <w:tc>
          <w:tcPr>
            <w:tcW w:type="dxa" w:w="2520"/>
            <w:tcMar>
              <w:top w:w="80" w:type="dxa"/>
              <w:start w:w="90" w:type="dxa"/>
              <w:bottom w:w="80" w:type="dxa"/>
              <w:end w:w="90" w:type="dxa"/>
            </w:tcMar>
            <w:shd w:fill="16A34A"/>
          </w:tcPr>
          <w:p>
            <w:r>
              <w:rPr>
                <w:color w:val="FFFFFF"/>
              </w:rPr>
              <w:t>#16A34A</w:t>
            </w:r>
          </w:p>
        </w:tc>
        <w:tc>
          <w:tcPr>
            <w:tcW w:type="dxa" w:w="2520"/>
            <w:tcMar>
              <w:top w:w="80" w:type="dxa"/>
              <w:start w:w="90" w:type="dxa"/>
              <w:bottom w:w="80" w:type="dxa"/>
              <w:end w:w="90" w:type="dxa"/>
            </w:tcMar>
          </w:tcPr>
          <w:p>
            <w:r>
              <w:t>Paid, approved, delivered</w:t>
            </w:r>
          </w:p>
        </w:tc>
        <w:tc>
          <w:tcPr>
            <w:tcW w:type="dxa" w:w="2520"/>
            <w:tcMar>
              <w:top w:w="80" w:type="dxa"/>
              <w:start w:w="90" w:type="dxa"/>
              <w:bottom w:w="80" w:type="dxa"/>
              <w:end w:w="90" w:type="dxa"/>
            </w:tcMar>
          </w:tcPr>
          <w:p>
            <w:r>
              <w:t>Semantic only</w:t>
            </w:r>
          </w:p>
        </w:tc>
      </w:tr>
      <w:tr>
        <w:tc>
          <w:tcPr>
            <w:tcW w:type="dxa" w:w="2520"/>
            <w:tcMar>
              <w:top w:w="80" w:type="dxa"/>
              <w:start w:w="90" w:type="dxa"/>
              <w:bottom w:w="80" w:type="dxa"/>
              <w:end w:w="90" w:type="dxa"/>
            </w:tcMar>
          </w:tcPr>
          <w:p>
            <w:r>
              <w:t>Warning</w:t>
            </w:r>
          </w:p>
        </w:tc>
        <w:tc>
          <w:tcPr>
            <w:tcW w:type="dxa" w:w="2520"/>
            <w:tcMar>
              <w:top w:w="80" w:type="dxa"/>
              <w:start w:w="90" w:type="dxa"/>
              <w:bottom w:w="80" w:type="dxa"/>
              <w:end w:w="90" w:type="dxa"/>
            </w:tcMar>
            <w:shd w:fill="D97706"/>
          </w:tcPr>
          <w:p>
            <w:r>
              <w:rPr>
                <w:color w:val="FFFFFF"/>
              </w:rPr>
              <w:t>#D97706</w:t>
            </w:r>
          </w:p>
        </w:tc>
        <w:tc>
          <w:tcPr>
            <w:tcW w:type="dxa" w:w="2520"/>
            <w:tcMar>
              <w:top w:w="80" w:type="dxa"/>
              <w:start w:w="90" w:type="dxa"/>
              <w:bottom w:w="80" w:type="dxa"/>
              <w:end w:w="90" w:type="dxa"/>
            </w:tcMar>
          </w:tcPr>
          <w:p>
            <w:r>
              <w:t>Pending/waiting states</w:t>
            </w:r>
          </w:p>
        </w:tc>
        <w:tc>
          <w:tcPr>
            <w:tcW w:type="dxa" w:w="2520"/>
            <w:tcMar>
              <w:top w:w="80" w:type="dxa"/>
              <w:start w:w="90" w:type="dxa"/>
              <w:bottom w:w="80" w:type="dxa"/>
              <w:end w:w="90" w:type="dxa"/>
            </w:tcMar>
          </w:tcPr>
          <w:p>
            <w:r>
              <w:t>Semantic only</w:t>
            </w:r>
          </w:p>
        </w:tc>
      </w:tr>
      <w:tr>
        <w:tc>
          <w:tcPr>
            <w:tcW w:type="dxa" w:w="2520"/>
            <w:tcMar>
              <w:top w:w="80" w:type="dxa"/>
              <w:start w:w="90" w:type="dxa"/>
              <w:bottom w:w="80" w:type="dxa"/>
              <w:end w:w="90" w:type="dxa"/>
            </w:tcMar>
          </w:tcPr>
          <w:p>
            <w:r>
              <w:t>Error</w:t>
            </w:r>
          </w:p>
        </w:tc>
        <w:tc>
          <w:tcPr>
            <w:tcW w:type="dxa" w:w="2520"/>
            <w:tcMar>
              <w:top w:w="80" w:type="dxa"/>
              <w:start w:w="90" w:type="dxa"/>
              <w:bottom w:w="80" w:type="dxa"/>
              <w:end w:w="90" w:type="dxa"/>
            </w:tcMar>
            <w:shd w:fill="DC2626"/>
          </w:tcPr>
          <w:p>
            <w:r>
              <w:rPr>
                <w:color w:val="FFFFFF"/>
              </w:rPr>
              <w:t>#DC2626</w:t>
            </w:r>
          </w:p>
        </w:tc>
        <w:tc>
          <w:tcPr>
            <w:tcW w:type="dxa" w:w="2520"/>
            <w:tcMar>
              <w:top w:w="80" w:type="dxa"/>
              <w:start w:w="90" w:type="dxa"/>
              <w:bottom w:w="80" w:type="dxa"/>
              <w:end w:w="90" w:type="dxa"/>
            </w:tcMar>
          </w:tcPr>
          <w:p>
            <w:r>
              <w:t>Declined, failed, destructive</w:t>
            </w:r>
          </w:p>
        </w:tc>
        <w:tc>
          <w:tcPr>
            <w:tcW w:type="dxa" w:w="2520"/>
            <w:tcMar>
              <w:top w:w="80" w:type="dxa"/>
              <w:start w:w="90" w:type="dxa"/>
              <w:bottom w:w="80" w:type="dxa"/>
              <w:end w:w="90" w:type="dxa"/>
            </w:tcMar>
          </w:tcPr>
          <w:p>
            <w:r>
              <w:t>Semantic only</w:t>
            </w:r>
          </w:p>
        </w:tc>
      </w:tr>
      <w:tr>
        <w:tc>
          <w:tcPr>
            <w:tcW w:type="dxa" w:w="2520"/>
            <w:tcMar>
              <w:top w:w="80" w:type="dxa"/>
              <w:start w:w="90" w:type="dxa"/>
              <w:bottom w:w="80" w:type="dxa"/>
              <w:end w:w="90" w:type="dxa"/>
            </w:tcMar>
          </w:tcPr>
          <w:p>
            <w:r>
              <w:t>Info</w:t>
            </w:r>
          </w:p>
        </w:tc>
        <w:tc>
          <w:tcPr>
            <w:tcW w:type="dxa" w:w="2520"/>
            <w:tcMar>
              <w:top w:w="80" w:type="dxa"/>
              <w:start w:w="90" w:type="dxa"/>
              <w:bottom w:w="80" w:type="dxa"/>
              <w:end w:w="90" w:type="dxa"/>
            </w:tcMar>
            <w:shd w:fill="2563EB"/>
          </w:tcPr>
          <w:p>
            <w:r>
              <w:rPr>
                <w:color w:val="FFFFFF"/>
              </w:rPr>
              <w:t>#2563EB</w:t>
            </w:r>
          </w:p>
        </w:tc>
        <w:tc>
          <w:tcPr>
            <w:tcW w:type="dxa" w:w="2520"/>
            <w:tcMar>
              <w:top w:w="80" w:type="dxa"/>
              <w:start w:w="90" w:type="dxa"/>
              <w:bottom w:w="80" w:type="dxa"/>
              <w:end w:w="90" w:type="dxa"/>
            </w:tcMar>
          </w:tcPr>
          <w:p>
            <w:r>
              <w:t>Informational notices</w:t>
            </w:r>
          </w:p>
        </w:tc>
        <w:tc>
          <w:tcPr>
            <w:tcW w:type="dxa" w:w="2520"/>
            <w:tcMar>
              <w:top w:w="80" w:type="dxa"/>
              <w:start w:w="90" w:type="dxa"/>
              <w:bottom w:w="80" w:type="dxa"/>
              <w:end w:w="90" w:type="dxa"/>
            </w:tcMar>
          </w:tcPr>
          <w:p>
            <w:r>
              <w:t>Semantic only</w:t>
            </w:r>
          </w:p>
        </w:tc>
      </w:tr>
    </w:tbl>
    <w:p>
      <w:pPr>
        <w:pStyle w:val="Heading2"/>
      </w:pPr>
      <w:r>
        <w:t>Typography</w:t>
      </w:r>
    </w:p>
    <w:p>
      <w:r>
        <w:rPr>
          <w:b/>
          <w:color w:val="0F172A"/>
        </w:rPr>
        <w:t xml:space="preserve">Preferred product font: </w:t>
      </w:r>
      <w:r>
        <w:t>Inter</w:t>
      </w:r>
    </w:p>
    <w:p>
      <w:pPr>
        <w:pStyle w:val="ListBullet"/>
      </w:pPr>
      <w:r>
        <w:t>Use one font family throughout the product unless a technical constraint requires a fallback.</w:t>
      </w:r>
    </w:p>
    <w:p>
      <w:pPr>
        <w:pStyle w:val="ListBullet"/>
      </w:pPr>
      <w:r>
        <w:t>Headings: 600–700 weight. Body: 400–500. Buttons: 500–600.</w:t>
      </w:r>
    </w:p>
    <w:p>
      <w:pPr>
        <w:pStyle w:val="ListBullet"/>
      </w:pPr>
      <w:r>
        <w:t>Typical sizes: hero 56–64px desktop; H1 40–48; H2 30–36; H3 22–24; body 16; small 14; metadata 12–13.</w:t>
      </w:r>
    </w:p>
    <w:p>
      <w:pPr>
        <w:pStyle w:val="Heading2"/>
      </w:pPr>
      <w:r>
        <w:t>UI geometry and components</w:t>
      </w:r>
    </w:p>
    <w:p>
      <w:pPr>
        <w:pStyle w:val="ListBullet"/>
      </w:pPr>
      <w:r>
        <w:t>Cards: 12px radius. Buttons/inputs: 8px. Modals: ~16px. Avoid excessive pill-shaped UI.</w:t>
      </w:r>
    </w:p>
    <w:p>
      <w:pPr>
        <w:pStyle w:val="ListBullet"/>
      </w:pPr>
      <w:r>
        <w:t>Favor subtle borders over heavy shadows. Typical card border: 1px solid #E2E8F0.</w:t>
      </w:r>
    </w:p>
    <w:p>
      <w:pPr>
        <w:pStyle w:val="ListBullet"/>
      </w:pPr>
      <w:r>
        <w:t>Primary button: Portal Indigo background + white text.</w:t>
      </w:r>
    </w:p>
    <w:p>
      <w:pPr>
        <w:pStyle w:val="ListBullet"/>
      </w:pPr>
      <w:r>
        <w:t>Secondary button: white surface + Slate 200 border + dark text.</w:t>
      </w:r>
    </w:p>
    <w:p>
      <w:pPr>
        <w:pStyle w:val="ListBullet"/>
      </w:pPr>
      <w:r>
        <w:t>Destructive actions: red semantic styling, never brand indigo.</w:t>
      </w:r>
    </w:p>
    <w:p>
      <w:pPr>
        <w:pStyle w:val="ListBullet"/>
      </w:pPr>
      <w:r>
        <w:t>Use one consistent icon family. Preferred: Lucide.</w:t>
      </w:r>
    </w:p>
    <w:p>
      <w:pPr>
        <w:pStyle w:val="Heading1"/>
      </w:pPr>
      <w:r>
        <w:t>5. Product Terminology</w:t>
      </w:r>
    </w:p>
    <w:p>
      <w:r>
        <w:t>These terms should be treated as canonical across UI copy, database-facing labels where practical, documentation, and Cursor implementation prompts. Do not rename working internal technical identifiers solely for aesthetics if doing so creates migration risk.</w:t>
      </w:r>
    </w:p>
    <w:tbl>
      <w:tblPr>
        <w:tblStyle w:val="TableGrid"/>
        <w:tblW w:type="auto" w:w="0"/>
        <w:tblLook w:firstColumn="1" w:firstRow="1" w:lastColumn="0" w:lastRow="0" w:noHBand="0" w:noVBand="1" w:val="04A0"/>
      </w:tblPr>
      <w:tblGrid>
        <w:gridCol w:w="3360"/>
        <w:gridCol w:w="3360"/>
        <w:gridCol w:w="3360"/>
      </w:tblGrid>
      <w:tr>
        <w:tc>
          <w:tcPr>
            <w:tcW w:type="dxa" w:w="3360"/>
            <w:shd w:fill="0F172A"/>
          </w:tcPr>
          <w:p>
            <w:r>
              <w:rPr>
                <w:b/>
                <w:color w:val="FFFFFF"/>
              </w:rPr>
              <w:t>Canonical term</w:t>
            </w:r>
          </w:p>
        </w:tc>
        <w:tc>
          <w:tcPr>
            <w:tcW w:type="dxa" w:w="3360"/>
            <w:shd w:fill="0F172A"/>
          </w:tcPr>
          <w:p>
            <w:r>
              <w:rPr>
                <w:b/>
                <w:color w:val="FFFFFF"/>
              </w:rPr>
              <w:t>Meaning</w:t>
            </w:r>
          </w:p>
        </w:tc>
        <w:tc>
          <w:tcPr>
            <w:tcW w:type="dxa" w:w="3360"/>
            <w:shd w:fill="0F172A"/>
          </w:tcPr>
          <w:p>
            <w:r>
              <w:rPr>
                <w:b/>
                <w:color w:val="FFFFFF"/>
              </w:rPr>
              <w:t>Avoid mixing with</w:t>
            </w:r>
          </w:p>
        </w:tc>
      </w:tr>
      <w:tr>
        <w:tc>
          <w:tcPr>
            <w:tcW w:type="dxa" w:w="3360"/>
            <w:tcMar>
              <w:top w:w="80" w:type="dxa"/>
              <w:start w:w="90" w:type="dxa"/>
              <w:bottom w:w="80" w:type="dxa"/>
              <w:end w:w="90" w:type="dxa"/>
            </w:tcMar>
          </w:tcPr>
          <w:p>
            <w:r>
              <w:t>Business / Tenant</w:t>
            </w:r>
          </w:p>
        </w:tc>
        <w:tc>
          <w:tcPr>
            <w:tcW w:type="dxa" w:w="3360"/>
            <w:tcMar>
              <w:top w:w="80" w:type="dxa"/>
              <w:start w:w="90" w:type="dxa"/>
              <w:bottom w:w="80" w:type="dxa"/>
              <w:end w:w="90" w:type="dxa"/>
            </w:tcMar>
          </w:tcPr>
          <w:p>
            <w:r>
              <w:t>A media company using ShootPortal</w:t>
            </w:r>
          </w:p>
        </w:tc>
        <w:tc>
          <w:tcPr>
            <w:tcW w:type="dxa" w:w="3360"/>
            <w:tcMar>
              <w:top w:w="80" w:type="dxa"/>
              <w:start w:w="90" w:type="dxa"/>
              <w:bottom w:w="80" w:type="dxa"/>
              <w:end w:w="90" w:type="dxa"/>
            </w:tcMar>
          </w:tcPr>
          <w:p>
            <w:r>
              <w:t>account/org/customer interchangeably in UI</w:t>
            </w:r>
          </w:p>
        </w:tc>
      </w:tr>
      <w:tr>
        <w:tc>
          <w:tcPr>
            <w:tcW w:type="dxa" w:w="3360"/>
            <w:tcMar>
              <w:top w:w="80" w:type="dxa"/>
              <w:start w:w="90" w:type="dxa"/>
              <w:bottom w:w="80" w:type="dxa"/>
              <w:end w:w="90" w:type="dxa"/>
            </w:tcMar>
          </w:tcPr>
          <w:p>
            <w:r>
              <w:t>Team Member</w:t>
            </w:r>
          </w:p>
        </w:tc>
        <w:tc>
          <w:tcPr>
            <w:tcW w:type="dxa" w:w="3360"/>
            <w:tcMar>
              <w:top w:w="80" w:type="dxa"/>
              <w:start w:w="90" w:type="dxa"/>
              <w:bottom w:w="80" w:type="dxa"/>
              <w:end w:w="90" w:type="dxa"/>
            </w:tcMar>
          </w:tcPr>
          <w:p>
            <w:r>
              <w:t>A user working for a tenant</w:t>
            </w:r>
          </w:p>
        </w:tc>
        <w:tc>
          <w:tcPr>
            <w:tcW w:type="dxa" w:w="3360"/>
            <w:tcMar>
              <w:top w:w="80" w:type="dxa"/>
              <w:start w:w="90" w:type="dxa"/>
              <w:bottom w:w="80" w:type="dxa"/>
              <w:end w:w="90" w:type="dxa"/>
            </w:tcMar>
          </w:tcPr>
          <w:p>
            <w:r>
              <w:t>employee/admin when role is not actually admin</w:t>
            </w:r>
          </w:p>
        </w:tc>
      </w:tr>
      <w:tr>
        <w:tc>
          <w:tcPr>
            <w:tcW w:type="dxa" w:w="3360"/>
            <w:tcMar>
              <w:top w:w="80" w:type="dxa"/>
              <w:start w:w="90" w:type="dxa"/>
              <w:bottom w:w="80" w:type="dxa"/>
              <w:end w:w="90" w:type="dxa"/>
            </w:tcMar>
          </w:tcPr>
          <w:p>
            <w:r>
              <w:t>Client</w:t>
            </w:r>
          </w:p>
        </w:tc>
        <w:tc>
          <w:tcPr>
            <w:tcW w:type="dxa" w:w="3360"/>
            <w:tcMar>
              <w:top w:w="80" w:type="dxa"/>
              <w:start w:w="90" w:type="dxa"/>
              <w:bottom w:w="80" w:type="dxa"/>
              <w:end w:w="90" w:type="dxa"/>
            </w:tcMar>
          </w:tcPr>
          <w:p>
            <w:r>
              <w:t>The tenant’s customer</w:t>
            </w:r>
          </w:p>
        </w:tc>
        <w:tc>
          <w:tcPr>
            <w:tcW w:type="dxa" w:w="3360"/>
            <w:tcMar>
              <w:top w:w="80" w:type="dxa"/>
              <w:start w:w="90" w:type="dxa"/>
              <w:bottom w:w="80" w:type="dxa"/>
              <w:end w:w="90" w:type="dxa"/>
            </w:tcMar>
          </w:tcPr>
          <w:p>
            <w:r>
              <w:t>lead/customer interchangeably after project creation</w:t>
            </w:r>
          </w:p>
        </w:tc>
      </w:tr>
      <w:tr>
        <w:tc>
          <w:tcPr>
            <w:tcW w:type="dxa" w:w="3360"/>
            <w:tcMar>
              <w:top w:w="80" w:type="dxa"/>
              <w:start w:w="90" w:type="dxa"/>
              <w:bottom w:w="80" w:type="dxa"/>
              <w:end w:w="90" w:type="dxa"/>
            </w:tcMar>
          </w:tcPr>
          <w:p>
            <w:r>
              <w:t>Project</w:t>
            </w:r>
          </w:p>
        </w:tc>
        <w:tc>
          <w:tcPr>
            <w:tcW w:type="dxa" w:w="3360"/>
            <w:tcMar>
              <w:top w:w="80" w:type="dxa"/>
              <w:start w:w="90" w:type="dxa"/>
              <w:bottom w:w="80" w:type="dxa"/>
              <w:end w:w="90" w:type="dxa"/>
            </w:tcMar>
          </w:tcPr>
          <w:p>
            <w:r>
              <w:t>The system-level job/client engagement</w:t>
            </w:r>
          </w:p>
        </w:tc>
        <w:tc>
          <w:tcPr>
            <w:tcW w:type="dxa" w:w="3360"/>
            <w:tcMar>
              <w:top w:w="80" w:type="dxa"/>
              <w:start w:w="90" w:type="dxa"/>
              <w:bottom w:w="80" w:type="dxa"/>
              <w:end w:w="90" w:type="dxa"/>
            </w:tcMar>
          </w:tcPr>
          <w:p>
            <w:r>
              <w:t>job/order/deal/opportunity in client-facing UI</w:t>
            </w:r>
          </w:p>
        </w:tc>
      </w:tr>
      <w:tr>
        <w:tc>
          <w:tcPr>
            <w:tcW w:type="dxa" w:w="3360"/>
            <w:tcMar>
              <w:top w:w="80" w:type="dxa"/>
              <w:start w:w="90" w:type="dxa"/>
              <w:bottom w:w="80" w:type="dxa"/>
              <w:end w:w="90" w:type="dxa"/>
            </w:tcMar>
          </w:tcPr>
          <w:p>
            <w:r>
              <w:t>Service</w:t>
            </w:r>
          </w:p>
        </w:tc>
        <w:tc>
          <w:tcPr>
            <w:tcW w:type="dxa" w:w="3360"/>
            <w:tcMar>
              <w:top w:w="80" w:type="dxa"/>
              <w:start w:w="90" w:type="dxa"/>
              <w:bottom w:w="80" w:type="dxa"/>
              <w:end w:w="90" w:type="dxa"/>
            </w:tcMar>
          </w:tcPr>
          <w:p>
            <w:r>
              <w:t>A sellable offering such as photography or video</w:t>
            </w:r>
          </w:p>
        </w:tc>
        <w:tc>
          <w:tcPr>
            <w:tcW w:type="dxa" w:w="3360"/>
            <w:tcMar>
              <w:top w:w="80" w:type="dxa"/>
              <w:start w:w="90" w:type="dxa"/>
              <w:bottom w:w="80" w:type="dxa"/>
              <w:end w:w="90" w:type="dxa"/>
            </w:tcMar>
          </w:tcPr>
          <w:p>
            <w:r>
              <w:t>package unless it is truly a package</w:t>
            </w:r>
          </w:p>
        </w:tc>
      </w:tr>
      <w:tr>
        <w:tc>
          <w:tcPr>
            <w:tcW w:type="dxa" w:w="3360"/>
            <w:tcMar>
              <w:top w:w="80" w:type="dxa"/>
              <w:start w:w="90" w:type="dxa"/>
              <w:bottom w:w="80" w:type="dxa"/>
              <w:end w:w="90" w:type="dxa"/>
            </w:tcMar>
          </w:tcPr>
          <w:p>
            <w:r>
              <w:t>Preliminary Estimate</w:t>
            </w:r>
          </w:p>
        </w:tc>
        <w:tc>
          <w:tcPr>
            <w:tcW w:type="dxa" w:w="3360"/>
            <w:tcMar>
              <w:top w:w="80" w:type="dxa"/>
              <w:start w:w="90" w:type="dxa"/>
              <w:bottom w:w="80" w:type="dxa"/>
              <w:end w:w="90" w:type="dxa"/>
            </w:tcMar>
          </w:tcPr>
          <w:p>
            <w:r>
              <w:t>Automatically generated starting estimate</w:t>
            </w:r>
          </w:p>
        </w:tc>
        <w:tc>
          <w:tcPr>
            <w:tcW w:type="dxa" w:w="3360"/>
            <w:tcMar>
              <w:top w:w="80" w:type="dxa"/>
              <w:start w:w="90" w:type="dxa"/>
              <w:bottom w:w="80" w:type="dxa"/>
              <w:end w:w="90" w:type="dxa"/>
            </w:tcMar>
          </w:tcPr>
          <w:p>
            <w:r>
              <w:t>quote when it is not yet official</w:t>
            </w:r>
          </w:p>
        </w:tc>
      </w:tr>
      <w:tr>
        <w:tc>
          <w:tcPr>
            <w:tcW w:type="dxa" w:w="3360"/>
            <w:tcMar>
              <w:top w:w="80" w:type="dxa"/>
              <w:start w:w="90" w:type="dxa"/>
              <w:bottom w:w="80" w:type="dxa"/>
              <w:end w:w="90" w:type="dxa"/>
            </w:tcMar>
          </w:tcPr>
          <w:p>
            <w:r>
              <w:t>Official Estimate</w:t>
            </w:r>
          </w:p>
        </w:tc>
        <w:tc>
          <w:tcPr>
            <w:tcW w:type="dxa" w:w="3360"/>
            <w:tcMar>
              <w:top w:w="80" w:type="dxa"/>
              <w:start w:w="90" w:type="dxa"/>
              <w:bottom w:w="80" w:type="dxa"/>
              <w:end w:w="90" w:type="dxa"/>
            </w:tcMar>
          </w:tcPr>
          <w:p>
            <w:r>
              <w:t>Final admin-issued pricing sent for approval</w:t>
            </w:r>
          </w:p>
        </w:tc>
        <w:tc>
          <w:tcPr>
            <w:tcW w:type="dxa" w:w="3360"/>
            <w:tcMar>
              <w:top w:w="80" w:type="dxa"/>
              <w:start w:w="90" w:type="dxa"/>
              <w:bottom w:w="80" w:type="dxa"/>
              <w:end w:w="90" w:type="dxa"/>
            </w:tcMar>
          </w:tcPr>
          <w:p>
            <w:r>
              <w:t>invoice/payment request</w:t>
            </w:r>
          </w:p>
        </w:tc>
      </w:tr>
      <w:tr>
        <w:tc>
          <w:tcPr>
            <w:tcW w:type="dxa" w:w="3360"/>
            <w:tcMar>
              <w:top w:w="80" w:type="dxa"/>
              <w:start w:w="90" w:type="dxa"/>
              <w:bottom w:w="80" w:type="dxa"/>
              <w:end w:w="90" w:type="dxa"/>
            </w:tcMar>
          </w:tcPr>
          <w:p>
            <w:r>
              <w:t>Shoot</w:t>
            </w:r>
          </w:p>
        </w:tc>
        <w:tc>
          <w:tcPr>
            <w:tcW w:type="dxa" w:w="3360"/>
            <w:tcMar>
              <w:top w:w="80" w:type="dxa"/>
              <w:start w:w="90" w:type="dxa"/>
              <w:bottom w:w="80" w:type="dxa"/>
              <w:end w:w="90" w:type="dxa"/>
            </w:tcMar>
          </w:tcPr>
          <w:p>
            <w:r>
              <w:t>The scheduled production event</w:t>
            </w:r>
          </w:p>
        </w:tc>
        <w:tc>
          <w:tcPr>
            <w:tcW w:type="dxa" w:w="3360"/>
            <w:tcMar>
              <w:top w:w="80" w:type="dxa"/>
              <w:start w:w="90" w:type="dxa"/>
              <w:bottom w:w="80" w:type="dxa"/>
              <w:end w:w="90" w:type="dxa"/>
            </w:tcMar>
          </w:tcPr>
          <w:p>
            <w:r>
              <w:t>appointment/event inconsistently</w:t>
            </w:r>
          </w:p>
        </w:tc>
      </w:tr>
      <w:tr>
        <w:tc>
          <w:tcPr>
            <w:tcW w:type="dxa" w:w="3360"/>
            <w:tcMar>
              <w:top w:w="80" w:type="dxa"/>
              <w:start w:w="90" w:type="dxa"/>
              <w:bottom w:w="80" w:type="dxa"/>
              <w:end w:w="90" w:type="dxa"/>
            </w:tcMar>
          </w:tcPr>
          <w:p>
            <w:r>
              <w:t>Media</w:t>
            </w:r>
          </w:p>
        </w:tc>
        <w:tc>
          <w:tcPr>
            <w:tcW w:type="dxa" w:w="3360"/>
            <w:tcMar>
              <w:top w:w="80" w:type="dxa"/>
              <w:start w:w="90" w:type="dxa"/>
              <w:bottom w:w="80" w:type="dxa"/>
              <w:end w:w="90" w:type="dxa"/>
            </w:tcMar>
          </w:tcPr>
          <w:p>
            <w:r>
              <w:t>Photos, videos, 360 content, downloadable files</w:t>
            </w:r>
          </w:p>
        </w:tc>
        <w:tc>
          <w:tcPr>
            <w:tcW w:type="dxa" w:w="3360"/>
            <w:tcMar>
              <w:top w:w="80" w:type="dxa"/>
              <w:start w:w="90" w:type="dxa"/>
              <w:bottom w:w="80" w:type="dxa"/>
              <w:end w:w="90" w:type="dxa"/>
            </w:tcMar>
          </w:tcPr>
          <w:p>
            <w:r>
              <w:t>assets/files inconsistently in UI</w:t>
            </w:r>
          </w:p>
        </w:tc>
      </w:tr>
    </w:tbl>
    <w:p>
      <w:pPr>
        <w:pStyle w:val="Heading1"/>
      </w:pPr>
      <w:r>
        <w:t>6. Voice and UX Copy</w:t>
      </w:r>
    </w:p>
    <w:p>
      <w:pPr>
        <w:pStyle w:val="ListBullet"/>
      </w:pPr>
      <w:r>
        <w:t>Short, clear, helpful, professional, and human.</w:t>
      </w:r>
    </w:p>
    <w:p>
      <w:pPr>
        <w:pStyle w:val="ListBullet"/>
      </w:pPr>
      <w:r>
        <w:t>Use action-oriented labels: Create Project, Send Estimate, Propose Shoot Time, Upload Media, Request Review, Create Payment Link, Mark Delivered.</w:t>
      </w:r>
    </w:p>
    <w:p>
      <w:pPr>
        <w:pStyle w:val="ListBullet"/>
      </w:pPr>
      <w:r>
        <w:t>Client-facing status language should be understandable without CRM knowledge.</w:t>
      </w:r>
    </w:p>
    <w:p>
      <w:pPr>
        <w:pStyle w:val="ListBullet"/>
      </w:pPr>
      <w:r>
        <w:t>Avoid emojis in system/product copy unless a future explicit brand decision changes this.</w:t>
      </w:r>
    </w:p>
    <w:p>
      <w:pPr>
        <w:pStyle w:val="ListBullet"/>
      </w:pPr>
      <w:r>
        <w:t>Avoid hype such as “amazing,” “game-changing,” “exciting journey,” or overly cheerful automation copy.</w:t>
      </w:r>
    </w:p>
    <w:p>
      <w:pPr>
        <w:pStyle w:val="Heading2"/>
      </w:pPr>
      <w:r>
        <w:t>Preferred examples</w:t>
      </w:r>
    </w:p>
    <w:p>
      <w:pPr>
        <w:pStyle w:val="ListBullet"/>
      </w:pPr>
      <w:r>
        <w:t>Your estimate is ready.</w:t>
      </w:r>
    </w:p>
    <w:p>
      <w:pPr>
        <w:pStyle w:val="ListBullet"/>
      </w:pPr>
      <w:r>
        <w:t>A shoot time has been proposed for September 8 at 10:00 AM.</w:t>
      </w:r>
    </w:p>
    <w:p>
      <w:pPr>
        <w:pStyle w:val="ListBullet"/>
      </w:pPr>
      <w:r>
        <w:t>Your media is ready for review.</w:t>
      </w:r>
    </w:p>
    <w:p>
      <w:pPr>
        <w:pStyle w:val="ListBullet"/>
      </w:pPr>
      <w:r>
        <w:t>Payment received.</w:t>
      </w:r>
    </w:p>
    <w:p>
      <w:pPr>
        <w:pStyle w:val="ListBullet"/>
      </w:pPr>
      <w:r>
        <w:t>Your project has been delivered.</w:t>
      </w:r>
    </w:p>
    <w:p>
      <w:pPr>
        <w:pStyle w:val="Heading1"/>
      </w:pPr>
      <w:r>
        <w:t>7. Product Experience Principles</w:t>
      </w:r>
    </w:p>
    <w:p>
      <w:pPr>
        <w:pStyle w:val="ListBullet"/>
      </w:pPr>
      <w:r>
        <w:t>Client experience should stay intentionally simple. Hide CRM complexity from clients.</w:t>
      </w:r>
    </w:p>
    <w:p>
      <w:pPr>
        <w:pStyle w:val="ListBullet"/>
      </w:pPr>
      <w:r>
        <w:t>Business-admin experience should feel like a command center for active work, not a generic enterprise CRM.</w:t>
      </w:r>
    </w:p>
    <w:p>
      <w:pPr>
        <w:pStyle w:val="ListBullet"/>
      </w:pPr>
      <w:r>
        <w:t>Tenant branding should be prominent on client-facing project pages; ShootPortal branding can be secondary (“Powered by ShootPortal”) unless a plan removes it.</w:t>
      </w:r>
    </w:p>
    <w:p>
      <w:pPr>
        <w:pStyle w:val="ListBullet"/>
      </w:pPr>
      <w:r>
        <w:t>Every tenant-specific setting must be scoped to that tenant and must never affect another business.</w:t>
      </w:r>
    </w:p>
    <w:p>
      <w:pPr>
        <w:pStyle w:val="ListBullet"/>
      </w:pPr>
      <w:r>
        <w:t>Customizability should be added through settings/configuration rather than duplicated tenant-specific code.</w:t>
      </w:r>
    </w:p>
    <w:p>
      <w:pPr>
        <w:pStyle w:val="ListBullet"/>
      </w:pPr>
      <w:r>
        <w:t>Preserve the existing working Swift Aerial Media behavior while turning hardcoded behavior into tenant-configurable defaults.</w:t>
      </w:r>
    </w:p>
    <w:p>
      <w:pPr>
        <w:pStyle w:val="ListBullet"/>
      </w:pPr>
      <w:r>
        <w:t>Prefer incremental migrations to large rewrites.</w:t>
      </w:r>
    </w:p>
    <w:p>
      <w:pPr>
        <w:pStyle w:val="Heading2"/>
      </w:pPr>
      <w:r>
        <w:t>Recommended admin navigation</w:t>
      </w:r>
    </w:p>
    <w:p>
      <w:pPr>
        <w:pStyle w:val="ListBullet"/>
      </w:pPr>
      <w:r>
        <w:t>Overview: Dashboard</w:t>
      </w:r>
    </w:p>
    <w:p>
      <w:pPr>
        <w:pStyle w:val="ListBullet"/>
      </w:pPr>
      <w:r>
        <w:t>Work: Projects, Calendar, Messages, Media</w:t>
      </w:r>
    </w:p>
    <w:p>
      <w:pPr>
        <w:pStyle w:val="ListBullet"/>
      </w:pPr>
      <w:r>
        <w:t>Customers: Clients</w:t>
      </w:r>
    </w:p>
    <w:p>
      <w:pPr>
        <w:pStyle w:val="ListBullet"/>
      </w:pPr>
      <w:r>
        <w:t>Business: Services, Payments, Automations, Team</w:t>
      </w:r>
    </w:p>
    <w:p>
      <w:pPr>
        <w:pStyle w:val="ListBullet"/>
      </w:pPr>
      <w:r>
        <w:t>Settings: Branding, Notifications, Pipeline, Integrations, Account</w:t>
      </w:r>
    </w:p>
    <w:p>
      <w:r>
        <w:rPr>
          <w:b/>
        </w:rPr>
        <w:t xml:space="preserve">Super Admin: </w:t>
      </w:r>
      <w:r>
        <w:t>Keep platform-wide super-admin capabilities in a clearly separate interface from tenant administration.</w:t>
      </w:r>
    </w:p>
    <w:p>
      <w:pPr>
        <w:pStyle w:val="Heading1"/>
      </w:pPr>
      <w:r>
        <w:t>8. SaaS Configuration That Must Respect the Brand</w:t>
      </w:r>
    </w:p>
    <w:p>
      <w:pPr>
        <w:pStyle w:val="Heading2"/>
      </w:pPr>
      <w:r>
        <w:t>Tenant branding</w:t>
      </w:r>
    </w:p>
    <w:p>
      <w:pPr>
        <w:pStyle w:val="ListBullet"/>
      </w:pPr>
      <w:r>
        <w:t>Business name</w:t>
      </w:r>
    </w:p>
    <w:p>
      <w:pPr>
        <w:pStyle w:val="ListBullet"/>
      </w:pPr>
      <w:r>
        <w:t>Logo</w:t>
      </w:r>
    </w:p>
    <w:p>
      <w:pPr>
        <w:pStyle w:val="ListBullet"/>
      </w:pPr>
      <w:r>
        <w:t>Accent/brand color(s) within safe accessibility constraints</w:t>
      </w:r>
    </w:p>
    <w:p>
      <w:pPr>
        <w:pStyle w:val="ListBullet"/>
      </w:pPr>
      <w:r>
        <w:t>Business contact information</w:t>
      </w:r>
    </w:p>
    <w:p>
      <w:pPr>
        <w:pStyle w:val="ListBullet"/>
      </w:pPr>
      <w:r>
        <w:t>Portal display name where appropriate</w:t>
      </w:r>
    </w:p>
    <w:p>
      <w:pPr>
        <w:pStyle w:val="ListBullet"/>
      </w:pPr>
      <w:r>
        <w:t>Client-facing email identity/settings</w:t>
      </w:r>
    </w:p>
    <w:p>
      <w:pPr>
        <w:pStyle w:val="ListBullet"/>
      </w:pPr>
      <w:r>
        <w:t>Custom domain support later or as available</w:t>
      </w:r>
    </w:p>
    <w:p>
      <w:pPr>
        <w:pStyle w:val="ListBullet"/>
      </w:pPr>
      <w:r>
        <w:t>Optional “Powered by ShootPortal” visibility based on plan</w:t>
      </w:r>
    </w:p>
    <w:p>
      <w:pPr>
        <w:pStyle w:val="Heading2"/>
      </w:pPr>
      <w:r>
        <w:t>Services and preliminary estimates</w:t>
      </w:r>
    </w:p>
    <w:p>
      <w:pPr>
        <w:pStyle w:val="ListBullet"/>
      </w:pPr>
      <w:r>
        <w:t>Each tenant can create/edit/archive its own services.</w:t>
      </w:r>
    </w:p>
    <w:p>
      <w:pPr>
        <w:pStyle w:val="ListBullet"/>
      </w:pPr>
      <w:r>
        <w:t>A service can define client-facing name, description, preliminary starting price or estimate logic, and whether it appears on the request form.</w:t>
      </w:r>
    </w:p>
    <w:p>
      <w:pPr>
        <w:pStyle w:val="ListBullet"/>
      </w:pPr>
      <w:r>
        <w:t>Example: “Aerial Videography” + tenant-written description + preliminary price of $299.</w:t>
      </w:r>
    </w:p>
    <w:p>
      <w:pPr>
        <w:pStyle w:val="ListBullet"/>
      </w:pPr>
      <w:r>
        <w:t>Never hardcode Swift Aerial Media service names/pricing into the SaaS default behavior.</w:t>
      </w:r>
    </w:p>
    <w:p>
      <w:pPr>
        <w:pStyle w:val="Heading2"/>
      </w:pPr>
      <w:r>
        <w:t>Pipeline</w:t>
      </w:r>
    </w:p>
    <w:p>
      <w:r>
        <w:t>Ship sensible defaults, but allow tenant editing rather than treating these as universal hardcoded stages:</w:t>
      </w:r>
    </w:p>
    <w:p>
      <w:pPr>
        <w:pStyle w:val="ListBullet"/>
      </w:pPr>
      <w:r>
        <w:t>New Request</w:t>
      </w:r>
    </w:p>
    <w:p>
      <w:pPr>
        <w:pStyle w:val="ListBullet"/>
      </w:pPr>
      <w:r>
        <w:t>Estimate Sent</w:t>
      </w:r>
    </w:p>
    <w:p>
      <w:pPr>
        <w:pStyle w:val="ListBullet"/>
      </w:pPr>
      <w:r>
        <w:t>Approved</w:t>
      </w:r>
    </w:p>
    <w:p>
      <w:pPr>
        <w:pStyle w:val="ListBullet"/>
      </w:pPr>
      <w:r>
        <w:t>Scheduled</w:t>
      </w:r>
    </w:p>
    <w:p>
      <w:pPr>
        <w:pStyle w:val="ListBullet"/>
      </w:pPr>
      <w:r>
        <w:t>Shoot Complete</w:t>
      </w:r>
    </w:p>
    <w:p>
      <w:pPr>
        <w:pStyle w:val="ListBullet"/>
      </w:pPr>
      <w:r>
        <w:t>In Editing</w:t>
      </w:r>
    </w:p>
    <w:p>
      <w:pPr>
        <w:pStyle w:val="ListBullet"/>
      </w:pPr>
      <w:r>
        <w:t>Client Review</w:t>
      </w:r>
    </w:p>
    <w:p>
      <w:pPr>
        <w:pStyle w:val="ListBullet"/>
      </w:pPr>
      <w:r>
        <w:t>Awaiting Payment</w:t>
      </w:r>
    </w:p>
    <w:p>
      <w:pPr>
        <w:pStyle w:val="ListBullet"/>
      </w:pPr>
      <w:r>
        <w:t>Delivered</w:t>
      </w:r>
    </w:p>
    <w:p>
      <w:pPr>
        <w:pStyle w:val="ListBullet"/>
      </w:pPr>
      <w:r>
        <w:t>System actions may depend on stage semantics; Claude/Cursor should design stable internal identifiers or system flags so editable labels/order do not break workflow logic.</w:t>
      </w:r>
    </w:p>
    <w:p>
      <w:pPr>
        <w:pStyle w:val="Heading2"/>
      </w:pPr>
      <w:r>
        <w:t>Notifications and automations</w:t>
      </w:r>
    </w:p>
    <w:p>
      <w:pPr>
        <w:pStyle w:val="ListBullet"/>
      </w:pPr>
      <w:r>
        <w:t>Notifications should be business-specific and tenant-aware.</w:t>
      </w:r>
    </w:p>
    <w:p>
      <w:pPr>
        <w:pStyle w:val="ListBullet"/>
      </w:pPr>
      <w:r>
        <w:t>Future automations may trigger from project/stage actions, but initial SaaS conversion should not over-engineer a workflow builder if the current system does not require it.</w:t>
      </w:r>
    </w:p>
    <w:p>
      <w:pPr>
        <w:pStyle w:val="ListBullet"/>
      </w:pPr>
      <w:r>
        <w:t>Email copy and sender identity should reflect the tenant first, ShootPortal second.</w:t>
      </w:r>
    </w:p>
    <w:p>
      <w:pPr>
        <w:pStyle w:val="Heading1"/>
      </w:pPr>
      <w:r>
        <w:t>9. Public Website and Marketing Copy</w:t>
      </w:r>
    </w:p>
    <w:p>
      <w:r>
        <w:rPr>
          <w:b/>
          <w:color w:val="0F172A"/>
        </w:rPr>
        <w:t xml:space="preserve">Homepage H1: </w:t>
      </w:r>
      <w:r>
        <w:t>Run every shoot from one place.</w:t>
      </w:r>
    </w:p>
    <w:p>
      <w:r>
        <w:rPr>
          <w:b/>
          <w:color w:val="0F172A"/>
        </w:rPr>
        <w:t xml:space="preserve">Homepage supporting copy: </w:t>
      </w:r>
      <w:r>
        <w:t>Manage requests, estimates, scheduling, client communication, media review, payments, and delivery without stitching together five different tools.</w:t>
      </w:r>
    </w:p>
    <w:p>
      <w:r>
        <w:rPr>
          <w:b/>
          <w:color w:val="0F172A"/>
        </w:rPr>
        <w:t xml:space="preserve">Primary CTA: </w:t>
      </w:r>
      <w:r>
        <w:t>Get Started (use Start Free only when a true free plan/trial exists)</w:t>
      </w:r>
    </w:p>
    <w:p>
      <w:r>
        <w:rPr>
          <w:b/>
          <w:color w:val="0F172A"/>
        </w:rPr>
        <w:t xml:space="preserve">Secondary CTA: </w:t>
      </w:r>
      <w:r>
        <w:t>View Demo</w:t>
      </w:r>
    </w:p>
    <w:p>
      <w:r>
        <w:rPr>
          <w:b/>
          <w:color w:val="0F172A"/>
        </w:rPr>
        <w:t xml:space="preserve">SEO title: </w:t>
      </w:r>
      <w:r>
        <w:t>ShootPortal | Client &amp; Project Management for Media Professionals</w:t>
      </w:r>
    </w:p>
    <w:p>
      <w:r>
        <w:rPr>
          <w:b/>
          <w:color w:val="0F172A"/>
        </w:rPr>
        <w:t xml:space="preserve">Meta description: </w:t>
      </w:r>
      <w:r>
        <w:t>Manage estimates, scheduling, client communication, media review, payments, and delivery from one professional portal built for photographers, videographers, drone operators, and media teams.</w:t>
      </w:r>
    </w:p>
    <w:p>
      <w:pPr>
        <w:pStyle w:val="Heading2"/>
      </w:pPr>
      <w:r>
        <w:t>Six product pillars</w:t>
      </w:r>
    </w:p>
    <w:p>
      <w:r>
        <w:rPr>
          <w:b/>
          <w:color w:val="0F172A"/>
        </w:rPr>
        <w:t xml:space="preserve">Capture Leads: </w:t>
      </w:r>
      <w:r>
        <w:t>Project request forms and preliminary estimates.</w:t>
      </w:r>
    </w:p>
    <w:p>
      <w:r>
        <w:rPr>
          <w:b/>
          <w:color w:val="0F172A"/>
        </w:rPr>
        <w:t xml:space="preserve">Send Estimates: </w:t>
      </w:r>
      <w:r>
        <w:t>Turn preliminary pricing into official client-ready estimates.</w:t>
      </w:r>
    </w:p>
    <w:p>
      <w:r>
        <w:rPr>
          <w:b/>
          <w:color w:val="0F172A"/>
        </w:rPr>
        <w:t xml:space="preserve">Schedule Shoots: </w:t>
      </w:r>
      <w:r>
        <w:t>Propose dates/times and let clients approve inside the portal.</w:t>
      </w:r>
    </w:p>
    <w:p>
      <w:r>
        <w:rPr>
          <w:b/>
          <w:color w:val="0F172A"/>
        </w:rPr>
        <w:t xml:space="preserve">Manage Projects: </w:t>
      </w:r>
      <w:r>
        <w:t>Track work through the tenant’s project workflow.</w:t>
      </w:r>
    </w:p>
    <w:p>
      <w:r>
        <w:rPr>
          <w:b/>
          <w:color w:val="0F172A"/>
        </w:rPr>
        <w:t xml:space="preserve">Review &amp; Deliver: </w:t>
      </w:r>
      <w:r>
        <w:t>Upload and present media for review and final delivery.</w:t>
      </w:r>
    </w:p>
    <w:p>
      <w:r>
        <w:rPr>
          <w:b/>
          <w:color w:val="0F172A"/>
        </w:rPr>
        <w:t xml:space="preserve">Get Paid: </w:t>
      </w:r>
      <w:r>
        <w:t>Collect payment from the same project experience.</w:t>
      </w:r>
    </w:p>
    <w:p>
      <w:pPr>
        <w:pStyle w:val="Heading1"/>
      </w:pPr>
      <w:r>
        <w:t>10. Domain, App, and Email Conventions</w:t>
      </w:r>
    </w:p>
    <w:p>
      <w:r>
        <w:rPr>
          <w:b/>
          <w:color w:val="0F172A"/>
        </w:rPr>
        <w:t xml:space="preserve">Marketing domain: </w:t>
      </w:r>
      <w:r>
        <w:t>shootportal.app</w:t>
      </w:r>
    </w:p>
    <w:p>
      <w:r>
        <w:rPr>
          <w:b/>
          <w:color w:val="0F172A"/>
        </w:rPr>
        <w:t xml:space="preserve">Recommended canonical app host: </w:t>
      </w:r>
      <w:r>
        <w:t>app.shootportal.app (or equivalent role-aware app routing, if migration is safe)</w:t>
      </w:r>
    </w:p>
    <w:p>
      <w:r>
        <w:rPr>
          <w:b/>
          <w:color w:val="0F172A"/>
        </w:rPr>
        <w:t xml:space="preserve">Tenant subdomain concept: </w:t>
      </w:r>
      <w:r>
        <w:t>businessname.shootportal.app</w:t>
      </w:r>
    </w:p>
    <w:p>
      <w:r>
        <w:rPr>
          <w:b/>
          <w:color w:val="0F172A"/>
        </w:rPr>
        <w:t xml:space="preserve">Custom domain concept: </w:t>
      </w:r>
      <w:r>
        <w:t>portal.clientbusiness.com mapped to the correct tenant</w:t>
      </w:r>
    </w:p>
    <w:p>
      <w:pPr>
        <w:pStyle w:val="ListBullet"/>
      </w:pPr>
      <w:r>
        <w:t>Do not make portal.swiftaerialmedia.com the permanent canonical identity of the SaaS. Preserve it as a tenant/custom-domain route if needed.</w:t>
      </w:r>
    </w:p>
    <w:p>
      <w:pPr>
        <w:pStyle w:val="ListBullet"/>
      </w:pPr>
      <w:r>
        <w:t>Custom domains must resolve tenant identity securely; do not infer tenant from user-provided request data.</w:t>
      </w:r>
    </w:p>
    <w:p>
      <w:r>
        <w:rPr>
          <w:b/>
          <w:color w:val="0F172A"/>
        </w:rPr>
        <w:t xml:space="preserve">Platform system email: </w:t>
      </w:r>
      <w:r>
        <w:t>notifications@shootportal.app (when platform-owned sending is appropriate)</w:t>
      </w:r>
    </w:p>
    <w:p>
      <w:r>
        <w:rPr>
          <w:b/>
          <w:color w:val="0F172A"/>
        </w:rPr>
        <w:t xml:space="preserve">Support: </w:t>
      </w:r>
      <w:r>
        <w:t>support@shootportal.app</w:t>
      </w:r>
    </w:p>
    <w:p>
      <w:r>
        <w:rPr>
          <w:b/>
          <w:color w:val="0F172A"/>
        </w:rPr>
        <w:t xml:space="preserve">General contact: </w:t>
      </w:r>
      <w:r>
        <w:t>hello@shootportal.app</w:t>
      </w:r>
    </w:p>
    <w:p>
      <w:pPr>
        <w:pStyle w:val="ListBullet"/>
      </w:pPr>
      <w:r>
        <w:t>Long term: tenant-branded/custom sending may be a premium/white-label feature. Avoid architecture that makes verified sender/domain migration unnecessarily hard.</w:t>
      </w:r>
    </w:p>
    <w:p>
      <w:pPr>
        <w:pStyle w:val="Heading1"/>
      </w:pPr>
      <w:r>
        <w:t>11. Instructions Claude Must Carry Into Cursor Prompts</w:t>
      </w:r>
    </w:p>
    <w:p>
      <w:r>
        <w:t>These are implementation guardrails, not optional design suggestions:</w:t>
      </w:r>
    </w:p>
    <w:p>
      <w:pPr>
        <w:pStyle w:val="ListBullet"/>
      </w:pPr>
      <w:r>
        <w:t>Inspect existing code before changing anything. Do not assume the current schema/auth/storage/payment/email architecture.</w:t>
      </w:r>
    </w:p>
    <w:p>
      <w:pPr>
        <w:pStyle w:val="ListBullet"/>
      </w:pPr>
      <w:r>
        <w:t>Preserve existing Swift Aerial Media clients, projects, estimates, messages, media, payment records, and workflow behavior.</w:t>
      </w:r>
    </w:p>
    <w:p>
      <w:pPr>
        <w:pStyle w:val="ListBullet"/>
      </w:pPr>
      <w:r>
        <w:t>Migrate Swift Aerial Media into the first tenant/business instead of rebuilding from scratch.</w:t>
      </w:r>
    </w:p>
    <w:p>
      <w:pPr>
        <w:pStyle w:val="ListBullet"/>
      </w:pPr>
      <w:r>
        <w:t>Replace hardcoded Swift branding, pricing, service options, stage labels, sender details, and business assumptions with tenant-aware configuration only after identifying every current dependency.</w:t>
      </w:r>
    </w:p>
    <w:p>
      <w:pPr>
        <w:pStyle w:val="ListBullet"/>
      </w:pPr>
      <w:r>
        <w:t>Enforce tenant isolation at the database/security layer (for example RLS where applicable), not just by hiding UI.</w:t>
      </w:r>
    </w:p>
    <w:p>
      <w:pPr>
        <w:pStyle w:val="ListBullet"/>
      </w:pPr>
      <w:r>
        <w:t>Never allow Business A to read/write Business B clients, projects, media, messages, estimates, payments, services, settings, or team data.</w:t>
      </w:r>
    </w:p>
    <w:p>
      <w:pPr>
        <w:pStyle w:val="ListBullet"/>
      </w:pPr>
      <w:r>
        <w:t>Keep client routing and branding deterministically attached to the correct tenant.</w:t>
      </w:r>
    </w:p>
    <w:p>
      <w:pPr>
        <w:pStyle w:val="ListBullet"/>
      </w:pPr>
      <w:r>
        <w:t>Do not rename or restructure stable internal identifiers merely to make them match the marketing terminology if that increases migration risk.</w:t>
      </w:r>
    </w:p>
    <w:p>
      <w:pPr>
        <w:pStyle w:val="ListBullet"/>
      </w:pPr>
      <w:r>
        <w:t>When pipeline labels become editable, do not couple critical workflow behavior to mutable display text.</w:t>
      </w:r>
    </w:p>
    <w:p>
      <w:pPr>
        <w:pStyle w:val="ListBullet"/>
      </w:pPr>
      <w:r>
        <w:t>Use the ShootPortal visual tokens and terminology for new shared SaaS UI, while allowing tenant branding in explicitly configurable client-facing areas.</w:t>
      </w:r>
    </w:p>
    <w:p>
      <w:pPr>
        <w:pStyle w:val="ListBullet"/>
      </w:pPr>
      <w:r>
        <w:t>Every Cursor phase should include validation for existing Swift tenant behavior plus a second-tenant isolation test where relevant.</w:t>
      </w:r>
    </w:p>
    <w:p>
      <w:pPr>
        <w:pStyle w:val="ListBullet"/>
      </w:pPr>
      <w:r>
        <w:t>Prefer reversible database migrations and incremental releases. Avoid “big bang” rewrites.</w:t>
      </w:r>
    </w:p>
    <w:p>
      <w:pPr>
        <w:pStyle w:val="ListBullet"/>
      </w:pPr>
      <w:r>
        <w:t>Do not modify unrelated working functionality in the same Cursor prompt.</w:t>
      </w:r>
    </w:p>
    <w:p>
      <w:pPr>
        <w:pStyle w:val="Heading1"/>
      </w:pPr>
      <w:r>
        <w:t>12. Things ShootPortal Should Not Become</w:t>
      </w:r>
    </w:p>
    <w:p>
      <w:pPr>
        <w:pStyle w:val="ListBullet"/>
      </w:pPr>
      <w:r>
        <w:t>A drone-only product.</w:t>
      </w:r>
    </w:p>
    <w:p>
      <w:pPr>
        <w:pStyle w:val="ListBullet"/>
      </w:pPr>
      <w:r>
        <w:t>A photography-only product.</w:t>
      </w:r>
    </w:p>
    <w:p>
      <w:pPr>
        <w:pStyle w:val="ListBullet"/>
      </w:pPr>
      <w:r>
        <w:t>A generic enterprise CRM with media delivery bolted on.</w:t>
      </w:r>
    </w:p>
    <w:p>
      <w:pPr>
        <w:pStyle w:val="ListBullet"/>
      </w:pPr>
      <w:r>
        <w:t>A Dropbox clone whose main value is file storage.</w:t>
      </w:r>
    </w:p>
    <w:p>
      <w:pPr>
        <w:pStyle w:val="ListBullet"/>
      </w:pPr>
      <w:r>
        <w:t>A visually noisy, gradient-heavy, gimmicky creator app.</w:t>
      </w:r>
    </w:p>
    <w:p>
      <w:pPr>
        <w:pStyle w:val="ListBullet"/>
      </w:pPr>
      <w:r>
        <w:t>A system where client-facing pages expose internal CRM jargon.</w:t>
      </w:r>
    </w:p>
    <w:p>
      <w:pPr>
        <w:pStyle w:val="ListBullet"/>
      </w:pPr>
      <w:r>
        <w:t>A collection of one-off tenant customizations that cannot scale.</w:t>
      </w:r>
    </w:p>
    <w:p>
      <w:pPr>
        <w:pStyle w:val="ListBullet"/>
      </w:pPr>
      <w:r>
        <w:t>A white-label system that sacrifices tenant isolation or security for convenience.</w:t>
      </w:r>
    </w:p>
    <w:p>
      <w:pPr>
        <w:pStyle w:val="Heading1"/>
      </w:pPr>
      <w:r>
        <w:t>13. Quick Reference</w:t>
      </w:r>
    </w:p>
    <w:tbl>
      <w:tblPr>
        <w:tblStyle w:val="TableGrid"/>
        <w:tblW w:type="auto" w:w="0"/>
        <w:tblLook w:firstColumn="1" w:firstRow="1" w:lastColumn="0" w:lastRow="0" w:noHBand="0" w:noVBand="1" w:val="04A0"/>
      </w:tblPr>
      <w:tblGrid>
        <w:gridCol w:w="5040"/>
        <w:gridCol w:w="5040"/>
      </w:tblGrid>
      <w:tr>
        <w:tc>
          <w:tcPr>
            <w:tcW w:type="dxa" w:w="5040"/>
            <w:shd w:fill="F1F5F9"/>
            <w:tcMar>
              <w:top w:w="90" w:type="dxa"/>
              <w:start w:w="100" w:type="dxa"/>
              <w:bottom w:w="90" w:type="dxa"/>
              <w:end w:w="100" w:type="dxa"/>
            </w:tcMar>
          </w:tcPr>
          <w:p>
            <w:r>
              <w:rPr>
                <w:b/>
              </w:rPr>
              <w:t>Brand</w:t>
            </w:r>
          </w:p>
        </w:tc>
        <w:tc>
          <w:tcPr>
            <w:tcW w:type="dxa" w:w="5040"/>
            <w:tcMar>
              <w:top w:w="90" w:type="dxa"/>
              <w:start w:w="100" w:type="dxa"/>
              <w:bottom w:w="90" w:type="dxa"/>
              <w:end w:w="100" w:type="dxa"/>
            </w:tcMar>
          </w:tcPr>
          <w:p>
            <w:r>
              <w:t>ShootPortal</w:t>
            </w:r>
          </w:p>
        </w:tc>
      </w:tr>
      <w:tr>
        <w:tc>
          <w:tcPr>
            <w:tcW w:type="dxa" w:w="5040"/>
            <w:shd w:fill="F1F5F9"/>
            <w:tcMar>
              <w:top w:w="90" w:type="dxa"/>
              <w:start w:w="100" w:type="dxa"/>
              <w:bottom w:w="90" w:type="dxa"/>
              <w:end w:w="100" w:type="dxa"/>
            </w:tcMar>
          </w:tcPr>
          <w:p>
            <w:r>
              <w:rPr>
                <w:b/>
              </w:rPr>
              <w:t>Domain</w:t>
            </w:r>
          </w:p>
        </w:tc>
        <w:tc>
          <w:tcPr>
            <w:tcW w:type="dxa" w:w="5040"/>
            <w:tcMar>
              <w:top w:w="90" w:type="dxa"/>
              <w:start w:w="100" w:type="dxa"/>
              <w:bottom w:w="90" w:type="dxa"/>
              <w:end w:w="100" w:type="dxa"/>
            </w:tcMar>
          </w:tcPr>
          <w:p>
            <w:r>
              <w:t>shootportal.app</w:t>
            </w:r>
          </w:p>
        </w:tc>
      </w:tr>
      <w:tr>
        <w:tc>
          <w:tcPr>
            <w:tcW w:type="dxa" w:w="5040"/>
            <w:shd w:fill="F1F5F9"/>
            <w:tcMar>
              <w:top w:w="90" w:type="dxa"/>
              <w:start w:w="100" w:type="dxa"/>
              <w:bottom w:w="90" w:type="dxa"/>
              <w:end w:w="100" w:type="dxa"/>
            </w:tcMar>
          </w:tcPr>
          <w:p>
            <w:r>
              <w:rPr>
                <w:b/>
              </w:rPr>
              <w:t>Tagline</w:t>
            </w:r>
          </w:p>
        </w:tc>
        <w:tc>
          <w:tcPr>
            <w:tcW w:type="dxa" w:w="5040"/>
            <w:tcMar>
              <w:top w:w="90" w:type="dxa"/>
              <w:start w:w="100" w:type="dxa"/>
              <w:bottom w:w="90" w:type="dxa"/>
              <w:end w:w="100" w:type="dxa"/>
            </w:tcMar>
          </w:tcPr>
          <w:p>
            <w:r>
              <w:t>From request to delivery. One portal.</w:t>
            </w:r>
          </w:p>
        </w:tc>
      </w:tr>
      <w:tr>
        <w:tc>
          <w:tcPr>
            <w:tcW w:type="dxa" w:w="5040"/>
            <w:shd w:fill="F1F5F9"/>
            <w:tcMar>
              <w:top w:w="90" w:type="dxa"/>
              <w:start w:w="100" w:type="dxa"/>
              <w:bottom w:w="90" w:type="dxa"/>
              <w:end w:w="100" w:type="dxa"/>
            </w:tcMar>
          </w:tcPr>
          <w:p>
            <w:r>
              <w:rPr>
                <w:b/>
              </w:rPr>
              <w:t>Hero</w:t>
            </w:r>
          </w:p>
        </w:tc>
        <w:tc>
          <w:tcPr>
            <w:tcW w:type="dxa" w:w="5040"/>
            <w:tcMar>
              <w:top w:w="90" w:type="dxa"/>
              <w:start w:w="100" w:type="dxa"/>
              <w:bottom w:w="90" w:type="dxa"/>
              <w:end w:w="100" w:type="dxa"/>
            </w:tcMar>
          </w:tcPr>
          <w:p>
            <w:r>
              <w:t>Run every shoot from one place.</w:t>
            </w:r>
          </w:p>
        </w:tc>
      </w:tr>
      <w:tr>
        <w:tc>
          <w:tcPr>
            <w:tcW w:type="dxa" w:w="5040"/>
            <w:shd w:fill="F1F5F9"/>
            <w:tcMar>
              <w:top w:w="90" w:type="dxa"/>
              <w:start w:w="100" w:type="dxa"/>
              <w:bottom w:w="90" w:type="dxa"/>
              <w:end w:w="100" w:type="dxa"/>
            </w:tcMar>
          </w:tcPr>
          <w:p>
            <w:r>
              <w:rPr>
                <w:b/>
              </w:rPr>
              <w:t>Workflow</w:t>
            </w:r>
          </w:p>
        </w:tc>
        <w:tc>
          <w:tcPr>
            <w:tcW w:type="dxa" w:w="5040"/>
            <w:tcMar>
              <w:top w:w="90" w:type="dxa"/>
              <w:start w:w="100" w:type="dxa"/>
              <w:bottom w:w="90" w:type="dxa"/>
              <w:end w:w="100" w:type="dxa"/>
            </w:tcMar>
          </w:tcPr>
          <w:p>
            <w:r>
              <w:t>Request → Estimate → Schedule → Shoot → Review → Pay → Deliver</w:t>
            </w:r>
          </w:p>
        </w:tc>
      </w:tr>
      <w:tr>
        <w:tc>
          <w:tcPr>
            <w:tcW w:type="dxa" w:w="5040"/>
            <w:shd w:fill="F1F5F9"/>
            <w:tcMar>
              <w:top w:w="90" w:type="dxa"/>
              <w:start w:w="100" w:type="dxa"/>
              <w:bottom w:w="90" w:type="dxa"/>
              <w:end w:w="100" w:type="dxa"/>
            </w:tcMar>
          </w:tcPr>
          <w:p>
            <w:r>
              <w:rPr>
                <w:b/>
              </w:rPr>
              <w:t>Audience</w:t>
            </w:r>
          </w:p>
        </w:tc>
        <w:tc>
          <w:tcPr>
            <w:tcW w:type="dxa" w:w="5040"/>
            <w:tcMar>
              <w:top w:w="90" w:type="dxa"/>
              <w:start w:w="100" w:type="dxa"/>
              <w:bottom w:w="90" w:type="dxa"/>
              <w:end w:w="100" w:type="dxa"/>
            </w:tcMar>
          </w:tcPr>
          <w:p>
            <w:r>
              <w:t>Media professionals and media businesses</w:t>
            </w:r>
          </w:p>
        </w:tc>
      </w:tr>
      <w:tr>
        <w:tc>
          <w:tcPr>
            <w:tcW w:type="dxa" w:w="5040"/>
            <w:shd w:fill="F1F5F9"/>
            <w:tcMar>
              <w:top w:w="90" w:type="dxa"/>
              <w:start w:w="100" w:type="dxa"/>
              <w:bottom w:w="90" w:type="dxa"/>
              <w:end w:w="100" w:type="dxa"/>
            </w:tcMar>
          </w:tcPr>
          <w:p>
            <w:r>
              <w:rPr>
                <w:b/>
              </w:rPr>
              <w:t>Primary color</w:t>
            </w:r>
          </w:p>
        </w:tc>
        <w:tc>
          <w:tcPr>
            <w:tcW w:type="dxa" w:w="5040"/>
            <w:tcMar>
              <w:top w:w="90" w:type="dxa"/>
              <w:start w:w="100" w:type="dxa"/>
              <w:bottom w:w="90" w:type="dxa"/>
              <w:end w:w="100" w:type="dxa"/>
            </w:tcMar>
          </w:tcPr>
          <w:p>
            <w:r>
              <w:t>#4F46E5</w:t>
            </w:r>
          </w:p>
        </w:tc>
      </w:tr>
      <w:tr>
        <w:tc>
          <w:tcPr>
            <w:tcW w:type="dxa" w:w="5040"/>
            <w:shd w:fill="F1F5F9"/>
            <w:tcMar>
              <w:top w:w="90" w:type="dxa"/>
              <w:start w:w="100" w:type="dxa"/>
              <w:bottom w:w="90" w:type="dxa"/>
              <w:end w:w="100" w:type="dxa"/>
            </w:tcMar>
          </w:tcPr>
          <w:p>
            <w:r>
              <w:rPr>
                <w:b/>
              </w:rPr>
              <w:t>Dark</w:t>
            </w:r>
          </w:p>
        </w:tc>
        <w:tc>
          <w:tcPr>
            <w:tcW w:type="dxa" w:w="5040"/>
            <w:tcMar>
              <w:top w:w="90" w:type="dxa"/>
              <w:start w:w="100" w:type="dxa"/>
              <w:bottom w:w="90" w:type="dxa"/>
              <w:end w:w="100" w:type="dxa"/>
            </w:tcMar>
          </w:tcPr>
          <w:p>
            <w:r>
              <w:t>#0F172A</w:t>
            </w:r>
          </w:p>
        </w:tc>
      </w:tr>
      <w:tr>
        <w:tc>
          <w:tcPr>
            <w:tcW w:type="dxa" w:w="5040"/>
            <w:shd w:fill="F1F5F9"/>
            <w:tcMar>
              <w:top w:w="90" w:type="dxa"/>
              <w:start w:w="100" w:type="dxa"/>
              <w:bottom w:w="90" w:type="dxa"/>
              <w:end w:w="100" w:type="dxa"/>
            </w:tcMar>
          </w:tcPr>
          <w:p>
            <w:r>
              <w:rPr>
                <w:b/>
              </w:rPr>
              <w:t>Background</w:t>
            </w:r>
          </w:p>
        </w:tc>
        <w:tc>
          <w:tcPr>
            <w:tcW w:type="dxa" w:w="5040"/>
            <w:tcMar>
              <w:top w:w="90" w:type="dxa"/>
              <w:start w:w="100" w:type="dxa"/>
              <w:bottom w:w="90" w:type="dxa"/>
              <w:end w:w="100" w:type="dxa"/>
            </w:tcMar>
          </w:tcPr>
          <w:p>
            <w:r>
              <w:t>#F8FAFC</w:t>
            </w:r>
          </w:p>
        </w:tc>
      </w:tr>
      <w:tr>
        <w:tc>
          <w:tcPr>
            <w:tcW w:type="dxa" w:w="5040"/>
            <w:shd w:fill="F1F5F9"/>
            <w:tcMar>
              <w:top w:w="90" w:type="dxa"/>
              <w:start w:w="100" w:type="dxa"/>
              <w:bottom w:w="90" w:type="dxa"/>
              <w:end w:w="100" w:type="dxa"/>
            </w:tcMar>
          </w:tcPr>
          <w:p>
            <w:r>
              <w:rPr>
                <w:b/>
              </w:rPr>
              <w:t>Font</w:t>
            </w:r>
          </w:p>
        </w:tc>
        <w:tc>
          <w:tcPr>
            <w:tcW w:type="dxa" w:w="5040"/>
            <w:tcMar>
              <w:top w:w="90" w:type="dxa"/>
              <w:start w:w="100" w:type="dxa"/>
              <w:bottom w:w="90" w:type="dxa"/>
              <w:end w:w="100" w:type="dxa"/>
            </w:tcMar>
          </w:tcPr>
          <w:p>
            <w:r>
              <w:t>Inter</w:t>
            </w:r>
          </w:p>
        </w:tc>
      </w:tr>
      <w:tr>
        <w:tc>
          <w:tcPr>
            <w:tcW w:type="dxa" w:w="5040"/>
            <w:shd w:fill="F1F5F9"/>
            <w:tcMar>
              <w:top w:w="90" w:type="dxa"/>
              <w:start w:w="100" w:type="dxa"/>
              <w:bottom w:w="90" w:type="dxa"/>
              <w:end w:w="100" w:type="dxa"/>
            </w:tcMar>
          </w:tcPr>
          <w:p>
            <w:r>
              <w:rPr>
                <w:b/>
              </w:rPr>
              <w:t>Icons</w:t>
            </w:r>
          </w:p>
        </w:tc>
        <w:tc>
          <w:tcPr>
            <w:tcW w:type="dxa" w:w="5040"/>
            <w:tcMar>
              <w:top w:w="90" w:type="dxa"/>
              <w:start w:w="100" w:type="dxa"/>
              <w:bottom w:w="90" w:type="dxa"/>
              <w:end w:w="100" w:type="dxa"/>
            </w:tcMar>
          </w:tcPr>
          <w:p>
            <w:r>
              <w:t>Lucide</w:t>
            </w:r>
          </w:p>
        </w:tc>
      </w:tr>
      <w:tr>
        <w:tc>
          <w:tcPr>
            <w:tcW w:type="dxa" w:w="5040"/>
            <w:shd w:fill="F1F5F9"/>
            <w:tcMar>
              <w:top w:w="90" w:type="dxa"/>
              <w:start w:w="100" w:type="dxa"/>
              <w:bottom w:w="90" w:type="dxa"/>
              <w:end w:w="100" w:type="dxa"/>
            </w:tcMar>
          </w:tcPr>
          <w:p>
            <w:r>
              <w:rPr>
                <w:b/>
              </w:rPr>
              <w:t>Core system term</w:t>
            </w:r>
          </w:p>
        </w:tc>
        <w:tc>
          <w:tcPr>
            <w:tcW w:type="dxa" w:w="5040"/>
            <w:tcMar>
              <w:top w:w="90" w:type="dxa"/>
              <w:start w:w="100" w:type="dxa"/>
              <w:bottom w:w="90" w:type="dxa"/>
              <w:end w:w="100" w:type="dxa"/>
            </w:tcMar>
          </w:tcPr>
          <w:p>
            <w:r>
              <w:t>Project</w:t>
            </w:r>
          </w:p>
        </w:tc>
      </w:tr>
      <w:tr>
        <w:tc>
          <w:tcPr>
            <w:tcW w:type="dxa" w:w="5040"/>
            <w:shd w:fill="F1F5F9"/>
            <w:tcMar>
              <w:top w:w="90" w:type="dxa"/>
              <w:start w:w="100" w:type="dxa"/>
              <w:bottom w:w="90" w:type="dxa"/>
              <w:end w:w="100" w:type="dxa"/>
            </w:tcMar>
          </w:tcPr>
          <w:p>
            <w:r>
              <w:rPr>
                <w:b/>
              </w:rPr>
              <w:t>Tenant term</w:t>
            </w:r>
          </w:p>
        </w:tc>
        <w:tc>
          <w:tcPr>
            <w:tcW w:type="dxa" w:w="5040"/>
            <w:tcMar>
              <w:top w:w="90" w:type="dxa"/>
              <w:start w:w="100" w:type="dxa"/>
              <w:bottom w:w="90" w:type="dxa"/>
              <w:end w:w="100" w:type="dxa"/>
            </w:tcMar>
          </w:tcPr>
          <w:p>
            <w:r>
              <w:t>Business / Tenant</w:t>
            </w:r>
          </w:p>
        </w:tc>
      </w:tr>
      <w:tr>
        <w:tc>
          <w:tcPr>
            <w:tcW w:type="dxa" w:w="5040"/>
            <w:shd w:fill="F1F5F9"/>
            <w:tcMar>
              <w:top w:w="90" w:type="dxa"/>
              <w:start w:w="100" w:type="dxa"/>
              <w:bottom w:w="90" w:type="dxa"/>
              <w:end w:w="100" w:type="dxa"/>
            </w:tcMar>
          </w:tcPr>
          <w:p>
            <w:r>
              <w:rPr>
                <w:b/>
              </w:rPr>
              <w:t>Client term</w:t>
            </w:r>
          </w:p>
        </w:tc>
        <w:tc>
          <w:tcPr>
            <w:tcW w:type="dxa" w:w="5040"/>
            <w:tcMar>
              <w:top w:w="90" w:type="dxa"/>
              <w:start w:w="100" w:type="dxa"/>
              <w:bottom w:w="90" w:type="dxa"/>
              <w:end w:w="100" w:type="dxa"/>
            </w:tcMar>
          </w:tcPr>
          <w:p>
            <w:r>
              <w:t>Client</w:t>
            </w:r>
          </w:p>
        </w:tc>
      </w:tr>
      <w:tr>
        <w:tc>
          <w:tcPr>
            <w:tcW w:type="dxa" w:w="5040"/>
            <w:shd w:fill="F1F5F9"/>
            <w:tcMar>
              <w:top w:w="90" w:type="dxa"/>
              <w:start w:w="100" w:type="dxa"/>
              <w:bottom w:w="90" w:type="dxa"/>
              <w:end w:w="100" w:type="dxa"/>
            </w:tcMar>
          </w:tcPr>
          <w:p>
            <w:r>
              <w:rPr>
                <w:b/>
              </w:rPr>
              <w:t>Product goal</w:t>
            </w:r>
          </w:p>
        </w:tc>
        <w:tc>
          <w:tcPr>
            <w:tcW w:type="dxa" w:w="5040"/>
            <w:tcMar>
              <w:top w:w="90" w:type="dxa"/>
              <w:start w:w="100" w:type="dxa"/>
              <w:bottom w:w="90" w:type="dxa"/>
              <w:end w:w="100" w:type="dxa"/>
            </w:tcMar>
          </w:tcPr>
          <w:p>
            <w:r>
              <w:t>Manage the complete client journey from request through delivery</w:t>
            </w:r>
          </w:p>
        </w:tc>
      </w:tr>
    </w:tbl>
    <w:p>
      <w:pPr>
        <w:spacing w:before="280"/>
      </w:pPr>
      <w:r>
        <w:rPr>
          <w:b/>
          <w:color w:val="4F46E5"/>
        </w:rPr>
        <w:t xml:space="preserve">Final directive for Claude: </w:t>
      </w:r>
      <w:r>
        <w:t>Treat this document as the brand/UX source of truth, but treat the existing codebase as the technical source of truth. When the two conflict, preserve data, security, and working behavior first, then migrate incrementally toward this brand system.</w:t>
      </w:r>
    </w:p>
    <w:sectPr w:rsidR="00FC693F" w:rsidRPr="0006063C" w:rsidSect="00034616">
      <w:footerReference w:type="default" r:id="rId10"/>
      <w:pgSz w:w="12240" w:h="15840"/>
      <w:pgMar w:top="864"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4A3B8"/>
        <w:sz w:val="16"/>
      </w:rPr>
      <w:t>ShootPortal Brand Source of Truth  •  shootportal.app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47556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0F172A"/>
      <w:sz w:val="4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4F46E5"/>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0F17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F172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