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C72C" w14:textId="0805C58F" w:rsidR="00453F1A" w:rsidRDefault="00B174FE" w:rsidP="00BA1BBB">
      <w:pPr>
        <w:spacing w:line="240" w:lineRule="auto"/>
      </w:pPr>
      <w:r>
        <w:t>Jadd</w:t>
      </w:r>
      <w:bookmarkStart w:id="0" w:name="_GoBack"/>
      <w:bookmarkEnd w:id="0"/>
      <w:r>
        <w:t xml:space="preserve"> Cheng</w:t>
      </w:r>
    </w:p>
    <w:p w14:paraId="6078ACA7" w14:textId="7A0FFB62" w:rsidR="00BA1BBB" w:rsidRDefault="00BA1BBB" w:rsidP="00BA1BBB">
      <w:pPr>
        <w:spacing w:line="240" w:lineRule="auto"/>
      </w:pPr>
      <w:r>
        <w:t>UT Boot Camp Data</w:t>
      </w:r>
    </w:p>
    <w:p w14:paraId="00311A47" w14:textId="13CBAF03" w:rsidR="00BA1BBB" w:rsidRDefault="00BA1BBB" w:rsidP="00BA1BBB">
      <w:pPr>
        <w:spacing w:line="240" w:lineRule="auto"/>
      </w:pPr>
      <w:r>
        <w:t>Excel Homework</w:t>
      </w:r>
    </w:p>
    <w:p w14:paraId="63318F44" w14:textId="23C655BB" w:rsidR="00B174FE" w:rsidRDefault="00B174FE" w:rsidP="00BA1BBB">
      <w:pPr>
        <w:spacing w:line="240" w:lineRule="auto"/>
      </w:pPr>
      <w:r w:rsidRPr="00B174FE">
        <w:t>July 27, 2019</w:t>
      </w:r>
    </w:p>
    <w:p w14:paraId="0AD3B0F7" w14:textId="6D8DA810" w:rsidR="00BA1BBB" w:rsidRDefault="00BA1BBB" w:rsidP="00BA1BBB">
      <w:pPr>
        <w:spacing w:line="240" w:lineRule="auto"/>
      </w:pPr>
      <w:hyperlink r:id="rId7" w:history="1">
        <w:r>
          <w:rPr>
            <w:rStyle w:val="Hyperlink"/>
          </w:rPr>
          <w:t>https://github.com/jlcatx512/excelhomework</w:t>
        </w:r>
      </w:hyperlink>
    </w:p>
    <w:p w14:paraId="10349489" w14:textId="77777777" w:rsidR="009D12A0" w:rsidRDefault="009D12A0" w:rsidP="00B174FE"/>
    <w:p w14:paraId="4E1AFD34" w14:textId="522BCE05" w:rsidR="00BA1BBB" w:rsidRPr="00BA1BBB" w:rsidRDefault="00BA1BBB" w:rsidP="00BA1BBB">
      <w:pPr>
        <w:numPr>
          <w:ilvl w:val="0"/>
          <w:numId w:val="2"/>
        </w:numPr>
        <w:rPr>
          <w:b/>
          <w:bCs/>
        </w:rPr>
      </w:pPr>
      <w:r w:rsidRPr="00BA1BBB">
        <w:rPr>
          <w:b/>
          <w:bCs/>
        </w:rPr>
        <w:t>Given the provided data, what are three conclusions we can draw about Kickstarter campaigns?</w:t>
      </w:r>
    </w:p>
    <w:p w14:paraId="4FBEE3FE" w14:textId="125AAA05" w:rsidR="00901502" w:rsidRDefault="00901502" w:rsidP="00BA1BBB">
      <w:r>
        <w:t>The first conclusion is that there is a strong correlation between a project’s category and its funding success rate.</w:t>
      </w:r>
    </w:p>
    <w:p w14:paraId="7E6153EA" w14:textId="72506C61" w:rsidR="00B50EE0" w:rsidRDefault="00901502" w:rsidP="00BA1BBB">
      <w:r>
        <w:t>P</w:t>
      </w:r>
      <w:r w:rsidR="00C14811">
        <w:t xml:space="preserve">rojects related to the </w:t>
      </w:r>
      <w:r w:rsidR="00B50EE0">
        <w:t>p</w:t>
      </w:r>
      <w:r w:rsidR="00BA1BBB">
        <w:t>erforming arts</w:t>
      </w:r>
      <w:r w:rsidR="00B50EE0">
        <w:t xml:space="preserve"> </w:t>
      </w:r>
      <w:r>
        <w:t>--</w:t>
      </w:r>
      <w:r w:rsidR="00BA1BBB">
        <w:t xml:space="preserve"> </w:t>
      </w:r>
      <w:r w:rsidR="00B50EE0" w:rsidRPr="00A65744">
        <w:rPr>
          <w:b/>
          <w:bCs/>
        </w:rPr>
        <w:t>f</w:t>
      </w:r>
      <w:r w:rsidR="00BA1BBB" w:rsidRPr="00A65744">
        <w:rPr>
          <w:b/>
          <w:bCs/>
        </w:rPr>
        <w:t xml:space="preserve">ilm </w:t>
      </w:r>
      <w:r w:rsidR="00BE3F64" w:rsidRPr="00A65744">
        <w:rPr>
          <w:b/>
          <w:bCs/>
        </w:rPr>
        <w:t xml:space="preserve">&amp; </w:t>
      </w:r>
      <w:r w:rsidR="00BA1BBB" w:rsidRPr="00A65744">
        <w:rPr>
          <w:b/>
          <w:bCs/>
        </w:rPr>
        <w:t>video</w:t>
      </w:r>
      <w:r w:rsidR="00B50EE0" w:rsidRPr="00A65744">
        <w:rPr>
          <w:b/>
          <w:bCs/>
        </w:rPr>
        <w:t>,</w:t>
      </w:r>
      <w:r w:rsidR="00BA1BBB" w:rsidRPr="00A65744">
        <w:rPr>
          <w:b/>
          <w:bCs/>
        </w:rPr>
        <w:t xml:space="preserve"> music</w:t>
      </w:r>
      <w:r w:rsidR="00B50EE0" w:rsidRPr="00A65744">
        <w:rPr>
          <w:b/>
          <w:bCs/>
        </w:rPr>
        <w:t xml:space="preserve"> and</w:t>
      </w:r>
      <w:r w:rsidR="00BA1BBB" w:rsidRPr="00A65744">
        <w:rPr>
          <w:b/>
          <w:bCs/>
        </w:rPr>
        <w:t xml:space="preserve"> theater</w:t>
      </w:r>
      <w:r w:rsidR="00C14811">
        <w:t xml:space="preserve"> </w:t>
      </w:r>
      <w:r>
        <w:t>--</w:t>
      </w:r>
      <w:r w:rsidR="00C14811">
        <w:t xml:space="preserve"> appear to have much higher success rate</w:t>
      </w:r>
      <w:r w:rsidR="00BE3F64">
        <w:t>s</w:t>
      </w:r>
      <w:r w:rsidR="00C14811">
        <w:t xml:space="preserve"> than other</w:t>
      </w:r>
      <w:r>
        <w:t xml:space="preserve"> categories</w:t>
      </w:r>
      <w:r w:rsidR="00C14811">
        <w:t>.</w:t>
      </w:r>
    </w:p>
    <w:p w14:paraId="778EC030" w14:textId="799D2D09" w:rsidR="00C14811" w:rsidRDefault="00901502" w:rsidP="00BA1BBB">
      <w:r>
        <w:t>The success rates of these three categories -- f</w:t>
      </w:r>
      <w:r w:rsidR="00C14811">
        <w:t xml:space="preserve">ilm &amp; </w:t>
      </w:r>
      <w:r>
        <w:t>v</w:t>
      </w:r>
      <w:r w:rsidR="00C14811">
        <w:t xml:space="preserve">ideo </w:t>
      </w:r>
      <w:r>
        <w:t>(</w:t>
      </w:r>
      <w:r w:rsidR="00C14811" w:rsidRPr="006310D9">
        <w:rPr>
          <w:b/>
          <w:bCs/>
        </w:rPr>
        <w:t>58%</w:t>
      </w:r>
      <w:r>
        <w:t>)</w:t>
      </w:r>
      <w:r w:rsidR="00C14811">
        <w:t xml:space="preserve">, music </w:t>
      </w:r>
      <w:r>
        <w:t>(</w:t>
      </w:r>
      <w:r w:rsidR="00C14811" w:rsidRPr="006310D9">
        <w:rPr>
          <w:b/>
          <w:bCs/>
        </w:rPr>
        <w:t>77%</w:t>
      </w:r>
      <w:r>
        <w:t>)</w:t>
      </w:r>
      <w:r w:rsidR="00C14811">
        <w:t xml:space="preserve">, theater </w:t>
      </w:r>
      <w:r>
        <w:t>(</w:t>
      </w:r>
      <w:r w:rsidR="00C14811" w:rsidRPr="006310D9">
        <w:rPr>
          <w:b/>
          <w:bCs/>
        </w:rPr>
        <w:t>60%</w:t>
      </w:r>
      <w:r>
        <w:t>) – all surpassed the dataset’s</w:t>
      </w:r>
      <w:r w:rsidR="00C14811">
        <w:t xml:space="preserve"> </w:t>
      </w:r>
      <w:r>
        <w:t>o</w:t>
      </w:r>
      <w:r w:rsidR="00C14811">
        <w:t xml:space="preserve">verall </w:t>
      </w:r>
      <w:r>
        <w:t xml:space="preserve">average success rate of </w:t>
      </w:r>
      <w:r w:rsidR="00C14811" w:rsidRPr="006310D9">
        <w:rPr>
          <w:b/>
          <w:bCs/>
        </w:rPr>
        <w:t>53%</w:t>
      </w:r>
      <w:r>
        <w:t>.</w:t>
      </w:r>
    </w:p>
    <w:p w14:paraId="1E847B7D" w14:textId="49C7EDB3" w:rsidR="00901502" w:rsidRDefault="00901502" w:rsidP="00BA1BBB">
      <w:r>
        <w:t xml:space="preserve">Meanwhile, categories like </w:t>
      </w:r>
      <w:r w:rsidRPr="00A65744">
        <w:rPr>
          <w:b/>
          <w:bCs/>
        </w:rPr>
        <w:t xml:space="preserve">journalism </w:t>
      </w:r>
      <w:r w:rsidR="006310D9" w:rsidRPr="00A65744">
        <w:rPr>
          <w:b/>
          <w:bCs/>
        </w:rPr>
        <w:t xml:space="preserve">(0%) </w:t>
      </w:r>
      <w:r w:rsidRPr="00A65744">
        <w:rPr>
          <w:b/>
          <w:bCs/>
        </w:rPr>
        <w:t>and food</w:t>
      </w:r>
      <w:r w:rsidR="006310D9" w:rsidRPr="00A65744">
        <w:rPr>
          <w:b/>
          <w:bCs/>
        </w:rPr>
        <w:t xml:space="preserve"> (17%)</w:t>
      </w:r>
      <w:r>
        <w:t xml:space="preserve"> were </w:t>
      </w:r>
      <w:r w:rsidR="006310D9">
        <w:t xml:space="preserve">highly </w:t>
      </w:r>
      <w:r>
        <w:t>unlikely to have successful outcome</w:t>
      </w:r>
      <w:r w:rsidR="006310D9">
        <w:t>s</w:t>
      </w:r>
      <w:r>
        <w:t>.</w:t>
      </w:r>
    </w:p>
    <w:p w14:paraId="61600A13" w14:textId="373EB099" w:rsidR="00C14811" w:rsidRDefault="006310D9" w:rsidP="00BA1BBB">
      <w:r>
        <w:t>The second conclusion is related to the first. S</w:t>
      </w:r>
      <w:r w:rsidR="00C14811">
        <w:t>ub-categories</w:t>
      </w:r>
      <w:r w:rsidR="00A65744">
        <w:t xml:space="preserve"> within categories</w:t>
      </w:r>
      <w:r w:rsidR="00C14811">
        <w:t xml:space="preserve"> had dramatically different success rates.</w:t>
      </w:r>
    </w:p>
    <w:p w14:paraId="12B02598" w14:textId="475EC010" w:rsidR="00C14811" w:rsidRDefault="00C14811" w:rsidP="00BA1BBB">
      <w:r>
        <w:t xml:space="preserve">For example, </w:t>
      </w:r>
      <w:r w:rsidR="00901502">
        <w:t xml:space="preserve">within film &amp; video, </w:t>
      </w:r>
      <w:r w:rsidRPr="00BD22BC">
        <w:rPr>
          <w:b/>
          <w:bCs/>
        </w:rPr>
        <w:t>television</w:t>
      </w:r>
      <w:r>
        <w:t xml:space="preserve"> projects had a 100% success rate while </w:t>
      </w:r>
      <w:r w:rsidRPr="00BD22BC">
        <w:rPr>
          <w:b/>
          <w:bCs/>
        </w:rPr>
        <w:t>animation</w:t>
      </w:r>
      <w:r>
        <w:t xml:space="preserve"> and </w:t>
      </w:r>
      <w:r w:rsidRPr="00BD22BC">
        <w:rPr>
          <w:b/>
          <w:bCs/>
        </w:rPr>
        <w:t>drama</w:t>
      </w:r>
      <w:r>
        <w:t xml:space="preserve"> had 100% failure rates.</w:t>
      </w:r>
    </w:p>
    <w:p w14:paraId="1298748B" w14:textId="2F19C682" w:rsidR="00BA1BBB" w:rsidRDefault="00901502" w:rsidP="00BA1BBB">
      <w:r>
        <w:t xml:space="preserve">In the music category, </w:t>
      </w:r>
      <w:r w:rsidRPr="00BD22BC">
        <w:rPr>
          <w:b/>
          <w:bCs/>
        </w:rPr>
        <w:t>p</w:t>
      </w:r>
      <w:r w:rsidR="00C14811" w:rsidRPr="00BD22BC">
        <w:rPr>
          <w:b/>
          <w:bCs/>
        </w:rPr>
        <w:t>op</w:t>
      </w:r>
      <w:r w:rsidR="00C14811">
        <w:t xml:space="preserve"> and </w:t>
      </w:r>
      <w:r w:rsidR="00C14811" w:rsidRPr="00BD22BC">
        <w:rPr>
          <w:b/>
          <w:bCs/>
        </w:rPr>
        <w:t>r</w:t>
      </w:r>
      <w:r w:rsidR="009D12A0" w:rsidRPr="00BD22BC">
        <w:rPr>
          <w:b/>
          <w:bCs/>
        </w:rPr>
        <w:t>ock</w:t>
      </w:r>
      <w:r>
        <w:t xml:space="preserve"> projects</w:t>
      </w:r>
      <w:r w:rsidR="009D12A0">
        <w:t xml:space="preserve"> </w:t>
      </w:r>
      <w:r>
        <w:t xml:space="preserve">both </w:t>
      </w:r>
      <w:r w:rsidR="009D12A0">
        <w:t>had 100% success rate</w:t>
      </w:r>
      <w:r w:rsidR="00C14811">
        <w:t xml:space="preserve">s. Whereas </w:t>
      </w:r>
      <w:r w:rsidR="00C14811" w:rsidRPr="00BD22BC">
        <w:rPr>
          <w:b/>
          <w:bCs/>
        </w:rPr>
        <w:t>jazz</w:t>
      </w:r>
      <w:r w:rsidR="00C14811">
        <w:t xml:space="preserve"> had a 100% failure rate. </w:t>
      </w:r>
    </w:p>
    <w:p w14:paraId="0AE13C67" w14:textId="6FD99054" w:rsidR="00C839EF" w:rsidRDefault="00C839EF" w:rsidP="00BA1BBB">
      <w:r>
        <w:t xml:space="preserve">This is important because it suggests one cannot </w:t>
      </w:r>
      <w:r w:rsidR="00BD22BC">
        <w:t>just</w:t>
      </w:r>
      <w:r>
        <w:t xml:space="preserve"> pick a category with a high success rate. One must also choose a sub-category wisely.</w:t>
      </w:r>
    </w:p>
    <w:p w14:paraId="22BA041C" w14:textId="1864DDF4" w:rsidR="006310D9" w:rsidRPr="00BD22BC" w:rsidRDefault="00901502" w:rsidP="00BA1BBB">
      <w:r>
        <w:t>A t</w:t>
      </w:r>
      <w:r w:rsidR="00BA1BBB">
        <w:t>hird</w:t>
      </w:r>
      <w:r>
        <w:t xml:space="preserve"> conclusion is that </w:t>
      </w:r>
      <w:r w:rsidR="006310D9">
        <w:t xml:space="preserve">the average </w:t>
      </w:r>
      <w:r>
        <w:t>d</w:t>
      </w:r>
      <w:r w:rsidR="00B50EE0">
        <w:t>onation</w:t>
      </w:r>
      <w:r w:rsidR="00BD22BC">
        <w:t xml:space="preserve"> is relatively </w:t>
      </w:r>
      <w:r w:rsidR="00B50EE0">
        <w:t>small.</w:t>
      </w:r>
      <w:r w:rsidR="006310D9">
        <w:t xml:space="preserve"> </w:t>
      </w:r>
      <w:r>
        <w:t xml:space="preserve">In the U.S., </w:t>
      </w:r>
      <w:r w:rsidR="00C839EF">
        <w:t xml:space="preserve">which made up the bulk of this dataset’s projects, </w:t>
      </w:r>
      <w:r w:rsidRPr="00BD22BC">
        <w:rPr>
          <w:b/>
          <w:bCs/>
        </w:rPr>
        <w:t>342,758</w:t>
      </w:r>
      <w:r w:rsidR="006310D9">
        <w:t xml:space="preserve"> backers donated an average amount of</w:t>
      </w:r>
      <w:r w:rsidRPr="00901502">
        <w:t xml:space="preserve"> </w:t>
      </w:r>
      <w:r w:rsidRPr="00BD22BC">
        <w:rPr>
          <w:b/>
          <w:bCs/>
        </w:rPr>
        <w:t>$96.56</w:t>
      </w:r>
      <w:r w:rsidR="006310D9">
        <w:t xml:space="preserve"> to raise </w:t>
      </w:r>
      <w:r w:rsidRPr="00BD22BC">
        <w:rPr>
          <w:b/>
          <w:bCs/>
        </w:rPr>
        <w:t>$31,910,402.96</w:t>
      </w:r>
      <w:r w:rsidR="00BD22BC">
        <w:t xml:space="preserve"> to projects with successful outcomes.</w:t>
      </w:r>
    </w:p>
    <w:p w14:paraId="734D5AB1" w14:textId="77777777" w:rsidR="006310D9" w:rsidRPr="00BA1BBB" w:rsidRDefault="006310D9" w:rsidP="00BA1BBB"/>
    <w:p w14:paraId="7C709452" w14:textId="0A59A768" w:rsidR="00BA1BBB" w:rsidRPr="00B50EE0" w:rsidRDefault="00BA1BBB" w:rsidP="00BA1BBB">
      <w:pPr>
        <w:numPr>
          <w:ilvl w:val="0"/>
          <w:numId w:val="2"/>
        </w:numPr>
        <w:rPr>
          <w:b/>
          <w:bCs/>
        </w:rPr>
      </w:pPr>
      <w:r w:rsidRPr="00BA1BBB">
        <w:rPr>
          <w:b/>
          <w:bCs/>
        </w:rPr>
        <w:t>What are some limitations of this dataset?</w:t>
      </w:r>
    </w:p>
    <w:p w14:paraId="489BE79C" w14:textId="202B98BD" w:rsidR="00C14811" w:rsidRDefault="00C14811" w:rsidP="00ED0B67">
      <w:r>
        <w:t xml:space="preserve">A major limitation of this dataset is that it is </w:t>
      </w:r>
      <w:r w:rsidR="00BE3F64">
        <w:t xml:space="preserve">a </w:t>
      </w:r>
      <w:r w:rsidR="00ED0B67">
        <w:t xml:space="preserve">tiny sample of the </w:t>
      </w:r>
      <w:r w:rsidR="00A57060">
        <w:t xml:space="preserve">whole </w:t>
      </w:r>
      <w:r w:rsidR="00ED0B67">
        <w:t>dataset</w:t>
      </w:r>
      <w:r w:rsidR="00BE3F64">
        <w:t xml:space="preserve"> of </w:t>
      </w:r>
      <w:r w:rsidR="00BE3F64" w:rsidRPr="00E50BBC">
        <w:rPr>
          <w:b/>
          <w:bCs/>
        </w:rPr>
        <w:t>300,000</w:t>
      </w:r>
      <w:r w:rsidR="00BE3F64">
        <w:t xml:space="preserve"> projects launched on Kickstarter</w:t>
      </w:r>
      <w:r w:rsidR="00ED0B67">
        <w:t>.</w:t>
      </w:r>
    </w:p>
    <w:p w14:paraId="28253FE6" w14:textId="7AFF5F10" w:rsidR="00C14811" w:rsidRDefault="00BE3F64" w:rsidP="00ED0B67">
      <w:r>
        <w:t xml:space="preserve">This dataset only records the results for </w:t>
      </w:r>
      <w:r w:rsidR="00C14811" w:rsidRPr="00E50BBC">
        <w:rPr>
          <w:b/>
          <w:bCs/>
        </w:rPr>
        <w:t>4,114</w:t>
      </w:r>
      <w:r w:rsidR="00C14811">
        <w:t xml:space="preserve"> </w:t>
      </w:r>
      <w:r>
        <w:t xml:space="preserve">projects, which is </w:t>
      </w:r>
      <w:r w:rsidR="00E50BBC">
        <w:t xml:space="preserve">only </w:t>
      </w:r>
      <w:r w:rsidR="00ED0B67" w:rsidRPr="00E50BBC">
        <w:rPr>
          <w:b/>
          <w:bCs/>
        </w:rPr>
        <w:t>1.33%</w:t>
      </w:r>
      <w:r>
        <w:t xml:space="preserve"> of the</w:t>
      </w:r>
      <w:r w:rsidR="00E50BBC">
        <w:t xml:space="preserve"> greater whole</w:t>
      </w:r>
      <w:r w:rsidR="00ED0B67">
        <w:t>.</w:t>
      </w:r>
    </w:p>
    <w:p w14:paraId="6009A27A" w14:textId="15A6B8A7" w:rsidR="00A75A87" w:rsidRDefault="00BE3F64" w:rsidP="00ED0B67">
      <w:r>
        <w:t xml:space="preserve">Of the </w:t>
      </w:r>
      <w:r w:rsidRPr="00E50BBC">
        <w:rPr>
          <w:b/>
          <w:bCs/>
        </w:rPr>
        <w:t>$2 billion</w:t>
      </w:r>
      <w:r>
        <w:t xml:space="preserve"> said to have been raised on Kickstarter, this dataset only represents </w:t>
      </w:r>
      <w:r w:rsidR="00A75A87" w:rsidRPr="00E50BBC">
        <w:rPr>
          <w:b/>
          <w:bCs/>
        </w:rPr>
        <w:t>$46,173,741.66</w:t>
      </w:r>
      <w:r>
        <w:t xml:space="preserve"> of that total</w:t>
      </w:r>
      <w:r w:rsidR="00A75A87">
        <w:t xml:space="preserve">, or about </w:t>
      </w:r>
      <w:r w:rsidR="00A75A87" w:rsidRPr="00BE3F64">
        <w:rPr>
          <w:b/>
          <w:bCs/>
        </w:rPr>
        <w:t>2.31%</w:t>
      </w:r>
      <w:r w:rsidR="00A75A87">
        <w:t>.</w:t>
      </w:r>
    </w:p>
    <w:p w14:paraId="4E09863F" w14:textId="7E3BEA88" w:rsidR="00BE3F64" w:rsidRDefault="00BE3F64" w:rsidP="00ED0B67">
      <w:r>
        <w:lastRenderedPageBreak/>
        <w:t xml:space="preserve">Another </w:t>
      </w:r>
      <w:r w:rsidR="00B50EE0">
        <w:t xml:space="preserve">indication that this dataset </w:t>
      </w:r>
      <w:r w:rsidR="00C3412D">
        <w:t xml:space="preserve">might </w:t>
      </w:r>
      <w:r w:rsidR="00B50EE0">
        <w:t xml:space="preserve">not </w:t>
      </w:r>
      <w:r w:rsidR="00134D52">
        <w:t xml:space="preserve">be </w:t>
      </w:r>
      <w:r w:rsidR="00B50EE0">
        <w:t xml:space="preserve">representative is that the overall </w:t>
      </w:r>
      <w:r w:rsidR="00134D52">
        <w:t xml:space="preserve">average </w:t>
      </w:r>
      <w:r w:rsidR="00B50EE0">
        <w:t xml:space="preserve">success rate </w:t>
      </w:r>
      <w:r w:rsidR="00C3412D">
        <w:t xml:space="preserve">of projects listed in it </w:t>
      </w:r>
      <w:r w:rsidR="00B50EE0">
        <w:t xml:space="preserve">is </w:t>
      </w:r>
      <w:r w:rsidR="00B50EE0" w:rsidRPr="00C14811">
        <w:rPr>
          <w:b/>
          <w:bCs/>
        </w:rPr>
        <w:t>53%</w:t>
      </w:r>
      <w:r w:rsidR="00C14811">
        <w:t>.</w:t>
      </w:r>
    </w:p>
    <w:p w14:paraId="5FA7929C" w14:textId="13951450" w:rsidR="00ED0B67" w:rsidRDefault="00C14811" w:rsidP="00ED0B67">
      <w:r>
        <w:t>Meanwhile, i</w:t>
      </w:r>
      <w:r w:rsidR="00B50EE0">
        <w:t xml:space="preserve">t was mentioned </w:t>
      </w:r>
      <w:r>
        <w:t xml:space="preserve">in the background section that </w:t>
      </w:r>
      <w:r w:rsidR="00B50EE0">
        <w:t>“</w:t>
      </w:r>
      <w:r w:rsidR="00B50EE0" w:rsidRPr="00C14811">
        <w:rPr>
          <w:b/>
          <w:bCs/>
        </w:rPr>
        <w:t>only a third</w:t>
      </w:r>
      <w:r w:rsidR="00B50EE0">
        <w:t xml:space="preserve"> </w:t>
      </w:r>
      <w:r w:rsidR="00BE3F64">
        <w:t xml:space="preserve">[of all Kickstarter projects] </w:t>
      </w:r>
      <w:r w:rsidR="00B50EE0">
        <w:t>have made it through the funding process with a positive outcome.”</w:t>
      </w:r>
    </w:p>
    <w:p w14:paraId="21606DE5" w14:textId="28AF571A" w:rsidR="00BE3F64" w:rsidRPr="00BA1BBB" w:rsidRDefault="00C14811" w:rsidP="00BA1BBB">
      <w:r>
        <w:t>The dataset also seems to skew heavily to t</w:t>
      </w:r>
      <w:r w:rsidR="00A75A87">
        <w:t>he U.S.</w:t>
      </w:r>
      <w:r>
        <w:t xml:space="preserve"> as indicated by the</w:t>
      </w:r>
      <w:r w:rsidR="00BE3F64">
        <w:t xml:space="preserve"> fact that </w:t>
      </w:r>
      <w:r w:rsidR="00BE3F64" w:rsidRPr="00C839EF">
        <w:rPr>
          <w:b/>
          <w:bCs/>
        </w:rPr>
        <w:t>74%</w:t>
      </w:r>
      <w:r w:rsidR="00BE3F64">
        <w:t xml:space="preserve"> of the total campaigns are</w:t>
      </w:r>
      <w:r w:rsidR="00C3412D">
        <w:t xml:space="preserve"> based there.</w:t>
      </w:r>
    </w:p>
    <w:p w14:paraId="05F7053B" w14:textId="77777777" w:rsidR="00BA1BBB" w:rsidRPr="00BA1BBB" w:rsidRDefault="00BA1BBB" w:rsidP="00BA1BBB">
      <w:pPr>
        <w:numPr>
          <w:ilvl w:val="0"/>
          <w:numId w:val="2"/>
        </w:numPr>
        <w:rPr>
          <w:b/>
          <w:bCs/>
        </w:rPr>
      </w:pPr>
      <w:r w:rsidRPr="00BA1BBB">
        <w:rPr>
          <w:b/>
          <w:bCs/>
        </w:rPr>
        <w:t>What are some other possible tables and/or graphs that we could create?</w:t>
      </w:r>
    </w:p>
    <w:p w14:paraId="2495C39E" w14:textId="7C5B6164" w:rsidR="00A75A87" w:rsidRDefault="00C3412D" w:rsidP="00B174FE">
      <w:r>
        <w:t xml:space="preserve">I found it useful to create a table and chart to visualize how the projects were distributed geographically. This simple pie chart showed that the U.S. represented an overwhelming majority of total campaigns launched on Kickstarter’s platform at </w:t>
      </w:r>
      <w:r w:rsidRPr="00BD78C9">
        <w:rPr>
          <w:b/>
          <w:bCs/>
        </w:rPr>
        <w:t>74%</w:t>
      </w:r>
      <w:r>
        <w:t xml:space="preserve">. Great Britain was a distant second at </w:t>
      </w:r>
      <w:r w:rsidRPr="00BD78C9">
        <w:rPr>
          <w:b/>
          <w:bCs/>
        </w:rPr>
        <w:t>15%</w:t>
      </w:r>
      <w:r>
        <w:t>.</w:t>
      </w:r>
    </w:p>
    <w:p w14:paraId="06109DD1" w14:textId="2341AC9B" w:rsidR="002F551F" w:rsidRDefault="002F551F" w:rsidP="00B174FE"/>
    <w:p w14:paraId="1AE264DD" w14:textId="548F0D7D" w:rsidR="00A75A87" w:rsidRDefault="002F551F" w:rsidP="00B174FE">
      <w:r>
        <w:rPr>
          <w:noProof/>
        </w:rPr>
        <w:drawing>
          <wp:inline distT="0" distB="0" distL="0" distR="0" wp14:anchorId="53AF0CB4" wp14:editId="119D8218">
            <wp:extent cx="6130138" cy="326042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653" cy="3268675"/>
                    </a:xfrm>
                    <a:prstGeom prst="rect">
                      <a:avLst/>
                    </a:prstGeom>
                    <a:noFill/>
                  </pic:spPr>
                </pic:pic>
              </a:graphicData>
            </a:graphic>
          </wp:inline>
        </w:drawing>
      </w:r>
    </w:p>
    <w:p w14:paraId="71831C76" w14:textId="4B0956E9" w:rsidR="00A75A87" w:rsidRDefault="00A75A87" w:rsidP="00B174FE"/>
    <w:p w14:paraId="405800D6" w14:textId="1C133FDA" w:rsidR="00D51AAE" w:rsidRDefault="00D51AAE" w:rsidP="00B174FE">
      <w:r>
        <w:t xml:space="preserve">I made another table and chart to visualize that the U.S. also represented a similar percentage of the total amount raised on Kickstarter at </w:t>
      </w:r>
      <w:r w:rsidRPr="00BD78C9">
        <w:rPr>
          <w:b/>
          <w:bCs/>
        </w:rPr>
        <w:t>78%</w:t>
      </w:r>
      <w:r>
        <w:t xml:space="preserve"> of all funds pledged, though not necessarily to successful campaigns.</w:t>
      </w:r>
    </w:p>
    <w:p w14:paraId="4E9343E9" w14:textId="55085706" w:rsidR="00A75A87" w:rsidRDefault="002F551F" w:rsidP="00B174FE">
      <w:r>
        <w:rPr>
          <w:noProof/>
        </w:rPr>
        <w:lastRenderedPageBreak/>
        <w:drawing>
          <wp:inline distT="0" distB="0" distL="0" distR="0" wp14:anchorId="7D42247C" wp14:editId="405BA90D">
            <wp:extent cx="5943600" cy="3566160"/>
            <wp:effectExtent l="0" t="0" r="0" b="15240"/>
            <wp:docPr id="1" name="Chart 1">
              <a:extLst xmlns:a="http://schemas.openxmlformats.org/drawingml/2006/main">
                <a:ext uri="{FF2B5EF4-FFF2-40B4-BE49-F238E27FC236}">
                  <a16:creationId xmlns:a16="http://schemas.microsoft.com/office/drawing/2014/main" id="{EC478445-F6CD-4B0E-8F3B-61802E25B5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E13099" w14:textId="4093ED5F" w:rsidR="00A75A87" w:rsidRDefault="00A75A87" w:rsidP="00B174FE"/>
    <w:p w14:paraId="060634D3" w14:textId="3D6E4E76" w:rsidR="00D51AAE" w:rsidRDefault="00D51AAE" w:rsidP="00B174FE">
      <w:r>
        <w:t xml:space="preserve">I also found it useful to make a simple PivotTable to summarize the average amount pledged </w:t>
      </w:r>
      <w:r w:rsidR="00904D8E">
        <w:t>broken down by the outcome of the campaign.</w:t>
      </w:r>
    </w:p>
    <w:p w14:paraId="0CB7B997" w14:textId="6A677C93" w:rsidR="00D51AAE" w:rsidRDefault="00D51AAE" w:rsidP="00B174FE">
      <w:r w:rsidRPr="00D51AAE">
        <w:drawing>
          <wp:inline distT="0" distB="0" distL="0" distR="0" wp14:anchorId="3BEE3715" wp14:editId="3CC3F765">
            <wp:extent cx="146685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850" cy="1152525"/>
                    </a:xfrm>
                    <a:prstGeom prst="rect">
                      <a:avLst/>
                    </a:prstGeom>
                  </pic:spPr>
                </pic:pic>
              </a:graphicData>
            </a:graphic>
          </wp:inline>
        </w:drawing>
      </w:r>
    </w:p>
    <w:p w14:paraId="1F2303A6" w14:textId="1D4FAE87" w:rsidR="00904D8E" w:rsidRDefault="00904D8E" w:rsidP="00B174FE"/>
    <w:p w14:paraId="14E745DD" w14:textId="0BB5F7EB" w:rsidR="00904D8E" w:rsidRDefault="00904D8E" w:rsidP="00B174FE">
      <w:r>
        <w:t>And finally, another useful PivotTable was to summarize the success rate expressed in percentage</w:t>
      </w:r>
      <w:r w:rsidR="00480965">
        <w:t>s</w:t>
      </w:r>
      <w:r w:rsidR="0075428B">
        <w:t>,</w:t>
      </w:r>
      <w:r>
        <w:t xml:space="preserve"> broken down by categories and sub-categories.</w:t>
      </w:r>
    </w:p>
    <w:p w14:paraId="29DF5E8F" w14:textId="1FD88607" w:rsidR="00D51AAE" w:rsidRDefault="00D51AAE" w:rsidP="00B174FE">
      <w:r w:rsidRPr="00D51AAE">
        <w:lastRenderedPageBreak/>
        <w:drawing>
          <wp:inline distT="0" distB="0" distL="0" distR="0" wp14:anchorId="509A8B8A" wp14:editId="53E81488">
            <wp:extent cx="4457700" cy="478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4781550"/>
                    </a:xfrm>
                    <a:prstGeom prst="rect">
                      <a:avLst/>
                    </a:prstGeom>
                  </pic:spPr>
                </pic:pic>
              </a:graphicData>
            </a:graphic>
          </wp:inline>
        </w:drawing>
      </w:r>
    </w:p>
    <w:p w14:paraId="153D4F1D" w14:textId="19FF6BD5" w:rsidR="00BE3F64" w:rsidRDefault="00BE3F64" w:rsidP="00B174FE"/>
    <w:p w14:paraId="414569D1" w14:textId="1EF954E3" w:rsidR="00BE1D2A" w:rsidRDefault="00BE1D2A" w:rsidP="00B174FE"/>
    <w:p w14:paraId="5E3A59C3" w14:textId="7F926ABF" w:rsidR="00BE1D2A" w:rsidRDefault="00BE1D2A" w:rsidP="00B174FE"/>
    <w:p w14:paraId="2F162A95" w14:textId="006C6016" w:rsidR="00BE1D2A" w:rsidRDefault="00BE1D2A" w:rsidP="00B174FE"/>
    <w:p w14:paraId="3DFACBEC" w14:textId="77777777" w:rsidR="00BE1D2A" w:rsidRDefault="00BE1D2A" w:rsidP="00B174FE"/>
    <w:sectPr w:rsidR="00BE1D2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9C274" w14:textId="77777777" w:rsidR="00BF431E" w:rsidRDefault="00BF431E" w:rsidP="00FA214E">
      <w:pPr>
        <w:spacing w:after="0" w:line="240" w:lineRule="auto"/>
      </w:pPr>
      <w:r>
        <w:separator/>
      </w:r>
    </w:p>
  </w:endnote>
  <w:endnote w:type="continuationSeparator" w:id="0">
    <w:p w14:paraId="2ACD3A34" w14:textId="77777777" w:rsidR="00BF431E" w:rsidRDefault="00BF431E" w:rsidP="00FA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6718" w14:textId="77777777" w:rsidR="00BF431E" w:rsidRDefault="00BF431E" w:rsidP="00FA214E">
      <w:pPr>
        <w:spacing w:after="0" w:line="240" w:lineRule="auto"/>
      </w:pPr>
      <w:r>
        <w:separator/>
      </w:r>
    </w:p>
  </w:footnote>
  <w:footnote w:type="continuationSeparator" w:id="0">
    <w:p w14:paraId="3C9D3498" w14:textId="77777777" w:rsidR="00BF431E" w:rsidRDefault="00BF431E" w:rsidP="00FA2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Content>
      <w:p w14:paraId="4DA809A6" w14:textId="77777777" w:rsidR="00C11302" w:rsidRDefault="00C11302">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47BF9D1" w14:textId="77777777" w:rsidR="00FA214E" w:rsidRDefault="00FA2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318A6"/>
    <w:multiLevelType w:val="multilevel"/>
    <w:tmpl w:val="A01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31F0B"/>
    <w:multiLevelType w:val="multilevel"/>
    <w:tmpl w:val="2290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FE"/>
    <w:rsid w:val="00134D52"/>
    <w:rsid w:val="002F551F"/>
    <w:rsid w:val="003919FE"/>
    <w:rsid w:val="003A3E3D"/>
    <w:rsid w:val="00480965"/>
    <w:rsid w:val="0055140E"/>
    <w:rsid w:val="006310D9"/>
    <w:rsid w:val="006E21E6"/>
    <w:rsid w:val="0075428B"/>
    <w:rsid w:val="00901502"/>
    <w:rsid w:val="00904D8E"/>
    <w:rsid w:val="00950A0E"/>
    <w:rsid w:val="009D12A0"/>
    <w:rsid w:val="00A57060"/>
    <w:rsid w:val="00A65744"/>
    <w:rsid w:val="00A66C59"/>
    <w:rsid w:val="00A75A87"/>
    <w:rsid w:val="00B174FE"/>
    <w:rsid w:val="00B50EE0"/>
    <w:rsid w:val="00BA1BBB"/>
    <w:rsid w:val="00BD22BC"/>
    <w:rsid w:val="00BD78C9"/>
    <w:rsid w:val="00BE1D2A"/>
    <w:rsid w:val="00BE3F64"/>
    <w:rsid w:val="00BE5DCF"/>
    <w:rsid w:val="00BF431E"/>
    <w:rsid w:val="00C11302"/>
    <w:rsid w:val="00C14811"/>
    <w:rsid w:val="00C32AC2"/>
    <w:rsid w:val="00C3412D"/>
    <w:rsid w:val="00C839EF"/>
    <w:rsid w:val="00D51AAE"/>
    <w:rsid w:val="00E45E7E"/>
    <w:rsid w:val="00E50BBC"/>
    <w:rsid w:val="00ED0B67"/>
    <w:rsid w:val="00EE3B2F"/>
    <w:rsid w:val="00FA214E"/>
    <w:rsid w:val="00FE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0AF3"/>
  <w15:chartTrackingRefBased/>
  <w15:docId w15:val="{7047FDDD-2A5B-49B1-B03D-108AAC47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174FE"/>
  </w:style>
  <w:style w:type="character" w:customStyle="1" w:styleId="DateChar">
    <w:name w:val="Date Char"/>
    <w:basedOn w:val="DefaultParagraphFont"/>
    <w:link w:val="Date"/>
    <w:uiPriority w:val="99"/>
    <w:semiHidden/>
    <w:rsid w:val="00B174FE"/>
  </w:style>
  <w:style w:type="character" w:styleId="Hyperlink">
    <w:name w:val="Hyperlink"/>
    <w:basedOn w:val="DefaultParagraphFont"/>
    <w:uiPriority w:val="99"/>
    <w:semiHidden/>
    <w:unhideWhenUsed/>
    <w:rsid w:val="00BA1BBB"/>
    <w:rPr>
      <w:color w:val="0000FF"/>
      <w:u w:val="single"/>
    </w:rPr>
  </w:style>
  <w:style w:type="paragraph" w:styleId="Header">
    <w:name w:val="header"/>
    <w:basedOn w:val="Normal"/>
    <w:link w:val="HeaderChar"/>
    <w:uiPriority w:val="99"/>
    <w:unhideWhenUsed/>
    <w:rsid w:val="00FA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14E"/>
  </w:style>
  <w:style w:type="paragraph" w:styleId="Footer">
    <w:name w:val="footer"/>
    <w:basedOn w:val="Normal"/>
    <w:link w:val="FooterChar"/>
    <w:uiPriority w:val="99"/>
    <w:unhideWhenUsed/>
    <w:rsid w:val="00FA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4661">
      <w:bodyDiv w:val="1"/>
      <w:marLeft w:val="0"/>
      <w:marRight w:val="0"/>
      <w:marTop w:val="0"/>
      <w:marBottom w:val="0"/>
      <w:divBdr>
        <w:top w:val="none" w:sz="0" w:space="0" w:color="auto"/>
        <w:left w:val="none" w:sz="0" w:space="0" w:color="auto"/>
        <w:bottom w:val="none" w:sz="0" w:space="0" w:color="auto"/>
        <w:right w:val="none" w:sz="0" w:space="0" w:color="auto"/>
      </w:divBdr>
    </w:div>
    <w:div w:id="600573360">
      <w:bodyDiv w:val="1"/>
      <w:marLeft w:val="0"/>
      <w:marRight w:val="0"/>
      <w:marTop w:val="0"/>
      <w:marBottom w:val="0"/>
      <w:divBdr>
        <w:top w:val="none" w:sz="0" w:space="0" w:color="auto"/>
        <w:left w:val="none" w:sz="0" w:space="0" w:color="auto"/>
        <w:bottom w:val="none" w:sz="0" w:space="0" w:color="auto"/>
        <w:right w:val="none" w:sz="0" w:space="0" w:color="auto"/>
      </w:divBdr>
    </w:div>
    <w:div w:id="1368096066">
      <w:bodyDiv w:val="1"/>
      <w:marLeft w:val="0"/>
      <w:marRight w:val="0"/>
      <w:marTop w:val="0"/>
      <w:marBottom w:val="0"/>
      <w:divBdr>
        <w:top w:val="none" w:sz="0" w:space="0" w:color="auto"/>
        <w:left w:val="none" w:sz="0" w:space="0" w:color="auto"/>
        <w:bottom w:val="none" w:sz="0" w:space="0" w:color="auto"/>
        <w:right w:val="none" w:sz="0" w:space="0" w:color="auto"/>
      </w:divBdr>
    </w:div>
    <w:div w:id="165629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lcatx512/excelhomewor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LC\Desktop\Copy%20of%20StarterBook_Jadd_Che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StarterBook_Jadd_Cheng.xlsx]country_pledged!PivotTable3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amount</a:t>
            </a:r>
            <a:r>
              <a:rPr lang="en-US" baseline="0"/>
              <a:t> raised by country</a:t>
            </a:r>
            <a:endParaRPr lang="en-US"/>
          </a:p>
        </c:rich>
      </c:tx>
      <c:layout>
        <c:manualLayout>
          <c:xMode val="edge"/>
          <c:yMode val="edge"/>
          <c:x val="4.0599973080288083E-3"/>
          <c:y val="1.63784014177714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extLst>
        </c:dLbl>
      </c:pivotFmt>
      <c:pivotFmt>
        <c:idx val="3"/>
        <c:spPr>
          <a:solidFill>
            <a:schemeClr val="accent2"/>
          </a:solidFill>
          <a:ln w="19050">
            <a:solidFill>
              <a:schemeClr val="lt1"/>
            </a:solidFill>
          </a:ln>
          <a:effectLst/>
        </c:spPr>
      </c:pivotFmt>
      <c:pivotFmt>
        <c:idx val="4"/>
        <c:spPr>
          <a:solidFill>
            <a:schemeClr val="accent2"/>
          </a:solidFill>
          <a:ln w="19050">
            <a:solidFill>
              <a:schemeClr val="lt1"/>
            </a:solidFill>
          </a:ln>
          <a:effectLst/>
        </c:spPr>
      </c:pivotFmt>
      <c:pivotFmt>
        <c:idx val="5"/>
        <c:spPr>
          <a:solidFill>
            <a:schemeClr val="accent2"/>
          </a:solidFill>
          <a:ln w="19050">
            <a:solidFill>
              <a:schemeClr val="lt1"/>
            </a:solidFill>
          </a:ln>
          <a:effectLst/>
        </c:spPr>
      </c:pivotFmt>
      <c:pivotFmt>
        <c:idx val="6"/>
        <c:spPr>
          <a:solidFill>
            <a:schemeClr val="accent2"/>
          </a:solidFill>
          <a:ln w="19050">
            <a:solidFill>
              <a:schemeClr val="lt1"/>
            </a:solidFill>
          </a:ln>
          <a:effectLst/>
        </c:spPr>
      </c:pivotFmt>
      <c:pivotFmt>
        <c:idx val="7"/>
        <c:spPr>
          <a:solidFill>
            <a:schemeClr val="accent2"/>
          </a:solidFill>
          <a:ln w="19050">
            <a:solidFill>
              <a:schemeClr val="lt1"/>
            </a:solidFill>
          </a:ln>
          <a:effectLst/>
        </c:spPr>
      </c:pivotFmt>
      <c:pivotFmt>
        <c:idx val="8"/>
        <c:spPr>
          <a:solidFill>
            <a:schemeClr val="accent2"/>
          </a:solidFill>
          <a:ln w="19050">
            <a:solidFill>
              <a:schemeClr val="lt1"/>
            </a:solidFill>
          </a:ln>
          <a:effectLst/>
        </c:spPr>
      </c:pivotFmt>
      <c:pivotFmt>
        <c:idx val="9"/>
        <c:spPr>
          <a:solidFill>
            <a:schemeClr val="accent2"/>
          </a:solidFill>
          <a:ln w="19050">
            <a:solidFill>
              <a:schemeClr val="lt1"/>
            </a:solidFill>
          </a:ln>
          <a:effectLst/>
        </c:spPr>
      </c:pivotFmt>
      <c:pivotFmt>
        <c:idx val="10"/>
        <c:spPr>
          <a:solidFill>
            <a:schemeClr val="accent2"/>
          </a:solidFill>
          <a:ln w="19050">
            <a:solidFill>
              <a:schemeClr val="lt1"/>
            </a:solidFill>
          </a:ln>
          <a:effectLst/>
        </c:spPr>
      </c:pivotFmt>
      <c:pivotFmt>
        <c:idx val="11"/>
        <c:spPr>
          <a:solidFill>
            <a:schemeClr val="accent2"/>
          </a:solidFill>
          <a:ln w="19050">
            <a:solidFill>
              <a:schemeClr val="lt1"/>
            </a:solidFill>
          </a:ln>
          <a:effectLst/>
        </c:spPr>
      </c:pivotFmt>
      <c:pivotFmt>
        <c:idx val="12"/>
        <c:spPr>
          <a:solidFill>
            <a:schemeClr val="accent2"/>
          </a:solidFill>
          <a:ln w="19050">
            <a:solidFill>
              <a:schemeClr val="lt1"/>
            </a:solidFill>
          </a:ln>
          <a:effectLst/>
        </c:spPr>
      </c:pivotFmt>
      <c:pivotFmt>
        <c:idx val="13"/>
        <c:spPr>
          <a:solidFill>
            <a:schemeClr val="accent2"/>
          </a:solidFill>
          <a:ln w="19050">
            <a:solidFill>
              <a:schemeClr val="lt1"/>
            </a:solidFill>
          </a:ln>
          <a:effectLst/>
        </c:spPr>
      </c:pivotFmt>
      <c:pivotFmt>
        <c:idx val="14"/>
        <c:spPr>
          <a:solidFill>
            <a:schemeClr val="accent2"/>
          </a:solidFill>
          <a:ln w="19050">
            <a:solidFill>
              <a:schemeClr val="lt1"/>
            </a:solidFill>
          </a:ln>
          <a:effectLst/>
        </c:spPr>
      </c:pivotFmt>
      <c:pivotFmt>
        <c:idx val="15"/>
        <c:spPr>
          <a:solidFill>
            <a:schemeClr val="accent2"/>
          </a:solidFill>
          <a:ln w="19050">
            <a:solidFill>
              <a:schemeClr val="lt1"/>
            </a:solidFill>
          </a:ln>
          <a:effectLst/>
        </c:spPr>
      </c:pivotFmt>
      <c:pivotFmt>
        <c:idx val="16"/>
        <c:spPr>
          <a:solidFill>
            <a:schemeClr val="accent2"/>
          </a:solidFill>
          <a:ln w="19050">
            <a:solidFill>
              <a:schemeClr val="lt1"/>
            </a:solidFill>
          </a:ln>
          <a:effectLst/>
        </c:spPr>
      </c:pivotFmt>
      <c:pivotFmt>
        <c:idx val="17"/>
        <c:spPr>
          <a:solidFill>
            <a:schemeClr val="accent2"/>
          </a:solidFill>
          <a:ln w="19050">
            <a:solidFill>
              <a:schemeClr val="lt1"/>
            </a:solidFill>
          </a:ln>
          <a:effectLst/>
        </c:spPr>
      </c:pivotFmt>
      <c:pivotFmt>
        <c:idx val="18"/>
        <c:spPr>
          <a:solidFill>
            <a:schemeClr val="accent2"/>
          </a:solidFill>
          <a:ln w="19050">
            <a:solidFill>
              <a:schemeClr val="lt1"/>
            </a:solidFill>
          </a:ln>
          <a:effectLst/>
        </c:spPr>
      </c:pivotFmt>
      <c:pivotFmt>
        <c:idx val="19"/>
        <c:spPr>
          <a:solidFill>
            <a:schemeClr val="accent2"/>
          </a:solidFill>
          <a:ln w="19050">
            <a:solidFill>
              <a:schemeClr val="lt1"/>
            </a:solidFill>
          </a:ln>
          <a:effectLst/>
        </c:spPr>
      </c:pivotFmt>
      <c:pivotFmt>
        <c:idx val="20"/>
        <c:spPr>
          <a:solidFill>
            <a:schemeClr val="accent2"/>
          </a:solidFill>
          <a:ln w="19050">
            <a:solidFill>
              <a:schemeClr val="lt1"/>
            </a:solidFill>
          </a:ln>
          <a:effectLst/>
        </c:spPr>
      </c:pivotFmt>
      <c:pivotFmt>
        <c:idx val="21"/>
        <c:spPr>
          <a:solidFill>
            <a:schemeClr val="accent2"/>
          </a:solidFill>
          <a:ln w="19050">
            <a:solidFill>
              <a:schemeClr val="lt1"/>
            </a:solidFill>
          </a:ln>
          <a:effectLst/>
        </c:spPr>
      </c:pivotFmt>
      <c:pivotFmt>
        <c:idx val="22"/>
        <c:spPr>
          <a:solidFill>
            <a:schemeClr val="accent2"/>
          </a:solidFill>
          <a:ln w="19050">
            <a:solidFill>
              <a:schemeClr val="lt1"/>
            </a:solidFill>
          </a:ln>
          <a:effectLst/>
        </c:spPr>
      </c:pivotFmt>
      <c:pivotFmt>
        <c:idx val="23"/>
        <c:spPr>
          <a:solidFill>
            <a:schemeClr val="accent2"/>
          </a:solidFill>
          <a:ln w="19050">
            <a:solidFill>
              <a:schemeClr val="lt1"/>
            </a:solidFill>
          </a:ln>
          <a:effectLst/>
        </c:spPr>
      </c:pivotFmt>
      <c:pivotFmt>
        <c:idx val="24"/>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2"/>
          </a:solidFill>
          <a:ln w="19050">
            <a:solidFill>
              <a:schemeClr val="lt1"/>
            </a:solidFill>
          </a:ln>
          <a:effectLst/>
        </c:spPr>
      </c:pivotFmt>
      <c:pivotFmt>
        <c:idx val="26"/>
        <c:spPr>
          <a:solidFill>
            <a:schemeClr val="accent2"/>
          </a:solidFill>
          <a:ln w="19050">
            <a:solidFill>
              <a:schemeClr val="lt1"/>
            </a:solidFill>
          </a:ln>
          <a:effectLst/>
        </c:spPr>
      </c:pivotFmt>
      <c:pivotFmt>
        <c:idx val="27"/>
        <c:spPr>
          <a:solidFill>
            <a:schemeClr val="accent2"/>
          </a:solidFill>
          <a:ln w="19050">
            <a:solidFill>
              <a:schemeClr val="lt1"/>
            </a:solidFill>
          </a:ln>
          <a:effectLst/>
        </c:spPr>
      </c:pivotFmt>
      <c:pivotFmt>
        <c:idx val="28"/>
        <c:spPr>
          <a:solidFill>
            <a:schemeClr val="accent2"/>
          </a:solidFill>
          <a:ln w="19050">
            <a:solidFill>
              <a:schemeClr val="lt1"/>
            </a:solidFill>
          </a:ln>
          <a:effectLst/>
        </c:spPr>
      </c:pivotFmt>
      <c:pivotFmt>
        <c:idx val="29"/>
        <c:spPr>
          <a:solidFill>
            <a:schemeClr val="accent2"/>
          </a:solidFill>
          <a:ln w="19050">
            <a:solidFill>
              <a:schemeClr val="lt1"/>
            </a:solidFill>
          </a:ln>
          <a:effectLst/>
        </c:spPr>
      </c:pivotFmt>
      <c:pivotFmt>
        <c:idx val="30"/>
        <c:spPr>
          <a:solidFill>
            <a:schemeClr val="accent2"/>
          </a:solidFill>
          <a:ln w="19050">
            <a:solidFill>
              <a:schemeClr val="lt1"/>
            </a:solidFill>
          </a:ln>
          <a:effectLst/>
        </c:spPr>
      </c:pivotFmt>
      <c:pivotFmt>
        <c:idx val="31"/>
        <c:spPr>
          <a:solidFill>
            <a:schemeClr val="accent2"/>
          </a:solidFill>
          <a:ln w="19050">
            <a:solidFill>
              <a:schemeClr val="lt1"/>
            </a:solidFill>
          </a:ln>
          <a:effectLst/>
        </c:spPr>
      </c:pivotFmt>
      <c:pivotFmt>
        <c:idx val="32"/>
        <c:spPr>
          <a:solidFill>
            <a:schemeClr val="accent2"/>
          </a:solidFill>
          <a:ln w="19050">
            <a:solidFill>
              <a:schemeClr val="lt1"/>
            </a:solidFill>
          </a:ln>
          <a:effectLst/>
        </c:spPr>
      </c:pivotFmt>
      <c:pivotFmt>
        <c:idx val="33"/>
        <c:spPr>
          <a:solidFill>
            <a:schemeClr val="accent2"/>
          </a:solidFill>
          <a:ln w="19050">
            <a:solidFill>
              <a:schemeClr val="lt1"/>
            </a:solidFill>
          </a:ln>
          <a:effectLst/>
        </c:spPr>
      </c:pivotFmt>
      <c:pivotFmt>
        <c:idx val="34"/>
        <c:spPr>
          <a:solidFill>
            <a:schemeClr val="accent2"/>
          </a:solidFill>
          <a:ln w="19050">
            <a:solidFill>
              <a:schemeClr val="lt1"/>
            </a:solidFill>
          </a:ln>
          <a:effectLst/>
        </c:spPr>
      </c:pivotFmt>
      <c:pivotFmt>
        <c:idx val="35"/>
        <c:spPr>
          <a:solidFill>
            <a:schemeClr val="accent2"/>
          </a:solidFill>
          <a:ln w="19050">
            <a:solidFill>
              <a:schemeClr val="lt1"/>
            </a:solidFill>
          </a:ln>
          <a:effectLst/>
        </c:spPr>
      </c:pivotFmt>
      <c:pivotFmt>
        <c:idx val="36"/>
        <c:spPr>
          <a:solidFill>
            <a:schemeClr val="accent2"/>
          </a:solidFill>
          <a:ln w="19050">
            <a:solidFill>
              <a:schemeClr val="lt1"/>
            </a:solidFill>
          </a:ln>
          <a:effectLst/>
        </c:spPr>
      </c:pivotFmt>
      <c:pivotFmt>
        <c:idx val="37"/>
        <c:spPr>
          <a:solidFill>
            <a:schemeClr val="accent2"/>
          </a:solidFill>
          <a:ln w="19050">
            <a:solidFill>
              <a:schemeClr val="lt1"/>
            </a:solidFill>
          </a:ln>
          <a:effectLst/>
        </c:spPr>
      </c:pivotFmt>
      <c:pivotFmt>
        <c:idx val="38"/>
        <c:spPr>
          <a:solidFill>
            <a:schemeClr val="accent2"/>
          </a:solidFill>
          <a:ln w="19050">
            <a:solidFill>
              <a:schemeClr val="lt1"/>
            </a:solidFill>
          </a:ln>
          <a:effectLst/>
        </c:spPr>
      </c:pivotFmt>
      <c:pivotFmt>
        <c:idx val="39"/>
        <c:spPr>
          <a:solidFill>
            <a:schemeClr val="accent2"/>
          </a:solidFill>
          <a:ln w="19050">
            <a:solidFill>
              <a:schemeClr val="lt1"/>
            </a:solidFill>
          </a:ln>
          <a:effectLst/>
        </c:spPr>
      </c:pivotFmt>
      <c:pivotFmt>
        <c:idx val="40"/>
        <c:spPr>
          <a:solidFill>
            <a:schemeClr val="accent2"/>
          </a:solidFill>
          <a:ln w="19050">
            <a:solidFill>
              <a:schemeClr val="lt1"/>
            </a:solidFill>
          </a:ln>
          <a:effectLst/>
        </c:spPr>
      </c:pivotFmt>
      <c:pivotFmt>
        <c:idx val="41"/>
        <c:spPr>
          <a:solidFill>
            <a:schemeClr val="accent2"/>
          </a:solidFill>
          <a:ln w="19050">
            <a:solidFill>
              <a:schemeClr val="lt1"/>
            </a:solidFill>
          </a:ln>
          <a:effectLst/>
        </c:spPr>
      </c:pivotFmt>
      <c:pivotFmt>
        <c:idx val="42"/>
        <c:spPr>
          <a:solidFill>
            <a:schemeClr val="accent2"/>
          </a:solidFill>
          <a:ln w="19050">
            <a:solidFill>
              <a:schemeClr val="lt1"/>
            </a:solidFill>
          </a:ln>
          <a:effectLst/>
        </c:spPr>
      </c:pivotFmt>
      <c:pivotFmt>
        <c:idx val="43"/>
        <c:spPr>
          <a:solidFill>
            <a:schemeClr val="accent2"/>
          </a:solidFill>
          <a:ln w="19050">
            <a:solidFill>
              <a:schemeClr val="lt1"/>
            </a:solidFill>
          </a:ln>
          <a:effectLst/>
        </c:spPr>
      </c:pivotFmt>
      <c:pivotFmt>
        <c:idx val="44"/>
        <c:spPr>
          <a:solidFill>
            <a:schemeClr val="accent2"/>
          </a:solidFill>
          <a:ln w="19050">
            <a:solidFill>
              <a:schemeClr val="lt1"/>
            </a:solidFill>
          </a:ln>
          <a:effectLst/>
        </c:spPr>
      </c:pivotFmt>
      <c:pivotFmt>
        <c:idx val="45"/>
        <c:spPr>
          <a:solidFill>
            <a:schemeClr val="accent2"/>
          </a:solidFill>
          <a:ln w="19050">
            <a:solidFill>
              <a:schemeClr val="lt1"/>
            </a:solidFill>
          </a:ln>
          <a:effectLst/>
        </c:spPr>
      </c:pivotFmt>
      <c:pivotFmt>
        <c:idx val="4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extLst>
        </c:dLbl>
      </c:pivotFmt>
      <c:pivotFmt>
        <c:idx val="47"/>
        <c:spPr>
          <a:solidFill>
            <a:schemeClr val="accent2"/>
          </a:solidFill>
          <a:ln w="19050">
            <a:solidFill>
              <a:schemeClr val="lt1"/>
            </a:solidFill>
          </a:ln>
          <a:effectLst/>
        </c:spPr>
      </c:pivotFmt>
      <c:pivotFmt>
        <c:idx val="48"/>
        <c:spPr>
          <a:solidFill>
            <a:schemeClr val="accent2"/>
          </a:solidFill>
          <a:ln w="19050">
            <a:solidFill>
              <a:schemeClr val="lt1"/>
            </a:solidFill>
          </a:ln>
          <a:effectLst/>
        </c:spPr>
      </c:pivotFmt>
      <c:pivotFmt>
        <c:idx val="49"/>
        <c:spPr>
          <a:solidFill>
            <a:schemeClr val="accent2"/>
          </a:solidFill>
          <a:ln w="19050">
            <a:solidFill>
              <a:schemeClr val="lt1"/>
            </a:solidFill>
          </a:ln>
          <a:effectLst/>
        </c:spPr>
      </c:pivotFmt>
      <c:pivotFmt>
        <c:idx val="50"/>
        <c:spPr>
          <a:solidFill>
            <a:schemeClr val="accent2"/>
          </a:solidFill>
          <a:ln w="19050">
            <a:solidFill>
              <a:schemeClr val="lt1"/>
            </a:solidFill>
          </a:ln>
          <a:effectLst/>
        </c:spPr>
      </c:pivotFmt>
      <c:pivotFmt>
        <c:idx val="51"/>
        <c:spPr>
          <a:solidFill>
            <a:schemeClr val="accent2"/>
          </a:solidFill>
          <a:ln w="19050">
            <a:solidFill>
              <a:schemeClr val="lt1"/>
            </a:solidFill>
          </a:ln>
          <a:effectLst/>
        </c:spPr>
      </c:pivotFmt>
      <c:pivotFmt>
        <c:idx val="52"/>
        <c:spPr>
          <a:solidFill>
            <a:schemeClr val="accent2"/>
          </a:solidFill>
          <a:ln w="19050">
            <a:solidFill>
              <a:schemeClr val="lt1"/>
            </a:solidFill>
          </a:ln>
          <a:effectLst/>
        </c:spPr>
      </c:pivotFmt>
      <c:pivotFmt>
        <c:idx val="53"/>
        <c:spPr>
          <a:solidFill>
            <a:schemeClr val="accent2"/>
          </a:solidFill>
          <a:ln w="19050">
            <a:solidFill>
              <a:schemeClr val="lt1"/>
            </a:solidFill>
          </a:ln>
          <a:effectLst/>
        </c:spPr>
      </c:pivotFmt>
      <c:pivotFmt>
        <c:idx val="54"/>
        <c:spPr>
          <a:solidFill>
            <a:schemeClr val="accent2"/>
          </a:solidFill>
          <a:ln w="19050">
            <a:solidFill>
              <a:schemeClr val="lt1"/>
            </a:solidFill>
          </a:ln>
          <a:effectLst/>
        </c:spPr>
      </c:pivotFmt>
      <c:pivotFmt>
        <c:idx val="55"/>
        <c:spPr>
          <a:solidFill>
            <a:schemeClr val="accent2"/>
          </a:solidFill>
          <a:ln w="19050">
            <a:solidFill>
              <a:schemeClr val="lt1"/>
            </a:solidFill>
          </a:ln>
          <a:effectLst/>
        </c:spPr>
      </c:pivotFmt>
      <c:pivotFmt>
        <c:idx val="56"/>
        <c:spPr>
          <a:solidFill>
            <a:schemeClr val="accent2"/>
          </a:solidFill>
          <a:ln w="19050">
            <a:solidFill>
              <a:schemeClr val="lt1"/>
            </a:solidFill>
          </a:ln>
          <a:effectLst/>
        </c:spPr>
      </c:pivotFmt>
      <c:pivotFmt>
        <c:idx val="57"/>
        <c:spPr>
          <a:solidFill>
            <a:schemeClr val="accent2"/>
          </a:solidFill>
          <a:ln w="19050">
            <a:solidFill>
              <a:schemeClr val="lt1"/>
            </a:solidFill>
          </a:ln>
          <a:effectLst/>
        </c:spPr>
      </c:pivotFmt>
      <c:pivotFmt>
        <c:idx val="58"/>
        <c:spPr>
          <a:solidFill>
            <a:schemeClr val="accent2"/>
          </a:solidFill>
          <a:ln w="19050">
            <a:solidFill>
              <a:schemeClr val="lt1"/>
            </a:solidFill>
          </a:ln>
          <a:effectLst/>
        </c:spPr>
      </c:pivotFmt>
      <c:pivotFmt>
        <c:idx val="59"/>
        <c:spPr>
          <a:solidFill>
            <a:schemeClr val="accent2"/>
          </a:solidFill>
          <a:ln w="19050">
            <a:solidFill>
              <a:schemeClr val="lt1"/>
            </a:solidFill>
          </a:ln>
          <a:effectLst/>
        </c:spPr>
      </c:pivotFmt>
      <c:pivotFmt>
        <c:idx val="60"/>
        <c:spPr>
          <a:solidFill>
            <a:schemeClr val="accent2"/>
          </a:solidFill>
          <a:ln w="19050">
            <a:solidFill>
              <a:schemeClr val="lt1"/>
            </a:solidFill>
          </a:ln>
          <a:effectLst/>
        </c:spPr>
      </c:pivotFmt>
      <c:pivotFmt>
        <c:idx val="61"/>
        <c:spPr>
          <a:solidFill>
            <a:schemeClr val="accent2"/>
          </a:solidFill>
          <a:ln w="19050">
            <a:solidFill>
              <a:schemeClr val="lt1"/>
            </a:solidFill>
          </a:ln>
          <a:effectLst/>
        </c:spPr>
      </c:pivotFmt>
      <c:pivotFmt>
        <c:idx val="62"/>
        <c:spPr>
          <a:solidFill>
            <a:schemeClr val="accent2"/>
          </a:solidFill>
          <a:ln w="19050">
            <a:solidFill>
              <a:schemeClr val="lt1"/>
            </a:solidFill>
          </a:ln>
          <a:effectLst/>
        </c:spPr>
      </c:pivotFmt>
      <c:pivotFmt>
        <c:idx val="63"/>
        <c:spPr>
          <a:solidFill>
            <a:schemeClr val="accent2"/>
          </a:solidFill>
          <a:ln w="19050">
            <a:solidFill>
              <a:schemeClr val="lt1"/>
            </a:solidFill>
          </a:ln>
          <a:effectLst/>
        </c:spPr>
      </c:pivotFmt>
      <c:pivotFmt>
        <c:idx val="64"/>
        <c:spPr>
          <a:solidFill>
            <a:schemeClr val="accent2"/>
          </a:solidFill>
          <a:ln w="19050">
            <a:solidFill>
              <a:schemeClr val="lt1"/>
            </a:solidFill>
          </a:ln>
          <a:effectLst/>
        </c:spPr>
      </c:pivotFmt>
      <c:pivotFmt>
        <c:idx val="65"/>
        <c:spPr>
          <a:solidFill>
            <a:schemeClr val="accent2"/>
          </a:solidFill>
          <a:ln w="19050">
            <a:solidFill>
              <a:schemeClr val="lt1"/>
            </a:solidFill>
          </a:ln>
          <a:effectLst/>
        </c:spPr>
      </c:pivotFmt>
      <c:pivotFmt>
        <c:idx val="66"/>
        <c:spPr>
          <a:solidFill>
            <a:schemeClr val="accent2"/>
          </a:solidFill>
          <a:ln w="19050">
            <a:solidFill>
              <a:schemeClr val="lt1"/>
            </a:solidFill>
          </a:ln>
          <a:effectLst/>
        </c:spPr>
      </c:pivotFmt>
      <c:pivotFmt>
        <c:idx val="67"/>
        <c:spPr>
          <a:solidFill>
            <a:schemeClr val="accent2"/>
          </a:solidFill>
          <a:ln w="19050">
            <a:solidFill>
              <a:schemeClr val="lt1"/>
            </a:solidFill>
          </a:ln>
          <a:effectLst/>
        </c:spPr>
      </c:pivotFmt>
      <c:pivotFmt>
        <c:idx val="68"/>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9"/>
        <c:spPr>
          <a:solidFill>
            <a:schemeClr val="accent2"/>
          </a:solidFill>
          <a:ln w="19050">
            <a:solidFill>
              <a:schemeClr val="lt1"/>
            </a:solidFill>
          </a:ln>
          <a:effectLst/>
        </c:spPr>
      </c:pivotFmt>
      <c:pivotFmt>
        <c:idx val="70"/>
        <c:spPr>
          <a:solidFill>
            <a:schemeClr val="accent2"/>
          </a:solidFill>
          <a:ln w="19050">
            <a:solidFill>
              <a:schemeClr val="lt1"/>
            </a:solidFill>
          </a:ln>
          <a:effectLst/>
        </c:spPr>
      </c:pivotFmt>
      <c:pivotFmt>
        <c:idx val="71"/>
        <c:spPr>
          <a:solidFill>
            <a:schemeClr val="accent2"/>
          </a:solidFill>
          <a:ln w="19050">
            <a:solidFill>
              <a:schemeClr val="lt1"/>
            </a:solidFill>
          </a:ln>
          <a:effectLst/>
        </c:spPr>
      </c:pivotFmt>
      <c:pivotFmt>
        <c:idx val="72"/>
        <c:spPr>
          <a:solidFill>
            <a:schemeClr val="accent2"/>
          </a:solidFill>
          <a:ln w="19050">
            <a:solidFill>
              <a:schemeClr val="lt1"/>
            </a:solidFill>
          </a:ln>
          <a:effectLst/>
        </c:spPr>
      </c:pivotFmt>
      <c:pivotFmt>
        <c:idx val="73"/>
        <c:spPr>
          <a:solidFill>
            <a:schemeClr val="accent2"/>
          </a:solidFill>
          <a:ln w="19050">
            <a:solidFill>
              <a:schemeClr val="lt1"/>
            </a:solidFill>
          </a:ln>
          <a:effectLst/>
        </c:spPr>
      </c:pivotFmt>
      <c:pivotFmt>
        <c:idx val="74"/>
        <c:spPr>
          <a:solidFill>
            <a:schemeClr val="accent2"/>
          </a:solidFill>
          <a:ln w="19050">
            <a:solidFill>
              <a:schemeClr val="lt1"/>
            </a:solidFill>
          </a:ln>
          <a:effectLst/>
        </c:spPr>
      </c:pivotFmt>
      <c:pivotFmt>
        <c:idx val="75"/>
        <c:spPr>
          <a:solidFill>
            <a:schemeClr val="accent2"/>
          </a:solidFill>
          <a:ln w="19050">
            <a:solidFill>
              <a:schemeClr val="lt1"/>
            </a:solidFill>
          </a:ln>
          <a:effectLst/>
        </c:spPr>
      </c:pivotFmt>
      <c:pivotFmt>
        <c:idx val="76"/>
        <c:spPr>
          <a:solidFill>
            <a:schemeClr val="accent2"/>
          </a:solidFill>
          <a:ln w="19050">
            <a:solidFill>
              <a:schemeClr val="lt1"/>
            </a:solidFill>
          </a:ln>
          <a:effectLst/>
        </c:spPr>
      </c:pivotFmt>
      <c:pivotFmt>
        <c:idx val="77"/>
        <c:spPr>
          <a:solidFill>
            <a:schemeClr val="accent2"/>
          </a:solidFill>
          <a:ln w="19050">
            <a:solidFill>
              <a:schemeClr val="lt1"/>
            </a:solidFill>
          </a:ln>
          <a:effectLst/>
        </c:spPr>
      </c:pivotFmt>
      <c:pivotFmt>
        <c:idx val="78"/>
        <c:spPr>
          <a:solidFill>
            <a:schemeClr val="accent2"/>
          </a:solidFill>
          <a:ln w="19050">
            <a:solidFill>
              <a:schemeClr val="lt1"/>
            </a:solidFill>
          </a:ln>
          <a:effectLst/>
        </c:spPr>
      </c:pivotFmt>
      <c:pivotFmt>
        <c:idx val="79"/>
        <c:spPr>
          <a:solidFill>
            <a:schemeClr val="accent2"/>
          </a:solidFill>
          <a:ln w="19050">
            <a:solidFill>
              <a:schemeClr val="lt1"/>
            </a:solidFill>
          </a:ln>
          <a:effectLst/>
        </c:spPr>
      </c:pivotFmt>
      <c:pivotFmt>
        <c:idx val="80"/>
        <c:spPr>
          <a:solidFill>
            <a:schemeClr val="accent2"/>
          </a:solidFill>
          <a:ln w="19050">
            <a:solidFill>
              <a:schemeClr val="lt1"/>
            </a:solidFill>
          </a:ln>
          <a:effectLst/>
        </c:spPr>
      </c:pivotFmt>
      <c:pivotFmt>
        <c:idx val="81"/>
        <c:spPr>
          <a:solidFill>
            <a:schemeClr val="accent2"/>
          </a:solidFill>
          <a:ln w="19050">
            <a:solidFill>
              <a:schemeClr val="lt1"/>
            </a:solidFill>
          </a:ln>
          <a:effectLst/>
        </c:spPr>
      </c:pivotFmt>
      <c:pivotFmt>
        <c:idx val="82"/>
        <c:spPr>
          <a:solidFill>
            <a:schemeClr val="accent2"/>
          </a:solidFill>
          <a:ln w="19050">
            <a:solidFill>
              <a:schemeClr val="lt1"/>
            </a:solidFill>
          </a:ln>
          <a:effectLst/>
        </c:spPr>
      </c:pivotFmt>
      <c:pivotFmt>
        <c:idx val="83"/>
        <c:spPr>
          <a:solidFill>
            <a:schemeClr val="accent2"/>
          </a:solidFill>
          <a:ln w="19050">
            <a:solidFill>
              <a:schemeClr val="lt1"/>
            </a:solidFill>
          </a:ln>
          <a:effectLst/>
        </c:spPr>
      </c:pivotFmt>
      <c:pivotFmt>
        <c:idx val="84"/>
        <c:spPr>
          <a:solidFill>
            <a:schemeClr val="accent2"/>
          </a:solidFill>
          <a:ln w="19050">
            <a:solidFill>
              <a:schemeClr val="lt1"/>
            </a:solidFill>
          </a:ln>
          <a:effectLst/>
        </c:spPr>
      </c:pivotFmt>
      <c:pivotFmt>
        <c:idx val="85"/>
        <c:spPr>
          <a:solidFill>
            <a:schemeClr val="accent2"/>
          </a:solidFill>
          <a:ln w="19050">
            <a:solidFill>
              <a:schemeClr val="lt1"/>
            </a:solidFill>
          </a:ln>
          <a:effectLst/>
        </c:spPr>
      </c:pivotFmt>
      <c:pivotFmt>
        <c:idx val="86"/>
        <c:spPr>
          <a:solidFill>
            <a:schemeClr val="accent2"/>
          </a:solidFill>
          <a:ln w="19050">
            <a:solidFill>
              <a:schemeClr val="lt1"/>
            </a:solidFill>
          </a:ln>
          <a:effectLst/>
        </c:spPr>
      </c:pivotFmt>
      <c:pivotFmt>
        <c:idx val="87"/>
        <c:spPr>
          <a:solidFill>
            <a:schemeClr val="accent2"/>
          </a:solidFill>
          <a:ln w="19050">
            <a:solidFill>
              <a:schemeClr val="lt1"/>
            </a:solidFill>
          </a:ln>
          <a:effectLst/>
        </c:spPr>
      </c:pivotFmt>
      <c:pivotFmt>
        <c:idx val="88"/>
        <c:spPr>
          <a:solidFill>
            <a:schemeClr val="accent2"/>
          </a:solidFill>
          <a:ln w="19050">
            <a:solidFill>
              <a:schemeClr val="lt1"/>
            </a:solidFill>
          </a:ln>
          <a:effectLst/>
        </c:spPr>
      </c:pivotFmt>
      <c:pivotFmt>
        <c:idx val="89"/>
        <c:spPr>
          <a:solidFill>
            <a:schemeClr val="accent2"/>
          </a:solidFill>
          <a:ln w="19050">
            <a:solidFill>
              <a:schemeClr val="lt1"/>
            </a:solidFill>
          </a:ln>
          <a:effectLst/>
        </c:spPr>
      </c:pivotFmt>
    </c:pivotFmts>
    <c:plotArea>
      <c:layout/>
      <c:pieChart>
        <c:varyColors val="1"/>
        <c:ser>
          <c:idx val="0"/>
          <c:order val="0"/>
          <c:tx>
            <c:strRef>
              <c:f>country_pledged!$B$3</c:f>
              <c:strCache>
                <c:ptCount val="1"/>
                <c:pt idx="0">
                  <c:v>total pledged</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C685-4F47-BC22-6F144E131292}"/>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C685-4F47-BC22-6F144E131292}"/>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C685-4F47-BC22-6F144E131292}"/>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C685-4F47-BC22-6F144E131292}"/>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C685-4F47-BC22-6F144E131292}"/>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B-C685-4F47-BC22-6F144E131292}"/>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0D-C685-4F47-BC22-6F144E131292}"/>
              </c:ext>
            </c:extLst>
          </c:dPt>
          <c:dPt>
            <c:idx val="7"/>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0F-C685-4F47-BC22-6F144E131292}"/>
              </c:ext>
            </c:extLst>
          </c:dPt>
          <c:dPt>
            <c:idx val="8"/>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11-C685-4F47-BC22-6F144E131292}"/>
              </c:ext>
            </c:extLst>
          </c:dPt>
          <c:dPt>
            <c:idx val="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13-C685-4F47-BC22-6F144E131292}"/>
              </c:ext>
            </c:extLst>
          </c:dPt>
          <c:dPt>
            <c:idx val="10"/>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15-C685-4F47-BC22-6F144E131292}"/>
              </c:ext>
            </c:extLst>
          </c:dPt>
          <c:dPt>
            <c:idx val="11"/>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17-C685-4F47-BC22-6F144E131292}"/>
              </c:ext>
            </c:extLst>
          </c:dPt>
          <c:dPt>
            <c:idx val="12"/>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19-C685-4F47-BC22-6F144E131292}"/>
              </c:ext>
            </c:extLst>
          </c:dPt>
          <c:dPt>
            <c:idx val="13"/>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1B-C685-4F47-BC22-6F144E131292}"/>
              </c:ext>
            </c:extLst>
          </c:dPt>
          <c:dPt>
            <c:idx val="14"/>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1D-C685-4F47-BC22-6F144E131292}"/>
              </c:ext>
            </c:extLst>
          </c:dPt>
          <c:dPt>
            <c:idx val="15"/>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1F-C685-4F47-BC22-6F144E131292}"/>
              </c:ext>
            </c:extLst>
          </c:dPt>
          <c:dPt>
            <c:idx val="16"/>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21-C685-4F47-BC22-6F144E131292}"/>
              </c:ext>
            </c:extLst>
          </c:dPt>
          <c:dPt>
            <c:idx val="17"/>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23-C685-4F47-BC22-6F144E131292}"/>
              </c:ext>
            </c:extLst>
          </c:dPt>
          <c:dPt>
            <c:idx val="18"/>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25-C685-4F47-BC22-6F144E131292}"/>
              </c:ext>
            </c:extLst>
          </c:dPt>
          <c:dPt>
            <c:idx val="1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27-C685-4F47-BC22-6F144E131292}"/>
              </c:ext>
            </c:extLst>
          </c:dPt>
          <c:dPt>
            <c:idx val="20"/>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29-C685-4F47-BC22-6F144E1312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country_pledged!$A$4:$A$25</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country_pledged!$B$4:$B$25</c:f>
              <c:numCache>
                <c:formatCode>"$"#,##0_);[Red]\("$"#,##0\)</c:formatCode>
                <c:ptCount val="21"/>
                <c:pt idx="0">
                  <c:v>423984</c:v>
                </c:pt>
                <c:pt idx="1">
                  <c:v>714202.52</c:v>
                </c:pt>
                <c:pt idx="2">
                  <c:v>4055.93</c:v>
                </c:pt>
                <c:pt idx="3">
                  <c:v>769589.05</c:v>
                </c:pt>
                <c:pt idx="4">
                  <c:v>6334</c:v>
                </c:pt>
                <c:pt idx="5">
                  <c:v>1909861.63</c:v>
                </c:pt>
                <c:pt idx="6">
                  <c:v>204294</c:v>
                </c:pt>
                <c:pt idx="7">
                  <c:v>502344</c:v>
                </c:pt>
                <c:pt idx="8">
                  <c:v>54677.66</c:v>
                </c:pt>
                <c:pt idx="9">
                  <c:v>3498056.1400000011</c:v>
                </c:pt>
                <c:pt idx="10">
                  <c:v>205035</c:v>
                </c:pt>
                <c:pt idx="11">
                  <c:v>141036.22999999998</c:v>
                </c:pt>
                <c:pt idx="12">
                  <c:v>320039.88</c:v>
                </c:pt>
                <c:pt idx="13">
                  <c:v>16065.5</c:v>
                </c:pt>
                <c:pt idx="14">
                  <c:v>78160</c:v>
                </c:pt>
                <c:pt idx="15">
                  <c:v>145121</c:v>
                </c:pt>
                <c:pt idx="16">
                  <c:v>493022</c:v>
                </c:pt>
                <c:pt idx="17">
                  <c:v>43644</c:v>
                </c:pt>
                <c:pt idx="18">
                  <c:v>452442.55</c:v>
                </c:pt>
                <c:pt idx="19">
                  <c:v>9124</c:v>
                </c:pt>
                <c:pt idx="20">
                  <c:v>36182652.570000008</c:v>
                </c:pt>
              </c:numCache>
            </c:numRef>
          </c:val>
          <c:extLst>
            <c:ext xmlns:c16="http://schemas.microsoft.com/office/drawing/2014/chart" uri="{C3380CC4-5D6E-409C-BE32-E72D297353CC}">
              <c16:uniqueId val="{0000002A-C685-4F47-BC22-6F144E131292}"/>
            </c:ext>
          </c:extLst>
        </c:ser>
        <c:ser>
          <c:idx val="1"/>
          <c:order val="1"/>
          <c:tx>
            <c:strRef>
              <c:f>country_pledged!$C$3</c:f>
              <c:strCache>
                <c:ptCount val="1"/>
                <c:pt idx="0">
                  <c:v>% of total pledged</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2C-C685-4F47-BC22-6F144E131292}"/>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2E-C685-4F47-BC22-6F144E131292}"/>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30-C685-4F47-BC22-6F144E131292}"/>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32-C685-4F47-BC22-6F144E131292}"/>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34-C685-4F47-BC22-6F144E131292}"/>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36-C685-4F47-BC22-6F144E131292}"/>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38-C685-4F47-BC22-6F144E131292}"/>
              </c:ext>
            </c:extLst>
          </c:dPt>
          <c:dPt>
            <c:idx val="7"/>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3A-C685-4F47-BC22-6F144E131292}"/>
              </c:ext>
            </c:extLst>
          </c:dPt>
          <c:dPt>
            <c:idx val="8"/>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3C-C685-4F47-BC22-6F144E131292}"/>
              </c:ext>
            </c:extLst>
          </c:dPt>
          <c:dPt>
            <c:idx val="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3E-C685-4F47-BC22-6F144E131292}"/>
              </c:ext>
            </c:extLst>
          </c:dPt>
          <c:dPt>
            <c:idx val="10"/>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40-C685-4F47-BC22-6F144E131292}"/>
              </c:ext>
            </c:extLst>
          </c:dPt>
          <c:dPt>
            <c:idx val="11"/>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42-C685-4F47-BC22-6F144E131292}"/>
              </c:ext>
            </c:extLst>
          </c:dPt>
          <c:dPt>
            <c:idx val="12"/>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44-C685-4F47-BC22-6F144E131292}"/>
              </c:ext>
            </c:extLst>
          </c:dPt>
          <c:dPt>
            <c:idx val="13"/>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46-C685-4F47-BC22-6F144E131292}"/>
              </c:ext>
            </c:extLst>
          </c:dPt>
          <c:dPt>
            <c:idx val="14"/>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48-C685-4F47-BC22-6F144E131292}"/>
              </c:ext>
            </c:extLst>
          </c:dPt>
          <c:dPt>
            <c:idx val="15"/>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4A-C685-4F47-BC22-6F144E131292}"/>
              </c:ext>
            </c:extLst>
          </c:dPt>
          <c:dPt>
            <c:idx val="16"/>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C-C685-4F47-BC22-6F144E131292}"/>
              </c:ext>
            </c:extLst>
          </c:dPt>
          <c:dPt>
            <c:idx val="17"/>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E-C685-4F47-BC22-6F144E131292}"/>
              </c:ext>
            </c:extLst>
          </c:dPt>
          <c:dPt>
            <c:idx val="18"/>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50-C685-4F47-BC22-6F144E131292}"/>
              </c:ext>
            </c:extLst>
          </c:dPt>
          <c:dPt>
            <c:idx val="1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52-C685-4F47-BC22-6F144E131292}"/>
              </c:ext>
            </c:extLst>
          </c:dPt>
          <c:dPt>
            <c:idx val="20"/>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54-C685-4F47-BC22-6F144E1312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country_pledged!$A$4:$A$25</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country_pledged!$C$4:$C$25</c:f>
              <c:numCache>
                <c:formatCode>0.00%</c:formatCode>
                <c:ptCount val="21"/>
                <c:pt idx="0">
                  <c:v>9.1823617657413002E-3</c:v>
                </c:pt>
                <c:pt idx="1">
                  <c:v>1.546772027398224E-2</c:v>
                </c:pt>
                <c:pt idx="2">
                  <c:v>8.7840617939646568E-5</c:v>
                </c:pt>
                <c:pt idx="3">
                  <c:v>1.6667244679169899E-2</c:v>
                </c:pt>
                <c:pt idx="4">
                  <c:v>1.3717753364326341E-4</c:v>
                </c:pt>
                <c:pt idx="5">
                  <c:v>4.1362505210499348E-2</c:v>
                </c:pt>
                <c:pt idx="6">
                  <c:v>4.4244627499395103E-3</c:v>
                </c:pt>
                <c:pt idx="7">
                  <c:v>1.0879430211634279E-2</c:v>
                </c:pt>
                <c:pt idx="8">
                  <c:v>1.1841721730636121E-3</c:v>
                </c:pt>
                <c:pt idx="9">
                  <c:v>7.5758559177593041E-2</c:v>
                </c:pt>
                <c:pt idx="10">
                  <c:v>4.4405108321039647E-3</c:v>
                </c:pt>
                <c:pt idx="11">
                  <c:v>3.0544682958231818E-3</c:v>
                </c:pt>
                <c:pt idx="12">
                  <c:v>6.9312095683432247E-3</c:v>
                </c:pt>
                <c:pt idx="13">
                  <c:v>3.4793584887051599E-4</c:v>
                </c:pt>
                <c:pt idx="14">
                  <c:v>1.6927369797217348E-3</c:v>
                </c:pt>
                <c:pt idx="15">
                  <c:v>3.1429335111847223E-3</c:v>
                </c:pt>
                <c:pt idx="16">
                  <c:v>1.0677540573392645E-2</c:v>
                </c:pt>
                <c:pt idx="17">
                  <c:v>9.4521254788863091E-4</c:v>
                </c:pt>
                <c:pt idx="18">
                  <c:v>9.7986979987794275E-3</c:v>
                </c:pt>
                <c:pt idx="19">
                  <c:v>1.9760148673210221E-4</c:v>
                </c:pt>
                <c:pt idx="20">
                  <c:v>0.78361967796395449</c:v>
                </c:pt>
              </c:numCache>
            </c:numRef>
          </c:val>
          <c:extLst>
            <c:ext xmlns:c16="http://schemas.microsoft.com/office/drawing/2014/chart" uri="{C3380CC4-5D6E-409C-BE32-E72D297353CC}">
              <c16:uniqueId val="{00000055-C685-4F47-BC22-6F144E131292}"/>
            </c:ext>
          </c:extLst>
        </c:ser>
        <c:ser>
          <c:idx val="2"/>
          <c:order val="2"/>
          <c:tx>
            <c:strRef>
              <c:f>country_pledged!$D$3</c:f>
              <c:strCache>
                <c:ptCount val="1"/>
                <c:pt idx="0">
                  <c:v>Avg Donation</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55-7E45-4A22-A540-DAD73ABFC623}"/>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57-7E45-4A22-A540-DAD73ABFC623}"/>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59-7E45-4A22-A540-DAD73ABFC623}"/>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5B-7E45-4A22-A540-DAD73ABFC623}"/>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5D-7E45-4A22-A540-DAD73ABFC623}"/>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5F-7E45-4A22-A540-DAD73ABFC623}"/>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61-7E45-4A22-A540-DAD73ABFC623}"/>
              </c:ext>
            </c:extLst>
          </c:dPt>
          <c:dPt>
            <c:idx val="7"/>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63-7E45-4A22-A540-DAD73ABFC623}"/>
              </c:ext>
            </c:extLst>
          </c:dPt>
          <c:dPt>
            <c:idx val="8"/>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65-7E45-4A22-A540-DAD73ABFC623}"/>
              </c:ext>
            </c:extLst>
          </c:dPt>
          <c:dPt>
            <c:idx val="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67-7E45-4A22-A540-DAD73ABFC623}"/>
              </c:ext>
            </c:extLst>
          </c:dPt>
          <c:dPt>
            <c:idx val="10"/>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69-7E45-4A22-A540-DAD73ABFC623}"/>
              </c:ext>
            </c:extLst>
          </c:dPt>
          <c:dPt>
            <c:idx val="11"/>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6B-7E45-4A22-A540-DAD73ABFC623}"/>
              </c:ext>
            </c:extLst>
          </c:dPt>
          <c:dPt>
            <c:idx val="12"/>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6D-7E45-4A22-A540-DAD73ABFC623}"/>
              </c:ext>
            </c:extLst>
          </c:dPt>
          <c:dPt>
            <c:idx val="13"/>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6F-7E45-4A22-A540-DAD73ABFC623}"/>
              </c:ext>
            </c:extLst>
          </c:dPt>
          <c:dPt>
            <c:idx val="14"/>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71-7E45-4A22-A540-DAD73ABFC623}"/>
              </c:ext>
            </c:extLst>
          </c:dPt>
          <c:dPt>
            <c:idx val="15"/>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73-7E45-4A22-A540-DAD73ABFC623}"/>
              </c:ext>
            </c:extLst>
          </c:dPt>
          <c:dPt>
            <c:idx val="16"/>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75-7E45-4A22-A540-DAD73ABFC623}"/>
              </c:ext>
            </c:extLst>
          </c:dPt>
          <c:dPt>
            <c:idx val="17"/>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77-7E45-4A22-A540-DAD73ABFC623}"/>
              </c:ext>
            </c:extLst>
          </c:dPt>
          <c:dPt>
            <c:idx val="18"/>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79-7E45-4A22-A540-DAD73ABFC623}"/>
              </c:ext>
            </c:extLst>
          </c:dPt>
          <c:dPt>
            <c:idx val="1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7B-7E45-4A22-A540-DAD73ABFC623}"/>
              </c:ext>
            </c:extLst>
          </c:dPt>
          <c:dPt>
            <c:idx val="20"/>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7D-7E45-4A22-A540-DAD73ABFC62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country_pledged!$A$4:$A$25</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country_pledged!$D$4:$D$25</c:f>
              <c:numCache>
                <c:formatCode>"$"#,##0.00_);[Red]\("$"#,##0.00\)</c:formatCode>
                <c:ptCount val="21"/>
                <c:pt idx="0">
                  <c:v>117.47063585735505</c:v>
                </c:pt>
                <c:pt idx="1">
                  <c:v>87.610013130783003</c:v>
                </c:pt>
                <c:pt idx="2">
                  <c:v>30.992464788732395</c:v>
                </c:pt>
                <c:pt idx="3">
                  <c:v>82.837513485305507</c:v>
                </c:pt>
                <c:pt idx="4">
                  <c:v>46.375845410628017</c:v>
                </c:pt>
                <c:pt idx="5">
                  <c:v>70.247884378447637</c:v>
                </c:pt>
                <c:pt idx="6">
                  <c:v>217.91260064907001</c:v>
                </c:pt>
                <c:pt idx="7">
                  <c:v>142.21297151493394</c:v>
                </c:pt>
                <c:pt idx="8">
                  <c:v>74.083356299607004</c:v>
                </c:pt>
                <c:pt idx="9">
                  <c:v>49.336621642490059</c:v>
                </c:pt>
                <c:pt idx="10">
                  <c:v>979.64285714285722</c:v>
                </c:pt>
                <c:pt idx="11">
                  <c:v>49.840966888926047</c:v>
                </c:pt>
                <c:pt idx="12">
                  <c:v>75.523252145982866</c:v>
                </c:pt>
                <c:pt idx="13">
                  <c:v>83.201653944020364</c:v>
                </c:pt>
                <c:pt idx="14">
                  <c:v>475.898569023569</c:v>
                </c:pt>
                <c:pt idx="15">
                  <c:v>58.887770579685927</c:v>
                </c:pt>
                <c:pt idx="16">
                  <c:v>326.50051480051479</c:v>
                </c:pt>
                <c:pt idx="17">
                  <c:v>68.272962247962241</c:v>
                </c:pt>
                <c:pt idx="18">
                  <c:v>491.264716171597</c:v>
                </c:pt>
                <c:pt idx="19">
                  <c:v>126.72222222222223</c:v>
                </c:pt>
                <c:pt idx="20">
                  <c:v>79.470830863771667</c:v>
                </c:pt>
              </c:numCache>
            </c:numRef>
          </c:val>
          <c:extLst>
            <c:ext xmlns:c16="http://schemas.microsoft.com/office/drawing/2014/chart" uri="{C3380CC4-5D6E-409C-BE32-E72D297353CC}">
              <c16:uniqueId val="{00000056-C685-4F47-BC22-6F144E13129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485</Words>
  <Characters>2767</Characters>
  <Application>Microsoft Office Word</Application>
  <DocSecurity>2</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 Cheng</dc:creator>
  <cp:keywords/>
  <dc:description/>
  <cp:lastModifiedBy>Jadd Cheng</cp:lastModifiedBy>
  <cp:revision>33</cp:revision>
  <cp:lastPrinted>2019-07-28T04:31:00Z</cp:lastPrinted>
  <dcterms:created xsi:type="dcterms:W3CDTF">2019-07-28T00:30:00Z</dcterms:created>
  <dcterms:modified xsi:type="dcterms:W3CDTF">2019-07-28T04:34:00Z</dcterms:modified>
</cp:coreProperties>
</file>