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724826"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ADD23FC" w14:textId="6BFE9C45" w:rsidR="0011734F" w:rsidRPr="00D7036D" w:rsidRDefault="0011734F"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11734F" w:rsidRPr="00D7036D" w:rsidRDefault="0011734F"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6EE6156B"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235B38F1" w14:textId="654043B7" w:rsidR="0011734F" w:rsidRPr="00D7036D" w:rsidRDefault="0011734F">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01FA4CA2"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6717F12B" w14:textId="46A6A44F"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11734F" w:rsidRPr="00D7036D" w:rsidRDefault="0011734F">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6EE6156B"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235B38F1" w14:textId="654043B7" w:rsidR="0011734F" w:rsidRPr="00D7036D" w:rsidRDefault="0011734F">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01FA4CA2" w14:textId="77777777" w:rsidR="0011734F" w:rsidRPr="00D7036D" w:rsidRDefault="0011734F">
                          <w:pPr>
                            <w:pStyle w:val="Sinespaciado"/>
                            <w:jc w:val="right"/>
                            <w:rPr>
                              <w:rFonts w:ascii="Times New Roman" w:hAnsi="Times New Roman" w:cs="Times New Roman"/>
                              <w:color w:val="262626" w:themeColor="text1" w:themeTint="D9"/>
                              <w:sz w:val="28"/>
                              <w:szCs w:val="28"/>
                            </w:rPr>
                          </w:pPr>
                        </w:p>
                        <w:p w14:paraId="6717F12B" w14:textId="46A6A44F"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11734F" w:rsidRPr="00D7036D" w:rsidRDefault="0011734F">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11734F" w:rsidRPr="00D7036D" w:rsidRDefault="0011734F">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724826">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A44CF7" w:rsidRDefault="00485ADE" w:rsidP="006C0262">
          <w:pPr>
            <w:spacing w:line="360" w:lineRule="auto"/>
            <w:jc w:val="both"/>
            <w:rPr>
              <w:lang w:val="es-ES" w:eastAsia="es-MX"/>
            </w:rPr>
          </w:pPr>
        </w:p>
        <w:p w14:paraId="7B7DCD03" w14:textId="42A6EFA0" w:rsidR="00A44CF7" w:rsidRPr="00A44CF7" w:rsidRDefault="0060089C">
          <w:pPr>
            <w:pStyle w:val="TDC1"/>
            <w:tabs>
              <w:tab w:val="left" w:pos="440"/>
              <w:tab w:val="right" w:leader="dot" w:pos="8828"/>
            </w:tabs>
            <w:rPr>
              <w:rFonts w:asciiTheme="minorHAnsi" w:eastAsiaTheme="minorEastAsia" w:hAnsiTheme="minorHAnsi"/>
              <w:noProof/>
              <w:sz w:val="22"/>
              <w:lang w:eastAsia="es-MX"/>
            </w:rPr>
          </w:pPr>
          <w:r w:rsidRPr="00A44CF7">
            <w:rPr>
              <w:rFonts w:cs="Times New Roman"/>
              <w:szCs w:val="24"/>
            </w:rPr>
            <w:fldChar w:fldCharType="begin"/>
          </w:r>
          <w:r w:rsidRPr="00A44CF7">
            <w:rPr>
              <w:rFonts w:cs="Times New Roman"/>
              <w:szCs w:val="24"/>
            </w:rPr>
            <w:instrText xml:space="preserve"> TOC \o "1-3" \h \z \u </w:instrText>
          </w:r>
          <w:r w:rsidRPr="00A44CF7">
            <w:rPr>
              <w:rFonts w:cs="Times New Roman"/>
              <w:szCs w:val="24"/>
            </w:rPr>
            <w:fldChar w:fldCharType="separate"/>
          </w:r>
          <w:hyperlink w:anchor="_Toc40695733" w:history="1">
            <w:r w:rsidR="00A44CF7" w:rsidRPr="00A44CF7">
              <w:rPr>
                <w:rStyle w:val="Hipervnculo"/>
                <w:rFonts w:cs="Times New Roman"/>
                <w:noProof/>
              </w:rPr>
              <w:t>1.</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Introducción</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_Toc40695733 \h </w:instrText>
            </w:r>
            <w:r w:rsidR="00A44CF7" w:rsidRPr="00A44CF7">
              <w:rPr>
                <w:noProof/>
                <w:webHidden/>
              </w:rPr>
            </w:r>
            <w:r w:rsidR="00A44CF7" w:rsidRPr="00A44CF7">
              <w:rPr>
                <w:noProof/>
                <w:webHidden/>
              </w:rPr>
              <w:fldChar w:fldCharType="separate"/>
            </w:r>
            <w:r w:rsidR="00ED2890">
              <w:rPr>
                <w:noProof/>
                <w:webHidden/>
              </w:rPr>
              <w:t>2</w:t>
            </w:r>
            <w:r w:rsidR="00A44CF7" w:rsidRPr="00A44CF7">
              <w:rPr>
                <w:noProof/>
                <w:webHidden/>
              </w:rPr>
              <w:fldChar w:fldCharType="end"/>
            </w:r>
          </w:hyperlink>
        </w:p>
        <w:p w14:paraId="242EF330" w14:textId="5A5E6B17" w:rsidR="00A44CF7" w:rsidRPr="00A44CF7" w:rsidRDefault="00724826">
          <w:pPr>
            <w:pStyle w:val="TDC1"/>
            <w:tabs>
              <w:tab w:val="left" w:pos="440"/>
              <w:tab w:val="right" w:leader="dot" w:pos="8828"/>
            </w:tabs>
            <w:rPr>
              <w:rFonts w:asciiTheme="minorHAnsi" w:eastAsiaTheme="minorEastAsia" w:hAnsiTheme="minorHAnsi"/>
              <w:noProof/>
              <w:sz w:val="22"/>
              <w:lang w:eastAsia="es-MX"/>
            </w:rPr>
          </w:pPr>
          <w:hyperlink w:anchor="_Toc40695734" w:history="1">
            <w:r w:rsidR="00A44CF7" w:rsidRPr="00A44CF7">
              <w:rPr>
                <w:rStyle w:val="Hipervnculo"/>
                <w:rFonts w:cs="Times New Roman"/>
                <w:noProof/>
              </w:rPr>
              <w:t>2.</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Objetivo del modelo</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_Toc40695734 \h </w:instrText>
            </w:r>
            <w:r w:rsidR="00A44CF7" w:rsidRPr="00A44CF7">
              <w:rPr>
                <w:noProof/>
                <w:webHidden/>
              </w:rPr>
            </w:r>
            <w:r w:rsidR="00A44CF7" w:rsidRPr="00A44CF7">
              <w:rPr>
                <w:noProof/>
                <w:webHidden/>
              </w:rPr>
              <w:fldChar w:fldCharType="separate"/>
            </w:r>
            <w:r w:rsidR="00ED2890">
              <w:rPr>
                <w:noProof/>
                <w:webHidden/>
              </w:rPr>
              <w:t>3</w:t>
            </w:r>
            <w:r w:rsidR="00A44CF7" w:rsidRPr="00A44CF7">
              <w:rPr>
                <w:noProof/>
                <w:webHidden/>
              </w:rPr>
              <w:fldChar w:fldCharType="end"/>
            </w:r>
          </w:hyperlink>
        </w:p>
        <w:p w14:paraId="38343F18" w14:textId="58FBB3C0" w:rsidR="00A44CF7" w:rsidRPr="00A44CF7" w:rsidRDefault="00724826">
          <w:pPr>
            <w:pStyle w:val="TDC1"/>
            <w:tabs>
              <w:tab w:val="left" w:pos="440"/>
              <w:tab w:val="right" w:leader="dot" w:pos="8828"/>
            </w:tabs>
            <w:rPr>
              <w:rFonts w:asciiTheme="minorHAnsi" w:eastAsiaTheme="minorEastAsia" w:hAnsiTheme="minorHAnsi"/>
              <w:noProof/>
              <w:sz w:val="22"/>
              <w:lang w:eastAsia="es-MX"/>
            </w:rPr>
          </w:pPr>
          <w:hyperlink w:anchor="_Toc40695735" w:history="1">
            <w:r w:rsidR="00A44CF7" w:rsidRPr="00A44CF7">
              <w:rPr>
                <w:rStyle w:val="Hipervnculo"/>
                <w:rFonts w:cs="Times New Roman"/>
                <w:noProof/>
              </w:rPr>
              <w:t>3.</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Variables del modelo</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_Toc40695735 \h </w:instrText>
            </w:r>
            <w:r w:rsidR="00A44CF7" w:rsidRPr="00A44CF7">
              <w:rPr>
                <w:noProof/>
                <w:webHidden/>
              </w:rPr>
            </w:r>
            <w:r w:rsidR="00A44CF7" w:rsidRPr="00A44CF7">
              <w:rPr>
                <w:noProof/>
                <w:webHidden/>
              </w:rPr>
              <w:fldChar w:fldCharType="separate"/>
            </w:r>
            <w:r w:rsidR="00ED2890">
              <w:rPr>
                <w:noProof/>
                <w:webHidden/>
              </w:rPr>
              <w:t>3</w:t>
            </w:r>
            <w:r w:rsidR="00A44CF7" w:rsidRPr="00A44CF7">
              <w:rPr>
                <w:noProof/>
                <w:webHidden/>
              </w:rPr>
              <w:fldChar w:fldCharType="end"/>
            </w:r>
          </w:hyperlink>
        </w:p>
        <w:p w14:paraId="47656092" w14:textId="650A3BDF" w:rsidR="00A44CF7" w:rsidRPr="00A44CF7" w:rsidRDefault="00724826">
          <w:pPr>
            <w:pStyle w:val="TDC2"/>
            <w:rPr>
              <w:rFonts w:asciiTheme="minorHAnsi" w:eastAsiaTheme="minorEastAsia" w:hAnsiTheme="minorHAnsi" w:cstheme="minorBidi"/>
              <w:b w:val="0"/>
              <w:sz w:val="22"/>
              <w:szCs w:val="22"/>
              <w:lang w:eastAsia="es-MX"/>
            </w:rPr>
          </w:pPr>
          <w:hyperlink w:anchor="_Toc40695736" w:history="1">
            <w:r w:rsidR="00A44CF7" w:rsidRPr="00A44CF7">
              <w:rPr>
                <w:rStyle w:val="Hipervnculo"/>
                <w:b w:val="0"/>
              </w:rPr>
              <w:t>3.1 Variable dependiente</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_Toc40695736 \h </w:instrText>
            </w:r>
            <w:r w:rsidR="00A44CF7" w:rsidRPr="00A44CF7">
              <w:rPr>
                <w:b w:val="0"/>
                <w:webHidden/>
              </w:rPr>
            </w:r>
            <w:r w:rsidR="00A44CF7" w:rsidRPr="00A44CF7">
              <w:rPr>
                <w:b w:val="0"/>
                <w:webHidden/>
              </w:rPr>
              <w:fldChar w:fldCharType="separate"/>
            </w:r>
            <w:r w:rsidR="00ED2890">
              <w:rPr>
                <w:b w:val="0"/>
                <w:webHidden/>
              </w:rPr>
              <w:t>3</w:t>
            </w:r>
            <w:r w:rsidR="00A44CF7" w:rsidRPr="00A44CF7">
              <w:rPr>
                <w:b w:val="0"/>
                <w:webHidden/>
              </w:rPr>
              <w:fldChar w:fldCharType="end"/>
            </w:r>
          </w:hyperlink>
        </w:p>
        <w:p w14:paraId="1736AD9D" w14:textId="415DBBD9" w:rsidR="00A44CF7" w:rsidRPr="00A44CF7" w:rsidRDefault="00724826">
          <w:pPr>
            <w:pStyle w:val="TDC2"/>
            <w:rPr>
              <w:rFonts w:asciiTheme="minorHAnsi" w:eastAsiaTheme="minorEastAsia" w:hAnsiTheme="minorHAnsi" w:cstheme="minorBidi"/>
              <w:b w:val="0"/>
              <w:sz w:val="22"/>
              <w:szCs w:val="22"/>
              <w:lang w:eastAsia="es-MX"/>
            </w:rPr>
          </w:pPr>
          <w:hyperlink w:anchor="_Toc40695737" w:history="1">
            <w:r w:rsidR="00A44CF7" w:rsidRPr="00A44CF7">
              <w:rPr>
                <w:rStyle w:val="Hipervnculo"/>
                <w:b w:val="0"/>
              </w:rPr>
              <w:t>3.2 Variables explicativas y su contexto</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_Toc40695737 \h </w:instrText>
            </w:r>
            <w:r w:rsidR="00A44CF7" w:rsidRPr="00A44CF7">
              <w:rPr>
                <w:b w:val="0"/>
                <w:webHidden/>
              </w:rPr>
            </w:r>
            <w:r w:rsidR="00A44CF7" w:rsidRPr="00A44CF7">
              <w:rPr>
                <w:b w:val="0"/>
                <w:webHidden/>
              </w:rPr>
              <w:fldChar w:fldCharType="separate"/>
            </w:r>
            <w:r w:rsidR="00ED2890">
              <w:rPr>
                <w:b w:val="0"/>
                <w:webHidden/>
              </w:rPr>
              <w:t>3</w:t>
            </w:r>
            <w:r w:rsidR="00A44CF7" w:rsidRPr="00A44CF7">
              <w:rPr>
                <w:b w:val="0"/>
                <w:webHidden/>
              </w:rPr>
              <w:fldChar w:fldCharType="end"/>
            </w:r>
          </w:hyperlink>
        </w:p>
        <w:p w14:paraId="27AF1B15" w14:textId="431F7B6E" w:rsidR="00A44CF7" w:rsidRPr="00A44CF7" w:rsidRDefault="00724826">
          <w:pPr>
            <w:pStyle w:val="TDC1"/>
            <w:tabs>
              <w:tab w:val="left" w:pos="440"/>
              <w:tab w:val="right" w:leader="dot" w:pos="8828"/>
            </w:tabs>
            <w:rPr>
              <w:rFonts w:asciiTheme="minorHAnsi" w:eastAsiaTheme="minorEastAsia" w:hAnsiTheme="minorHAnsi"/>
              <w:noProof/>
              <w:sz w:val="22"/>
              <w:lang w:eastAsia="es-MX"/>
            </w:rPr>
          </w:pPr>
          <w:hyperlink w:anchor="_Toc40695738" w:history="1">
            <w:r w:rsidR="00A44CF7" w:rsidRPr="00A44CF7">
              <w:rPr>
                <w:rStyle w:val="Hipervnculo"/>
                <w:rFonts w:cs="Times New Roman"/>
                <w:noProof/>
              </w:rPr>
              <w:t>4.</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Construcción del modelo</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_Toc40695738 \h </w:instrText>
            </w:r>
            <w:r w:rsidR="00A44CF7" w:rsidRPr="00A44CF7">
              <w:rPr>
                <w:noProof/>
                <w:webHidden/>
              </w:rPr>
            </w:r>
            <w:r w:rsidR="00A44CF7" w:rsidRPr="00A44CF7">
              <w:rPr>
                <w:noProof/>
                <w:webHidden/>
              </w:rPr>
              <w:fldChar w:fldCharType="separate"/>
            </w:r>
            <w:r w:rsidR="00ED2890">
              <w:rPr>
                <w:noProof/>
                <w:webHidden/>
              </w:rPr>
              <w:t>6</w:t>
            </w:r>
            <w:r w:rsidR="00A44CF7" w:rsidRPr="00A44CF7">
              <w:rPr>
                <w:noProof/>
                <w:webHidden/>
              </w:rPr>
              <w:fldChar w:fldCharType="end"/>
            </w:r>
          </w:hyperlink>
        </w:p>
        <w:p w14:paraId="03AEAD34" w14:textId="05A1C207" w:rsidR="00A44CF7" w:rsidRPr="00A44CF7" w:rsidRDefault="00724826">
          <w:pPr>
            <w:pStyle w:val="TDC2"/>
            <w:rPr>
              <w:rFonts w:asciiTheme="minorHAnsi" w:eastAsiaTheme="minorEastAsia" w:hAnsiTheme="minorHAnsi" w:cstheme="minorBidi"/>
              <w:b w:val="0"/>
              <w:sz w:val="22"/>
              <w:szCs w:val="22"/>
              <w:lang w:eastAsia="es-MX"/>
            </w:rPr>
          </w:pPr>
          <w:hyperlink w:anchor="_Toc40695739" w:history="1">
            <w:r w:rsidR="00A44CF7" w:rsidRPr="00A44CF7">
              <w:rPr>
                <w:rStyle w:val="Hipervnculo"/>
                <w:b w:val="0"/>
              </w:rPr>
              <w:t>4.1 Revisiones del modelo</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_Toc40695739 \h </w:instrText>
            </w:r>
            <w:r w:rsidR="00A44CF7" w:rsidRPr="00A44CF7">
              <w:rPr>
                <w:b w:val="0"/>
                <w:webHidden/>
              </w:rPr>
            </w:r>
            <w:r w:rsidR="00A44CF7" w:rsidRPr="00A44CF7">
              <w:rPr>
                <w:b w:val="0"/>
                <w:webHidden/>
              </w:rPr>
              <w:fldChar w:fldCharType="separate"/>
            </w:r>
            <w:r w:rsidR="00ED2890">
              <w:rPr>
                <w:b w:val="0"/>
                <w:webHidden/>
              </w:rPr>
              <w:t>6</w:t>
            </w:r>
            <w:r w:rsidR="00A44CF7" w:rsidRPr="00A44CF7">
              <w:rPr>
                <w:b w:val="0"/>
                <w:webHidden/>
              </w:rPr>
              <w:fldChar w:fldCharType="end"/>
            </w:r>
          </w:hyperlink>
        </w:p>
        <w:p w14:paraId="5F375CAF" w14:textId="10FE1586" w:rsidR="00A44CF7" w:rsidRPr="00A44CF7" w:rsidRDefault="00724826">
          <w:pPr>
            <w:pStyle w:val="TDC1"/>
            <w:tabs>
              <w:tab w:val="left" w:pos="440"/>
              <w:tab w:val="right" w:leader="dot" w:pos="8828"/>
            </w:tabs>
            <w:rPr>
              <w:rFonts w:asciiTheme="minorHAnsi" w:eastAsiaTheme="minorEastAsia" w:hAnsiTheme="minorHAnsi"/>
              <w:noProof/>
              <w:sz w:val="22"/>
              <w:lang w:eastAsia="es-MX"/>
            </w:rPr>
          </w:pPr>
          <w:hyperlink w:anchor="_Toc40695740" w:history="1">
            <w:r w:rsidR="00A44CF7" w:rsidRPr="00A44CF7">
              <w:rPr>
                <w:rStyle w:val="Hipervnculo"/>
                <w:rFonts w:cs="Times New Roman"/>
                <w:noProof/>
              </w:rPr>
              <w:t>5.</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Validación de supuestos</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_Toc40695740 \h </w:instrText>
            </w:r>
            <w:r w:rsidR="00A44CF7" w:rsidRPr="00A44CF7">
              <w:rPr>
                <w:noProof/>
                <w:webHidden/>
              </w:rPr>
            </w:r>
            <w:r w:rsidR="00A44CF7" w:rsidRPr="00A44CF7">
              <w:rPr>
                <w:noProof/>
                <w:webHidden/>
              </w:rPr>
              <w:fldChar w:fldCharType="separate"/>
            </w:r>
            <w:r w:rsidR="00ED2890">
              <w:rPr>
                <w:noProof/>
                <w:webHidden/>
              </w:rPr>
              <w:t>8</w:t>
            </w:r>
            <w:r w:rsidR="00A44CF7" w:rsidRPr="00A44CF7">
              <w:rPr>
                <w:noProof/>
                <w:webHidden/>
              </w:rPr>
              <w:fldChar w:fldCharType="end"/>
            </w:r>
          </w:hyperlink>
        </w:p>
        <w:p w14:paraId="69EB99A3" w14:textId="6DE41B98" w:rsidR="00A44CF7" w:rsidRPr="00A44CF7" w:rsidRDefault="00724826">
          <w:pPr>
            <w:pStyle w:val="TDC2"/>
            <w:rPr>
              <w:rFonts w:asciiTheme="minorHAnsi" w:eastAsiaTheme="minorEastAsia" w:hAnsiTheme="minorHAnsi" w:cstheme="minorBidi"/>
              <w:b w:val="0"/>
              <w:sz w:val="22"/>
              <w:szCs w:val="22"/>
              <w:lang w:eastAsia="es-MX"/>
            </w:rPr>
          </w:pPr>
          <w:hyperlink w:anchor="_Toc40695741" w:history="1">
            <w:r w:rsidR="00A44CF7" w:rsidRPr="00A44CF7">
              <w:rPr>
                <w:rStyle w:val="Hipervnculo"/>
                <w:b w:val="0"/>
              </w:rPr>
              <w:t>5.1 Media del error</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_Toc40695741 \h </w:instrText>
            </w:r>
            <w:r w:rsidR="00A44CF7" w:rsidRPr="00A44CF7">
              <w:rPr>
                <w:b w:val="0"/>
                <w:webHidden/>
              </w:rPr>
            </w:r>
            <w:r w:rsidR="00A44CF7" w:rsidRPr="00A44CF7">
              <w:rPr>
                <w:b w:val="0"/>
                <w:webHidden/>
              </w:rPr>
              <w:fldChar w:fldCharType="separate"/>
            </w:r>
            <w:r w:rsidR="00ED2890">
              <w:rPr>
                <w:b w:val="0"/>
                <w:webHidden/>
              </w:rPr>
              <w:t>8</w:t>
            </w:r>
            <w:r w:rsidR="00A44CF7" w:rsidRPr="00A44CF7">
              <w:rPr>
                <w:b w:val="0"/>
                <w:webHidden/>
              </w:rPr>
              <w:fldChar w:fldCharType="end"/>
            </w:r>
          </w:hyperlink>
        </w:p>
        <w:p w14:paraId="0E71E9EB" w14:textId="1A10919B" w:rsidR="00A44CF7" w:rsidRPr="00A44CF7" w:rsidRDefault="00724826">
          <w:pPr>
            <w:pStyle w:val="TDC2"/>
            <w:rPr>
              <w:rFonts w:asciiTheme="minorHAnsi" w:eastAsiaTheme="minorEastAsia" w:hAnsiTheme="minorHAnsi" w:cstheme="minorBidi"/>
              <w:b w:val="0"/>
              <w:sz w:val="22"/>
              <w:szCs w:val="22"/>
              <w:lang w:eastAsia="es-MX"/>
            </w:rPr>
          </w:pPr>
          <w:hyperlink w:anchor="_Toc40695742" w:history="1">
            <w:r w:rsidR="00A44CF7" w:rsidRPr="00A44CF7">
              <w:rPr>
                <w:rStyle w:val="Hipervnculo"/>
                <w:b w:val="0"/>
              </w:rPr>
              <w:t>5.2 Autocorrelación</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_Toc40695742 \h </w:instrText>
            </w:r>
            <w:r w:rsidR="00A44CF7" w:rsidRPr="00A44CF7">
              <w:rPr>
                <w:b w:val="0"/>
                <w:webHidden/>
              </w:rPr>
            </w:r>
            <w:r w:rsidR="00A44CF7" w:rsidRPr="00A44CF7">
              <w:rPr>
                <w:b w:val="0"/>
                <w:webHidden/>
              </w:rPr>
              <w:fldChar w:fldCharType="separate"/>
            </w:r>
            <w:r w:rsidR="00ED2890">
              <w:rPr>
                <w:b w:val="0"/>
                <w:webHidden/>
              </w:rPr>
              <w:t>8</w:t>
            </w:r>
            <w:r w:rsidR="00A44CF7" w:rsidRPr="00A44CF7">
              <w:rPr>
                <w:b w:val="0"/>
                <w:webHidden/>
              </w:rPr>
              <w:fldChar w:fldCharType="end"/>
            </w:r>
          </w:hyperlink>
        </w:p>
        <w:p w14:paraId="43279ED5" w14:textId="3120D867" w:rsidR="00A44CF7" w:rsidRPr="00A44CF7" w:rsidRDefault="00724826">
          <w:pPr>
            <w:pStyle w:val="TDC2"/>
            <w:rPr>
              <w:rFonts w:asciiTheme="minorHAnsi" w:eastAsiaTheme="minorEastAsia" w:hAnsiTheme="minorHAnsi" w:cstheme="minorBidi"/>
              <w:b w:val="0"/>
              <w:sz w:val="22"/>
              <w:szCs w:val="22"/>
              <w:lang w:eastAsia="es-MX"/>
            </w:rPr>
          </w:pPr>
          <w:hyperlink w:anchor="_Toc40695743" w:history="1">
            <w:r w:rsidR="00A44CF7" w:rsidRPr="00A44CF7">
              <w:rPr>
                <w:rStyle w:val="Hipervnculo"/>
                <w:b w:val="0"/>
              </w:rPr>
              <w:t>5.3 Linealidad</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_Toc40695743 \h </w:instrText>
            </w:r>
            <w:r w:rsidR="00A44CF7" w:rsidRPr="00A44CF7">
              <w:rPr>
                <w:b w:val="0"/>
                <w:webHidden/>
              </w:rPr>
            </w:r>
            <w:r w:rsidR="00A44CF7" w:rsidRPr="00A44CF7">
              <w:rPr>
                <w:b w:val="0"/>
                <w:webHidden/>
              </w:rPr>
              <w:fldChar w:fldCharType="separate"/>
            </w:r>
            <w:r w:rsidR="00ED2890">
              <w:rPr>
                <w:b w:val="0"/>
                <w:webHidden/>
              </w:rPr>
              <w:t>8</w:t>
            </w:r>
            <w:r w:rsidR="00A44CF7" w:rsidRPr="00A44CF7">
              <w:rPr>
                <w:b w:val="0"/>
                <w:webHidden/>
              </w:rPr>
              <w:fldChar w:fldCharType="end"/>
            </w:r>
          </w:hyperlink>
        </w:p>
        <w:p w14:paraId="62052FA3" w14:textId="20A8BBD5" w:rsidR="00A44CF7" w:rsidRPr="00A44CF7" w:rsidRDefault="00724826">
          <w:pPr>
            <w:pStyle w:val="TDC2"/>
            <w:rPr>
              <w:rFonts w:asciiTheme="minorHAnsi" w:eastAsiaTheme="minorEastAsia" w:hAnsiTheme="minorHAnsi" w:cstheme="minorBidi"/>
              <w:b w:val="0"/>
              <w:sz w:val="22"/>
              <w:szCs w:val="22"/>
              <w:lang w:eastAsia="es-MX"/>
            </w:rPr>
          </w:pPr>
          <w:hyperlink w:anchor="_Toc40695744" w:history="1">
            <w:r w:rsidR="00A44CF7" w:rsidRPr="00A44CF7">
              <w:rPr>
                <w:rStyle w:val="Hipervnculo"/>
                <w:b w:val="0"/>
              </w:rPr>
              <w:t>5.4 Colinealidad</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_Toc40695744 \h </w:instrText>
            </w:r>
            <w:r w:rsidR="00A44CF7" w:rsidRPr="00A44CF7">
              <w:rPr>
                <w:b w:val="0"/>
                <w:webHidden/>
              </w:rPr>
            </w:r>
            <w:r w:rsidR="00A44CF7" w:rsidRPr="00A44CF7">
              <w:rPr>
                <w:b w:val="0"/>
                <w:webHidden/>
              </w:rPr>
              <w:fldChar w:fldCharType="separate"/>
            </w:r>
            <w:r w:rsidR="00ED2890">
              <w:rPr>
                <w:b w:val="0"/>
                <w:webHidden/>
              </w:rPr>
              <w:t>9</w:t>
            </w:r>
            <w:r w:rsidR="00A44CF7" w:rsidRPr="00A44CF7">
              <w:rPr>
                <w:b w:val="0"/>
                <w:webHidden/>
              </w:rPr>
              <w:fldChar w:fldCharType="end"/>
            </w:r>
          </w:hyperlink>
        </w:p>
        <w:p w14:paraId="7C016D62" w14:textId="58EA537E" w:rsidR="00A44CF7" w:rsidRPr="00A44CF7" w:rsidRDefault="00724826">
          <w:pPr>
            <w:pStyle w:val="TDC2"/>
            <w:rPr>
              <w:rFonts w:asciiTheme="minorHAnsi" w:eastAsiaTheme="minorEastAsia" w:hAnsiTheme="minorHAnsi" w:cstheme="minorBidi"/>
              <w:b w:val="0"/>
              <w:sz w:val="22"/>
              <w:szCs w:val="22"/>
              <w:lang w:eastAsia="es-MX"/>
            </w:rPr>
          </w:pPr>
          <w:hyperlink w:anchor="_Toc40695745" w:history="1">
            <w:r w:rsidR="00A44CF7" w:rsidRPr="00A44CF7">
              <w:rPr>
                <w:rStyle w:val="Hipervnculo"/>
                <w:b w:val="0"/>
              </w:rPr>
              <w:t>5.5 Observaciones atípicas</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_Toc40695745 \h </w:instrText>
            </w:r>
            <w:r w:rsidR="00A44CF7" w:rsidRPr="00A44CF7">
              <w:rPr>
                <w:b w:val="0"/>
                <w:webHidden/>
              </w:rPr>
            </w:r>
            <w:r w:rsidR="00A44CF7" w:rsidRPr="00A44CF7">
              <w:rPr>
                <w:b w:val="0"/>
                <w:webHidden/>
              </w:rPr>
              <w:fldChar w:fldCharType="separate"/>
            </w:r>
            <w:r w:rsidR="00ED2890">
              <w:rPr>
                <w:b w:val="0"/>
                <w:webHidden/>
              </w:rPr>
              <w:t>9</w:t>
            </w:r>
            <w:r w:rsidR="00A44CF7" w:rsidRPr="00A44CF7">
              <w:rPr>
                <w:b w:val="0"/>
                <w:webHidden/>
              </w:rPr>
              <w:fldChar w:fldCharType="end"/>
            </w:r>
          </w:hyperlink>
        </w:p>
        <w:p w14:paraId="5DCE3B64" w14:textId="688CC8BF" w:rsidR="00A44CF7" w:rsidRPr="00A44CF7" w:rsidRDefault="00724826">
          <w:pPr>
            <w:pStyle w:val="TDC2"/>
            <w:rPr>
              <w:rFonts w:asciiTheme="minorHAnsi" w:eastAsiaTheme="minorEastAsia" w:hAnsiTheme="minorHAnsi" w:cstheme="minorBidi"/>
              <w:b w:val="0"/>
              <w:sz w:val="22"/>
              <w:szCs w:val="22"/>
              <w:lang w:eastAsia="es-MX"/>
            </w:rPr>
          </w:pPr>
          <w:hyperlink w:anchor="_Toc40695746" w:history="1">
            <w:r w:rsidR="00A44CF7" w:rsidRPr="00A44CF7">
              <w:rPr>
                <w:rStyle w:val="Hipervnculo"/>
                <w:b w:val="0"/>
              </w:rPr>
              <w:t>5.6 Normalidad</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_Toc40695746 \h </w:instrText>
            </w:r>
            <w:r w:rsidR="00A44CF7" w:rsidRPr="00A44CF7">
              <w:rPr>
                <w:b w:val="0"/>
                <w:webHidden/>
              </w:rPr>
            </w:r>
            <w:r w:rsidR="00A44CF7" w:rsidRPr="00A44CF7">
              <w:rPr>
                <w:b w:val="0"/>
                <w:webHidden/>
              </w:rPr>
              <w:fldChar w:fldCharType="separate"/>
            </w:r>
            <w:r w:rsidR="00ED2890">
              <w:rPr>
                <w:b w:val="0"/>
                <w:webHidden/>
              </w:rPr>
              <w:t>10</w:t>
            </w:r>
            <w:r w:rsidR="00A44CF7" w:rsidRPr="00A44CF7">
              <w:rPr>
                <w:b w:val="0"/>
                <w:webHidden/>
              </w:rPr>
              <w:fldChar w:fldCharType="end"/>
            </w:r>
          </w:hyperlink>
        </w:p>
        <w:p w14:paraId="4BC94FA8" w14:textId="636C7047" w:rsidR="00A44CF7" w:rsidRPr="00A44CF7" w:rsidRDefault="00724826">
          <w:pPr>
            <w:pStyle w:val="TDC2"/>
            <w:rPr>
              <w:rFonts w:asciiTheme="minorHAnsi" w:eastAsiaTheme="minorEastAsia" w:hAnsiTheme="minorHAnsi" w:cstheme="minorBidi"/>
              <w:b w:val="0"/>
              <w:sz w:val="22"/>
              <w:szCs w:val="22"/>
              <w:lang w:eastAsia="es-MX"/>
            </w:rPr>
          </w:pPr>
          <w:hyperlink w:anchor="_Toc40695747" w:history="1">
            <w:r w:rsidR="00A44CF7" w:rsidRPr="00A44CF7">
              <w:rPr>
                <w:rStyle w:val="Hipervnculo"/>
                <w:b w:val="0"/>
              </w:rPr>
              <w:t>5.7 Heteroscedasticidad</w:t>
            </w:r>
            <w:r w:rsidR="00A44CF7" w:rsidRPr="00A44CF7">
              <w:rPr>
                <w:b w:val="0"/>
                <w:webHidden/>
              </w:rPr>
              <w:tab/>
            </w:r>
            <w:r w:rsidR="00A44CF7" w:rsidRPr="00A44CF7">
              <w:rPr>
                <w:b w:val="0"/>
                <w:webHidden/>
              </w:rPr>
              <w:fldChar w:fldCharType="begin"/>
            </w:r>
            <w:r w:rsidR="00A44CF7" w:rsidRPr="00A44CF7">
              <w:rPr>
                <w:b w:val="0"/>
                <w:webHidden/>
              </w:rPr>
              <w:instrText xml:space="preserve"> PAGEREF _Toc40695747 \h </w:instrText>
            </w:r>
            <w:r w:rsidR="00A44CF7" w:rsidRPr="00A44CF7">
              <w:rPr>
                <w:b w:val="0"/>
                <w:webHidden/>
              </w:rPr>
            </w:r>
            <w:r w:rsidR="00A44CF7" w:rsidRPr="00A44CF7">
              <w:rPr>
                <w:b w:val="0"/>
                <w:webHidden/>
              </w:rPr>
              <w:fldChar w:fldCharType="separate"/>
            </w:r>
            <w:r w:rsidR="00ED2890">
              <w:rPr>
                <w:b w:val="0"/>
                <w:webHidden/>
              </w:rPr>
              <w:t>11</w:t>
            </w:r>
            <w:r w:rsidR="00A44CF7" w:rsidRPr="00A44CF7">
              <w:rPr>
                <w:b w:val="0"/>
                <w:webHidden/>
              </w:rPr>
              <w:fldChar w:fldCharType="end"/>
            </w:r>
          </w:hyperlink>
        </w:p>
        <w:p w14:paraId="0501C231" w14:textId="21510C05" w:rsidR="00A44CF7" w:rsidRPr="00A44CF7" w:rsidRDefault="00724826">
          <w:pPr>
            <w:pStyle w:val="TDC1"/>
            <w:tabs>
              <w:tab w:val="left" w:pos="440"/>
              <w:tab w:val="right" w:leader="dot" w:pos="8828"/>
            </w:tabs>
            <w:rPr>
              <w:rFonts w:asciiTheme="minorHAnsi" w:eastAsiaTheme="minorEastAsia" w:hAnsiTheme="minorHAnsi"/>
              <w:noProof/>
              <w:sz w:val="22"/>
              <w:lang w:eastAsia="es-MX"/>
            </w:rPr>
          </w:pPr>
          <w:hyperlink w:anchor="_Toc40695748" w:history="1">
            <w:r w:rsidR="00A44CF7" w:rsidRPr="00A44CF7">
              <w:rPr>
                <w:rStyle w:val="Hipervnculo"/>
                <w:rFonts w:cs="Times New Roman"/>
                <w:noProof/>
              </w:rPr>
              <w:t>6.</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Conclusión</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_Toc40695748 \h </w:instrText>
            </w:r>
            <w:r w:rsidR="00A44CF7" w:rsidRPr="00A44CF7">
              <w:rPr>
                <w:noProof/>
                <w:webHidden/>
              </w:rPr>
            </w:r>
            <w:r w:rsidR="00A44CF7" w:rsidRPr="00A44CF7">
              <w:rPr>
                <w:noProof/>
                <w:webHidden/>
              </w:rPr>
              <w:fldChar w:fldCharType="separate"/>
            </w:r>
            <w:r w:rsidR="00ED2890">
              <w:rPr>
                <w:noProof/>
                <w:webHidden/>
              </w:rPr>
              <w:t>12</w:t>
            </w:r>
            <w:r w:rsidR="00A44CF7" w:rsidRPr="00A44CF7">
              <w:rPr>
                <w:noProof/>
                <w:webHidden/>
              </w:rPr>
              <w:fldChar w:fldCharType="end"/>
            </w:r>
          </w:hyperlink>
        </w:p>
        <w:p w14:paraId="2F838354" w14:textId="65598A91" w:rsidR="00A44CF7" w:rsidRPr="00A44CF7" w:rsidRDefault="00724826">
          <w:pPr>
            <w:pStyle w:val="TDC1"/>
            <w:tabs>
              <w:tab w:val="left" w:pos="440"/>
              <w:tab w:val="right" w:leader="dot" w:pos="8828"/>
            </w:tabs>
            <w:rPr>
              <w:rFonts w:asciiTheme="minorHAnsi" w:eastAsiaTheme="minorEastAsia" w:hAnsiTheme="minorHAnsi"/>
              <w:noProof/>
              <w:sz w:val="22"/>
              <w:lang w:eastAsia="es-MX"/>
            </w:rPr>
          </w:pPr>
          <w:hyperlink w:anchor="_Toc40695749" w:history="1">
            <w:r w:rsidR="00A44CF7" w:rsidRPr="00A44CF7">
              <w:rPr>
                <w:rStyle w:val="Hipervnculo"/>
                <w:rFonts w:eastAsia="Times New Roman" w:cs="Times New Roman"/>
                <w:noProof/>
                <w:highlight w:val="white"/>
              </w:rPr>
              <w:t>7.</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Referencias</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_Toc40695749 \h </w:instrText>
            </w:r>
            <w:r w:rsidR="00A44CF7" w:rsidRPr="00A44CF7">
              <w:rPr>
                <w:noProof/>
                <w:webHidden/>
              </w:rPr>
            </w:r>
            <w:r w:rsidR="00A44CF7" w:rsidRPr="00A44CF7">
              <w:rPr>
                <w:noProof/>
                <w:webHidden/>
              </w:rPr>
              <w:fldChar w:fldCharType="separate"/>
            </w:r>
            <w:r w:rsidR="00ED2890">
              <w:rPr>
                <w:noProof/>
                <w:webHidden/>
              </w:rPr>
              <w:t>13</w:t>
            </w:r>
            <w:r w:rsidR="00A44CF7" w:rsidRPr="00A44CF7">
              <w:rPr>
                <w:noProof/>
                <w:webHidden/>
              </w:rPr>
              <w:fldChar w:fldCharType="end"/>
            </w:r>
          </w:hyperlink>
        </w:p>
        <w:p w14:paraId="635209D3" w14:textId="3CE8F6D9" w:rsidR="00A44CF7" w:rsidRPr="00A44CF7" w:rsidRDefault="00724826">
          <w:pPr>
            <w:pStyle w:val="TDC1"/>
            <w:tabs>
              <w:tab w:val="left" w:pos="440"/>
              <w:tab w:val="right" w:leader="dot" w:pos="8828"/>
            </w:tabs>
            <w:rPr>
              <w:rFonts w:asciiTheme="minorHAnsi" w:eastAsiaTheme="minorEastAsia" w:hAnsiTheme="minorHAnsi"/>
              <w:noProof/>
              <w:sz w:val="22"/>
              <w:lang w:eastAsia="es-MX"/>
            </w:rPr>
          </w:pPr>
          <w:hyperlink w:anchor="_Toc40695750" w:history="1">
            <w:r w:rsidR="00A44CF7" w:rsidRPr="00A44CF7">
              <w:rPr>
                <w:rStyle w:val="Hipervnculo"/>
                <w:rFonts w:cs="Times New Roman"/>
                <w:noProof/>
              </w:rPr>
              <w:t>8.</w:t>
            </w:r>
            <w:r w:rsidR="00A44CF7" w:rsidRPr="00A44CF7">
              <w:rPr>
                <w:rFonts w:asciiTheme="minorHAnsi" w:eastAsiaTheme="minorEastAsia" w:hAnsiTheme="minorHAnsi"/>
                <w:noProof/>
                <w:sz w:val="22"/>
                <w:lang w:eastAsia="es-MX"/>
              </w:rPr>
              <w:tab/>
            </w:r>
            <w:r w:rsidR="00A44CF7" w:rsidRPr="00A44CF7">
              <w:rPr>
                <w:rStyle w:val="Hipervnculo"/>
                <w:rFonts w:cs="Times New Roman"/>
                <w:noProof/>
              </w:rPr>
              <w:t>Anexo</w:t>
            </w:r>
            <w:r w:rsidR="00A44CF7" w:rsidRPr="00A44CF7">
              <w:rPr>
                <w:noProof/>
                <w:webHidden/>
              </w:rPr>
              <w:tab/>
            </w:r>
            <w:r w:rsidR="00A44CF7" w:rsidRPr="00A44CF7">
              <w:rPr>
                <w:noProof/>
                <w:webHidden/>
              </w:rPr>
              <w:fldChar w:fldCharType="begin"/>
            </w:r>
            <w:r w:rsidR="00A44CF7" w:rsidRPr="00A44CF7">
              <w:rPr>
                <w:noProof/>
                <w:webHidden/>
              </w:rPr>
              <w:instrText xml:space="preserve"> PAGEREF _Toc40695750 \h </w:instrText>
            </w:r>
            <w:r w:rsidR="00A44CF7" w:rsidRPr="00A44CF7">
              <w:rPr>
                <w:noProof/>
                <w:webHidden/>
              </w:rPr>
            </w:r>
            <w:r w:rsidR="00A44CF7" w:rsidRPr="00A44CF7">
              <w:rPr>
                <w:noProof/>
                <w:webHidden/>
              </w:rPr>
              <w:fldChar w:fldCharType="separate"/>
            </w:r>
            <w:r w:rsidR="00ED2890">
              <w:rPr>
                <w:noProof/>
                <w:webHidden/>
              </w:rPr>
              <w:t>14</w:t>
            </w:r>
            <w:r w:rsidR="00A44CF7" w:rsidRPr="00A44CF7">
              <w:rPr>
                <w:noProof/>
                <w:webHidden/>
              </w:rPr>
              <w:fldChar w:fldCharType="end"/>
            </w:r>
          </w:hyperlink>
        </w:p>
        <w:p w14:paraId="533D9A8D" w14:textId="3B81BEB4" w:rsidR="00485ADE" w:rsidRDefault="0060089C" w:rsidP="006C0262">
          <w:pPr>
            <w:spacing w:line="360" w:lineRule="auto"/>
            <w:jc w:val="both"/>
          </w:pPr>
          <w:r w:rsidRPr="00A44CF7">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69573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5E6EF11" w:rsidR="00B25411" w:rsidRDefault="00B25411" w:rsidP="00B25411">
      <w:pPr>
        <w:spacing w:line="360" w:lineRule="auto"/>
        <w:jc w:val="both"/>
      </w:pPr>
      <w:r>
        <w:tab/>
        <w:t xml:space="preserve">Para este trabajo se utilizó la </w:t>
      </w:r>
      <w:r w:rsidRPr="00795021">
        <w:rPr>
          <w:i/>
        </w:rPr>
        <w:t>Encuesta Nacional de Ingresos y Gastos de los Hogares</w:t>
      </w:r>
      <w:r w:rsidR="004C6F48">
        <w:rPr>
          <w:i/>
        </w:rPr>
        <w:t xml:space="preserve"> 2018</w:t>
      </w:r>
      <w:r>
        <w:t xml:space="preserve"> (ENIGH) elaborada por el Instituto Nacional de Estad</w:t>
      </w:r>
      <w:r w:rsidR="004C6F48">
        <w:t>ística y Geografía (INEGI)</w:t>
      </w:r>
      <w:r>
        <w:t xml:space="preserve">. </w:t>
      </w:r>
      <w:r w:rsidR="004C6F48">
        <w:t>La encuesta bianual realizada en agosto 2018 recaba información</w:t>
      </w:r>
      <w:r w:rsidR="004C6F48" w:rsidRPr="004C6F48">
        <w:t xml:space="preserve"> del </w:t>
      </w:r>
      <w:r w:rsidR="004C6F48">
        <w:t>trimestre inmediato</w:t>
      </w:r>
      <w:r w:rsidR="004C6F48" w:rsidRPr="004C6F48">
        <w:t xml:space="preserve"> anterior a la fecha de </w:t>
      </w:r>
      <w:r w:rsidR="004C6F48">
        <w:t xml:space="preserve">aplicación. </w:t>
      </w:r>
      <w:r>
        <w:t>La base de datos original constaba de</w:t>
      </w:r>
      <w:r w:rsidR="004C6F48">
        <w:t xml:space="preserve"> un tamaño de muestra de</w:t>
      </w:r>
      <w:r>
        <w:t xml:space="preserve"> 74,647 </w:t>
      </w:r>
      <w:r w:rsidR="004C6F48">
        <w:t>hogares</w:t>
      </w:r>
      <w:r>
        <w:t xml:space="preserve">;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695734"/>
      <w:r>
        <w:rPr>
          <w:rFonts w:ascii="Times New Roman" w:hAnsi="Times New Roman" w:cs="Times New Roman"/>
          <w:b/>
          <w:sz w:val="24"/>
          <w:szCs w:val="24"/>
        </w:rPr>
        <w:lastRenderedPageBreak/>
        <w:t>Objetivo del modelo</w:t>
      </w:r>
      <w:bookmarkEnd w:id="1"/>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2" w:name="_Toc40695735"/>
      <w:r>
        <w:rPr>
          <w:rFonts w:ascii="Times New Roman" w:hAnsi="Times New Roman" w:cs="Times New Roman"/>
          <w:b/>
          <w:sz w:val="24"/>
          <w:szCs w:val="24"/>
        </w:rPr>
        <w:t>Variables del modelo</w:t>
      </w:r>
      <w:bookmarkEnd w:id="2"/>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3" w:name="_Toc40695736"/>
      <w:r w:rsidRPr="001F64DB">
        <w:rPr>
          <w:rFonts w:ascii="Times New Roman" w:hAnsi="Times New Roman" w:cs="Times New Roman"/>
          <w:b/>
          <w:color w:val="auto"/>
          <w:sz w:val="24"/>
          <w:szCs w:val="24"/>
        </w:rPr>
        <w:t>3.1 Variable dependiente</w:t>
      </w:r>
      <w:bookmarkEnd w:id="3"/>
    </w:p>
    <w:p w14:paraId="23838477" w14:textId="34ECAEF2"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w:t>
      </w:r>
      <w:r w:rsidR="007C4016">
        <w:t>s a esta alcaldía son del 45.29</w:t>
      </w:r>
      <w:r w:rsidRPr="002B1BC6">
        <w:t xml:space="preserve">%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695737"/>
      <w:r w:rsidRPr="001F64DB">
        <w:rPr>
          <w:rFonts w:ascii="Times New Roman" w:hAnsi="Times New Roman" w:cs="Times New Roman"/>
          <w:b/>
          <w:color w:val="auto"/>
          <w:sz w:val="24"/>
          <w:szCs w:val="24"/>
        </w:rPr>
        <w:t>3.2 Variables explicativas y su contexto</w:t>
      </w:r>
      <w:bookmarkEnd w:id="4"/>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4C28CA87" w14:textId="731874E3" w:rsidR="001B73D0" w:rsidRDefault="001B73D0" w:rsidP="00041654">
      <w:pPr>
        <w:spacing w:line="360" w:lineRule="auto"/>
        <w:jc w:val="both"/>
      </w:pPr>
      <w:r>
        <w:rPr>
          <w:noProof/>
          <w:lang w:eastAsia="es-MX"/>
        </w:rPr>
        <w:drawing>
          <wp:anchor distT="0" distB="0" distL="114300" distR="114300" simplePos="0" relativeHeight="251658240" behindDoc="0" locked="0" layoutInCell="1" allowOverlap="1" wp14:anchorId="108C5A58" wp14:editId="0219B2BA">
            <wp:simplePos x="0" y="0"/>
            <wp:positionH relativeFrom="margin">
              <wp:posOffset>2907030</wp:posOffset>
            </wp:positionH>
            <wp:positionV relativeFrom="paragraph">
              <wp:posOffset>1359535</wp:posOffset>
            </wp:positionV>
            <wp:extent cx="2699385" cy="166560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2BED39CC" wp14:editId="055A7B42">
                <wp:simplePos x="0" y="0"/>
                <wp:positionH relativeFrom="margin">
                  <wp:align>right</wp:align>
                </wp:positionH>
                <wp:positionV relativeFrom="paragraph">
                  <wp:posOffset>3154045</wp:posOffset>
                </wp:positionV>
                <wp:extent cx="2524125" cy="279400"/>
                <wp:effectExtent l="0" t="0" r="9525"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24125" cy="279400"/>
                        </a:xfrm>
                        <a:prstGeom prst="rect">
                          <a:avLst/>
                        </a:prstGeom>
                        <a:solidFill>
                          <a:prstClr val="white"/>
                        </a:solidFill>
                        <a:ln>
                          <a:noFill/>
                        </a:ln>
                      </wps:spPr>
                      <wps:txbx>
                        <w:txbxContent>
                          <w:p w14:paraId="6F7EA53D" w14:textId="77777777" w:rsidR="0011734F" w:rsidRPr="004E2900" w:rsidRDefault="0011734F"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39CC" id="Cuadro de texto 3" o:spid="_x0000_s1028" type="#_x0000_t202" style="position:absolute;left:0;text-align:left;margin-left:147.55pt;margin-top:248.35pt;width:198.75pt;height: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" stroked="f">
                <v:textbox inset="0,0,0,0">
                  <w:txbxContent>
                    <w:p w14:paraId="6F7EA53D" w14:textId="77777777" w:rsidR="0011734F" w:rsidRPr="004E2900" w:rsidRDefault="0011734F"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anchorx="margin"/>
              </v:shape>
            </w:pict>
          </mc:Fallback>
        </mc:AlternateContent>
      </w:r>
      <w:r>
        <w:rPr>
          <w:noProof/>
          <w:lang w:eastAsia="es-MX"/>
        </w:rPr>
        <w:drawing>
          <wp:anchor distT="0" distB="0" distL="114300" distR="114300" simplePos="0" relativeHeight="251661312" behindDoc="1" locked="0" layoutInCell="1" allowOverlap="1" wp14:anchorId="299D5ED4" wp14:editId="0C49217A">
            <wp:simplePos x="0" y="0"/>
            <wp:positionH relativeFrom="margin">
              <wp:posOffset>0</wp:posOffset>
            </wp:positionH>
            <wp:positionV relativeFrom="paragraph">
              <wp:posOffset>1365250</wp:posOffset>
            </wp:positionV>
            <wp:extent cx="2700000" cy="1665843"/>
            <wp:effectExtent l="0" t="0" r="5715" b="0"/>
            <wp:wrapTight wrapText="bothSides">
              <wp:wrapPolygon edited="0">
                <wp:start x="0" y="0"/>
                <wp:lineTo x="0" y="21246"/>
                <wp:lineTo x="21493" y="21246"/>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665843"/>
                    </a:xfrm>
                    <a:prstGeom prst="rect">
                      <a:avLst/>
                    </a:prstGeom>
                  </pic:spPr>
                </pic:pic>
              </a:graphicData>
            </a:graphic>
            <wp14:sizeRelH relativeFrom="page">
              <wp14:pctWidth>0</wp14:pctWidth>
            </wp14:sizeRelH>
            <wp14:sizeRelV relativeFrom="page">
              <wp14:pctHeight>0</wp14:pctHeight>
            </wp14:sizeRelV>
          </wp:anchor>
        </w:drawing>
      </w:r>
      <w:r w:rsidR="003D4B2F">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3C02A2B5"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3360" behindDoc="1" locked="0" layoutInCell="1" allowOverlap="1" wp14:anchorId="0F3218B3" wp14:editId="63F85124">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747AE347" w:rsidR="0011734F" w:rsidRPr="00037352" w:rsidRDefault="0011734F" w:rsidP="00041654">
                            <w:pPr>
                              <w:pStyle w:val="Descripcin"/>
                              <w:jc w:val="center"/>
                              <w:rPr>
                                <w:noProof/>
                              </w:rPr>
                            </w:pPr>
                            <w:r>
                              <w:t xml:space="preserve">Gráfica </w:t>
                            </w:r>
                            <w:fldSimple w:instr=" SEQ Gráfica \* ARABIC ">
                              <w:r w:rsidR="00ED2890">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218B3" id="_x0000_t202" coordsize="21600,21600" o:spt="202" path="m,l,21600r21600,l21600,xe">
                <v:stroke joinstyle="miter"/>
                <v:path gradientshapeok="t" o:connecttype="rect"/>
              </v:shapetype>
              <v:shape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747AE347" w:rsidR="0011734F" w:rsidRPr="00037352" w:rsidRDefault="0011734F" w:rsidP="00041654">
                      <w:pPr>
                        <w:pStyle w:val="Descripcin"/>
                        <w:jc w:val="center"/>
                        <w:rPr>
                          <w:noProof/>
                        </w:rPr>
                      </w:pPr>
                      <w:r>
                        <w:t xml:space="preserve">Gráfica </w:t>
                      </w:r>
                      <w:r w:rsidR="00ED2890">
                        <w:fldChar w:fldCharType="begin"/>
                      </w:r>
                      <w:r w:rsidR="00ED2890">
                        <w:instrText xml:space="preserve"> SEQ Gráfica \* ARABIC </w:instrText>
                      </w:r>
                      <w:r w:rsidR="00ED2890">
                        <w:fldChar w:fldCharType="separate"/>
                      </w:r>
                      <w:r w:rsidR="00ED2890">
                        <w:rPr>
                          <w:noProof/>
                        </w:rPr>
                        <w:t>1</w:t>
                      </w:r>
                      <w:r w:rsidR="00ED2890">
                        <w:rPr>
                          <w:noProof/>
                        </w:rPr>
                        <w:fldChar w:fldCharType="end"/>
                      </w:r>
                      <w:r>
                        <w:t>: Ingreso corriente vs. Edad</w:t>
                      </w:r>
                    </w:p>
                  </w:txbxContent>
                </v:textbox>
                <w10:wrap type="tight"/>
              </v:shape>
            </w:pict>
          </mc:Fallback>
        </mc:AlternateContent>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334FD2D5" w14:textId="27772C3F" w:rsidR="001B73D0" w:rsidRDefault="00A310BC" w:rsidP="001B73D0">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35E82C06" w:rsidR="0010394C" w:rsidRPr="002D68C5" w:rsidRDefault="001B73D0" w:rsidP="001B73D0">
      <w:pPr>
        <w:spacing w:line="360" w:lineRule="auto"/>
        <w:ind w:firstLine="708"/>
        <w:jc w:val="both"/>
        <w:rPr>
          <w:sz w:val="12"/>
          <w:szCs w:val="12"/>
        </w:rPr>
      </w:pPr>
      <w:r w:rsidRPr="002D68C5">
        <w:rPr>
          <w:noProof/>
          <w:sz w:val="12"/>
          <w:szCs w:val="12"/>
          <w:lang w:eastAsia="es-MX"/>
        </w:rPr>
        <w:lastRenderedPageBreak/>
        <mc:AlternateContent>
          <mc:Choice Requires="wps">
            <w:drawing>
              <wp:anchor distT="0" distB="0" distL="114300" distR="114300" simplePos="0" relativeHeight="251669504" behindDoc="1" locked="0" layoutInCell="1" allowOverlap="1" wp14:anchorId="1481719E" wp14:editId="5B2508FC">
                <wp:simplePos x="0" y="0"/>
                <wp:positionH relativeFrom="margin">
                  <wp:posOffset>3303270</wp:posOffset>
                </wp:positionH>
                <wp:positionV relativeFrom="paragraph">
                  <wp:posOffset>1697990</wp:posOffset>
                </wp:positionV>
                <wp:extent cx="2240915" cy="635"/>
                <wp:effectExtent l="0" t="0" r="6985" b="0"/>
                <wp:wrapTight wrapText="bothSides">
                  <wp:wrapPolygon edited="0">
                    <wp:start x="0" y="0"/>
                    <wp:lineTo x="0" y="20057"/>
                    <wp:lineTo x="21484" y="20057"/>
                    <wp:lineTo x="2148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2240915" cy="635"/>
                        </a:xfrm>
                        <a:prstGeom prst="rect">
                          <a:avLst/>
                        </a:prstGeom>
                        <a:solidFill>
                          <a:prstClr val="white"/>
                        </a:solidFill>
                        <a:ln>
                          <a:noFill/>
                        </a:ln>
                      </wps:spPr>
                      <wps:txbx>
                        <w:txbxContent>
                          <w:p w14:paraId="0147E5D9" w14:textId="77777777" w:rsidR="0011734F" w:rsidRPr="00CF6F8F" w:rsidRDefault="0011734F"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1719E" id="Cuadro de texto 8" o:spid="_x0000_s1030" type="#_x0000_t202" style="position:absolute;left:0;text-align:left;margin-left:260.1pt;margin-top:133.7pt;width:176.4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haMwIAAGsEAAAOAAAAZHJzL2Uyb0RvYy54bWysVMFu2zAMvQ/YPwi6L06yt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" stroked="f">
                <v:textbox style="mso-fit-shape-to-text:t" inset="0,0,0,0">
                  <w:txbxContent>
                    <w:p w14:paraId="0147E5D9" w14:textId="77777777" w:rsidR="0011734F" w:rsidRPr="00CF6F8F" w:rsidRDefault="0011734F" w:rsidP="005E0176">
                      <w:pPr>
                        <w:pStyle w:val="Descripcin"/>
                        <w:jc w:val="center"/>
                        <w:rPr>
                          <w:rFonts w:ascii="Times New Roman" w:hAnsi="Times New Roman" w:cs="Times New Roman"/>
                          <w:noProof/>
                          <w:sz w:val="24"/>
                          <w:szCs w:val="24"/>
                        </w:rPr>
                      </w:pPr>
                      <w:r>
                        <w:t>Gráfica 4: Ingreso corriente vs. Sexo</w:t>
                      </w:r>
                    </w:p>
                  </w:txbxContent>
                </v:textbox>
                <w10:wrap type="tight" anchorx="margin"/>
              </v:shape>
            </w:pict>
          </mc:Fallback>
        </mc:AlternateContent>
      </w:r>
      <w:r w:rsidRPr="002D68C5">
        <w:rPr>
          <w:noProof/>
          <w:sz w:val="12"/>
          <w:szCs w:val="12"/>
          <w:lang w:eastAsia="es-MX"/>
        </w:rPr>
        <w:drawing>
          <wp:anchor distT="0" distB="0" distL="114300" distR="114300" simplePos="0" relativeHeight="251665408" behindDoc="1" locked="0" layoutInCell="1" allowOverlap="1" wp14:anchorId="56244283" wp14:editId="47E7E39E">
            <wp:simplePos x="0" y="0"/>
            <wp:positionH relativeFrom="margin">
              <wp:posOffset>2907030</wp:posOffset>
            </wp:positionH>
            <wp:positionV relativeFrom="paragraph">
              <wp:posOffset>12123</wp:posOffset>
            </wp:positionV>
            <wp:extent cx="2699385" cy="1663700"/>
            <wp:effectExtent l="0" t="0" r="5715" b="0"/>
            <wp:wrapTight wrapText="bothSides">
              <wp:wrapPolygon edited="0">
                <wp:start x="0" y="0"/>
                <wp:lineTo x="0" y="21270"/>
                <wp:lineTo x="21493" y="2127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r w:rsidRPr="002D68C5">
        <w:rPr>
          <w:noProof/>
          <w:sz w:val="12"/>
          <w:szCs w:val="12"/>
          <w:lang w:eastAsia="es-MX"/>
        </w:rPr>
        <mc:AlternateContent>
          <mc:Choice Requires="wps">
            <w:drawing>
              <wp:anchor distT="0" distB="0" distL="114300" distR="114300" simplePos="0" relativeHeight="251667456" behindDoc="1" locked="0" layoutInCell="1" allowOverlap="1" wp14:anchorId="6F6EB6D6" wp14:editId="3D3A0D12">
                <wp:simplePos x="0" y="0"/>
                <wp:positionH relativeFrom="margin">
                  <wp:align>left</wp:align>
                </wp:positionH>
                <wp:positionV relativeFrom="paragraph">
                  <wp:posOffset>1720850</wp:posOffset>
                </wp:positionV>
                <wp:extent cx="2879725" cy="635"/>
                <wp:effectExtent l="0" t="0" r="0" b="0"/>
                <wp:wrapTight wrapText="bothSides">
                  <wp:wrapPolygon edited="0">
                    <wp:start x="0" y="0"/>
                    <wp:lineTo x="0" y="20057"/>
                    <wp:lineTo x="21433" y="20057"/>
                    <wp:lineTo x="2143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11734F" w:rsidRPr="00A14204" w:rsidRDefault="0011734F"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0;margin-top:135.5pt;width:22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" stroked="f">
                <v:textbox style="mso-fit-shape-to-text:t" inset="0,0,0,0">
                  <w:txbxContent>
                    <w:p w14:paraId="22C11D35" w14:textId="77777777" w:rsidR="0011734F" w:rsidRPr="00A14204" w:rsidRDefault="0011734F" w:rsidP="005E0176">
                      <w:pPr>
                        <w:pStyle w:val="Descripcin"/>
                        <w:jc w:val="center"/>
                        <w:rPr>
                          <w:rFonts w:ascii="Times New Roman" w:hAnsi="Times New Roman" w:cs="Times New Roman"/>
                          <w:noProof/>
                          <w:sz w:val="24"/>
                          <w:szCs w:val="24"/>
                        </w:rPr>
                      </w:pPr>
                      <w:r>
                        <w:t>Gráfica 3: Ingreso corriente vs. Gasto monetario</w:t>
                      </w:r>
                    </w:p>
                  </w:txbxContent>
                </v:textbox>
                <w10:wrap type="tight" anchorx="margin"/>
              </v:shape>
            </w:pict>
          </mc:Fallback>
        </mc:AlternateContent>
      </w:r>
      <w:r w:rsidRPr="002D68C5">
        <w:rPr>
          <w:noProof/>
          <w:sz w:val="12"/>
          <w:szCs w:val="12"/>
          <w:lang w:eastAsia="es-MX"/>
        </w:rPr>
        <w:drawing>
          <wp:anchor distT="0" distB="0" distL="114300" distR="114300" simplePos="0" relativeHeight="251664384" behindDoc="1" locked="0" layoutInCell="1" allowOverlap="1" wp14:anchorId="2AE91C22" wp14:editId="35CBD7ED">
            <wp:simplePos x="0" y="0"/>
            <wp:positionH relativeFrom="margin">
              <wp:align>left</wp:align>
            </wp:positionH>
            <wp:positionV relativeFrom="paragraph">
              <wp:posOffset>0</wp:posOffset>
            </wp:positionV>
            <wp:extent cx="2699385" cy="1665605"/>
            <wp:effectExtent l="0" t="0" r="5715" b="0"/>
            <wp:wrapTight wrapText="bothSides">
              <wp:wrapPolygon edited="0">
                <wp:start x="0" y="0"/>
                <wp:lineTo x="0" y="21246"/>
                <wp:lineTo x="21493" y="21246"/>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p>
    <w:p w14:paraId="4C75B2E2" w14:textId="3683E58C"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2B7AE75E"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27143D43" w14:textId="2FA6A0A8" w:rsidR="002D68C5" w:rsidRDefault="002D68C5" w:rsidP="00B43422">
      <w:pPr>
        <w:spacing w:line="360" w:lineRule="auto"/>
        <w:jc w:val="both"/>
      </w:pPr>
      <w:r>
        <w:rPr>
          <w:noProof/>
          <w:lang w:eastAsia="es-MX"/>
        </w:rPr>
        <w:drawing>
          <wp:anchor distT="0" distB="0" distL="114300" distR="114300" simplePos="0" relativeHeight="251699200" behindDoc="1" locked="0" layoutInCell="1" allowOverlap="1" wp14:anchorId="5665AF91" wp14:editId="10C895D8">
            <wp:simplePos x="0" y="0"/>
            <wp:positionH relativeFrom="margin">
              <wp:align>right</wp:align>
            </wp:positionH>
            <wp:positionV relativeFrom="paragraph">
              <wp:posOffset>265007</wp:posOffset>
            </wp:positionV>
            <wp:extent cx="2699385" cy="1664970"/>
            <wp:effectExtent l="0" t="0" r="5715" b="0"/>
            <wp:wrapTight wrapText="bothSides">
              <wp:wrapPolygon edited="0">
                <wp:start x="0" y="0"/>
                <wp:lineTo x="0" y="21254"/>
                <wp:lineTo x="21493" y="21254"/>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699385" cy="16649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7696" behindDoc="0" locked="0" layoutInCell="1" allowOverlap="1" wp14:anchorId="4512B304" wp14:editId="3F10ABCB">
                <wp:simplePos x="0" y="0"/>
                <wp:positionH relativeFrom="margin">
                  <wp:posOffset>2941532</wp:posOffset>
                </wp:positionH>
                <wp:positionV relativeFrom="paragraph">
                  <wp:posOffset>2002578</wp:posOffset>
                </wp:positionV>
                <wp:extent cx="2666365" cy="635"/>
                <wp:effectExtent l="0" t="0" r="635" b="0"/>
                <wp:wrapNone/>
                <wp:docPr id="13" name="Cuadro de texto 13"/>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5F9F7B5" w14:textId="77777777" w:rsidR="0011734F" w:rsidRPr="0068012D" w:rsidRDefault="0011734F" w:rsidP="001B73D0">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12B304" id="Cuadro de texto 13" o:spid="_x0000_s1032" type="#_x0000_t202" style="position:absolute;left:0;text-align:left;margin-left:231.6pt;margin-top:157.7pt;width:209.9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" stroked="f">
                <v:textbox style="mso-fit-shape-to-text:t" inset="0,0,0,0">
                  <w:txbxContent>
                    <w:p w14:paraId="05F9F7B5" w14:textId="77777777" w:rsidR="0011734F" w:rsidRPr="0068012D" w:rsidRDefault="0011734F" w:rsidP="001B73D0">
                      <w:pPr>
                        <w:pStyle w:val="Descripcin"/>
                        <w:jc w:val="center"/>
                        <w:rPr>
                          <w:rFonts w:ascii="Times New Roman" w:hAnsi="Times New Roman" w:cs="Times New Roman"/>
                          <w:b/>
                          <w:noProof/>
                          <w:sz w:val="24"/>
                          <w:szCs w:val="24"/>
                        </w:rPr>
                      </w:pPr>
                      <w:r>
                        <w:t>Gráfica 6: Ingreso corriente vs. Estrato socioeconómico</w:t>
                      </w:r>
                    </w:p>
                  </w:txbxContent>
                </v:textbox>
                <w10:wrap anchorx="margin"/>
              </v:shape>
            </w:pict>
          </mc:Fallback>
        </mc:AlternateContent>
      </w:r>
    </w:p>
    <w:p w14:paraId="4FB10796" w14:textId="39F6C79F" w:rsidR="00A310BC" w:rsidRPr="00B43422" w:rsidRDefault="002D68C5" w:rsidP="002D68C5">
      <w:pPr>
        <w:spacing w:after="160" w:line="259" w:lineRule="auto"/>
      </w:pPr>
      <w:r>
        <w:rPr>
          <w:noProof/>
          <w:lang w:eastAsia="es-MX"/>
        </w:rPr>
        <mc:AlternateContent>
          <mc:Choice Requires="wps">
            <w:drawing>
              <wp:anchor distT="0" distB="0" distL="114300" distR="114300" simplePos="0" relativeHeight="251675648" behindDoc="1" locked="0" layoutInCell="1" allowOverlap="1" wp14:anchorId="48C7F484" wp14:editId="50A688AB">
                <wp:simplePos x="0" y="0"/>
                <wp:positionH relativeFrom="margin">
                  <wp:align>left</wp:align>
                </wp:positionH>
                <wp:positionV relativeFrom="paragraph">
                  <wp:posOffset>1746250</wp:posOffset>
                </wp:positionV>
                <wp:extent cx="2879725" cy="635"/>
                <wp:effectExtent l="0" t="0" r="0" b="0"/>
                <wp:wrapTight wrapText="bothSides">
                  <wp:wrapPolygon edited="0">
                    <wp:start x="0" y="0"/>
                    <wp:lineTo x="0" y="20057"/>
                    <wp:lineTo x="21433" y="20057"/>
                    <wp:lineTo x="2143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11734F" w:rsidRPr="00D04A94" w:rsidRDefault="0011734F"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3" type="#_x0000_t202" style="position:absolute;margin-left:0;margin-top:137.5pt;width:226.7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" stroked="f">
                <v:textbox style="mso-fit-shape-to-text:t" inset="0,0,0,0">
                  <w:txbxContent>
                    <w:p w14:paraId="65E51178" w14:textId="77777777" w:rsidR="0011734F" w:rsidRPr="00D04A94" w:rsidRDefault="0011734F"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anchorx="margin"/>
              </v:shape>
            </w:pict>
          </mc:Fallback>
        </mc:AlternateContent>
      </w:r>
      <w:r>
        <w:br w:type="page"/>
      </w:r>
      <w:r w:rsidR="001B73D0">
        <w:rPr>
          <w:noProof/>
          <w:lang w:eastAsia="es-MX"/>
        </w:rPr>
        <w:drawing>
          <wp:anchor distT="0" distB="0" distL="114300" distR="114300" simplePos="0" relativeHeight="251670528" behindDoc="1" locked="0" layoutInCell="1" allowOverlap="1" wp14:anchorId="2F7DDC7B" wp14:editId="7C04D0EC">
            <wp:simplePos x="0" y="0"/>
            <wp:positionH relativeFrom="margin">
              <wp:align>left</wp:align>
            </wp:positionH>
            <wp:positionV relativeFrom="paragraph">
              <wp:posOffset>20320</wp:posOffset>
            </wp:positionV>
            <wp:extent cx="2699385" cy="1663700"/>
            <wp:effectExtent l="0" t="0" r="5715" b="0"/>
            <wp:wrapTight wrapText="bothSides">
              <wp:wrapPolygon edited="0">
                <wp:start x="0" y="0"/>
                <wp:lineTo x="0" y="21270"/>
                <wp:lineTo x="21493" y="21270"/>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p>
    <w:p w14:paraId="10E869D9" w14:textId="4567BD0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695738"/>
      <w:r>
        <w:rPr>
          <w:rFonts w:ascii="Times New Roman" w:hAnsi="Times New Roman" w:cs="Times New Roman"/>
          <w:b/>
          <w:sz w:val="24"/>
          <w:szCs w:val="24"/>
        </w:rPr>
        <w:lastRenderedPageBreak/>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724826"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724826"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77497802" w:rsidR="0011734F" w:rsidRPr="00826B5F" w:rsidRDefault="0011734F" w:rsidP="00826B5F">
                            <w:pPr>
                              <w:pStyle w:val="Descripcin"/>
                              <w:keepNext/>
                              <w:jc w:val="center"/>
                            </w:pPr>
                            <w:r>
                              <w:t xml:space="preserve">Tabla </w:t>
                            </w:r>
                            <w:fldSimple w:instr=" SEQ Tabla \* ARABIC ">
                              <w:r w:rsidR="00ED2890">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77497802" w:rsidR="0011734F" w:rsidRPr="00826B5F" w:rsidRDefault="0011734F" w:rsidP="00826B5F">
                      <w:pPr>
                        <w:pStyle w:val="Descripcin"/>
                        <w:keepNext/>
                        <w:jc w:val="center"/>
                      </w:pPr>
                      <w:r>
                        <w:t xml:space="preserve">Tabla </w:t>
                      </w:r>
                      <w:r w:rsidR="00ED2890">
                        <w:fldChar w:fldCharType="begin"/>
                      </w:r>
                      <w:r w:rsidR="00ED2890">
                        <w:instrText xml:space="preserve"> SEQ Tabla \* ARABIC </w:instrText>
                      </w:r>
                      <w:r w:rsidR="00ED2890">
                        <w:fldChar w:fldCharType="separate"/>
                      </w:r>
                      <w:r w:rsidR="00ED2890">
                        <w:rPr>
                          <w:noProof/>
                        </w:rPr>
                        <w:t>1</w:t>
                      </w:r>
                      <w:r w:rsidR="00ED2890">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988B53F" w14:textId="5747CA5A" w:rsidR="000B371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xml:space="preserve">, por lo que se </w:t>
      </w:r>
      <w:r w:rsidR="000B371A">
        <w:rPr>
          <w:rFonts w:eastAsiaTheme="minorEastAsia"/>
        </w:rPr>
        <w:t>propone</w:t>
      </w:r>
      <w:r w:rsidR="00D258FD">
        <w:rPr>
          <w:rFonts w:eastAsiaTheme="minorEastAsia"/>
        </w:rPr>
        <w:t xml:space="preserve"> un</w:t>
      </w:r>
      <w:r w:rsidR="000B371A">
        <w:rPr>
          <w:rFonts w:eastAsiaTheme="minorEastAsia"/>
        </w:rPr>
        <w:t xml:space="preserve"> primer modelo dado por</w:t>
      </w:r>
      <w:r w:rsidR="00D258FD">
        <w:rPr>
          <w:rFonts w:eastAsiaTheme="minorEastAsia"/>
        </w:rPr>
        <w:t xml:space="preserve"> </w:t>
      </w:r>
      <w:r w:rsidR="000B371A">
        <w:rPr>
          <w:rFonts w:eastAsiaTheme="minorEastAsia"/>
        </w:rPr>
        <w:t>:</w:t>
      </w:r>
    </w:p>
    <w:p w14:paraId="7105386D" w14:textId="6B4DA6B6" w:rsidR="00D258FD" w:rsidRPr="00D258FD" w:rsidRDefault="00D258FD" w:rsidP="000F307A">
      <w:pPr>
        <w:spacing w:line="360" w:lineRule="auto"/>
        <w:jc w:val="both"/>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+ε</m:t>
          </m:r>
        </m:oMath>
      </m:oMathPara>
    </w:p>
    <w:p w14:paraId="1D017FA4" w14:textId="77777777" w:rsidR="00D258FD" w:rsidRDefault="00D258FD" w:rsidP="000F307A">
      <w:pPr>
        <w:spacing w:line="360" w:lineRule="auto"/>
        <w:jc w:val="both"/>
        <w:rPr>
          <w:rFonts w:eastAsiaTheme="minorEastAsia"/>
        </w:rPr>
      </w:pPr>
    </w:p>
    <w:p w14:paraId="7D85B3FC" w14:textId="2A6A544B" w:rsidR="00CE58CE" w:rsidRPr="002D4A33" w:rsidRDefault="00CE58CE" w:rsidP="002D4A33">
      <w:pPr>
        <w:pStyle w:val="Ttulo2"/>
        <w:rPr>
          <w:rFonts w:ascii="Times New Roman" w:hAnsi="Times New Roman" w:cs="Times New Roman"/>
          <w:b/>
          <w:color w:val="auto"/>
          <w:sz w:val="24"/>
          <w:szCs w:val="24"/>
        </w:rPr>
      </w:pPr>
      <w:bookmarkStart w:id="6" w:name="_Toc40695739"/>
      <w:r w:rsidRPr="002D4A33">
        <w:rPr>
          <w:rFonts w:ascii="Times New Roman" w:hAnsi="Times New Roman" w:cs="Times New Roman"/>
          <w:b/>
          <w:color w:val="auto"/>
          <w:sz w:val="24"/>
          <w:szCs w:val="24"/>
        </w:rPr>
        <w:t>4.1 Revisiones del modelo</w:t>
      </w:r>
      <w:bookmarkEnd w:id="6"/>
    </w:p>
    <w:p w14:paraId="4C308E1F" w14:textId="27DFB583"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43250D" w14:textId="77777777" w:rsidR="001B73D0" w:rsidRPr="000F307A" w:rsidRDefault="001B73D0"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84D28C8" w:rsidR="000E368D" w:rsidRDefault="000E368D" w:rsidP="00A411E5">
      <w:pPr>
        <w:spacing w:line="360" w:lineRule="auto"/>
        <w:jc w:val="both"/>
        <w:rPr>
          <w:rFonts w:eastAsiaTheme="minorEastAsia"/>
        </w:rPr>
      </w:pPr>
    </w:p>
    <w:p w14:paraId="4BA37EBF" w14:textId="2D1854F6" w:rsidR="00E80E7D" w:rsidRDefault="00E80E7D" w:rsidP="00826B5F">
      <w:pPr>
        <w:spacing w:line="360" w:lineRule="auto"/>
      </w:pPr>
    </w:p>
    <w:p w14:paraId="3C01946A" w14:textId="2EC4391B" w:rsidR="00E80E7D" w:rsidRDefault="001B73D0" w:rsidP="00826B5F">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76291AC2">
                <wp:simplePos x="0" y="0"/>
                <wp:positionH relativeFrom="margin">
                  <wp:align>center</wp:align>
                </wp:positionH>
                <wp:positionV relativeFrom="paragraph">
                  <wp:posOffset>238337</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44624F75" w:rsidR="0011734F" w:rsidRPr="00826B5F" w:rsidRDefault="0011734F" w:rsidP="000E368D">
                            <w:pPr>
                              <w:pStyle w:val="Descripcin"/>
                              <w:keepNext/>
                              <w:jc w:val="center"/>
                            </w:pPr>
                            <w:r>
                              <w:t xml:space="preserve">Tabla </w:t>
                            </w:r>
                            <w:fldSimple w:instr=" SEQ Tabla \* ARABIC ">
                              <w:r w:rsidR="00ED2890">
                                <w:rPr>
                                  <w:noProof/>
                                </w:rPr>
                                <w:t>2</w:t>
                              </w:r>
                            </w:fldSimple>
                            <w:r>
                              <w:t>: Resultados de la</w:t>
                            </w:r>
                            <w:r w:rsidR="00EE0467">
                              <w:t>s</w:t>
                            </w:r>
                            <w:r>
                              <w:t xml:space="preserve"> prueba</w:t>
                            </w:r>
                            <w:r w:rsidR="00EE0467">
                              <w:t>s</w:t>
                            </w:r>
                            <w:r>
                              <w:t xml:space="preserve">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18.75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" stroked="f">
                <v:textbox style="mso-fit-shape-to-text:t" inset="0,0,0,0">
                  <w:txbxContent>
                    <w:p w14:paraId="1BC2762A" w14:textId="44624F75" w:rsidR="0011734F" w:rsidRPr="00826B5F" w:rsidRDefault="0011734F" w:rsidP="000E368D">
                      <w:pPr>
                        <w:pStyle w:val="Descripcin"/>
                        <w:keepNext/>
                        <w:jc w:val="center"/>
                      </w:pPr>
                      <w:r>
                        <w:t xml:space="preserve">Tabla </w:t>
                      </w:r>
                      <w:r w:rsidR="00ED2890">
                        <w:fldChar w:fldCharType="begin"/>
                      </w:r>
                      <w:r w:rsidR="00ED2890">
                        <w:instrText xml:space="preserve"> SEQ Tabla \* ARABIC </w:instrText>
                      </w:r>
                      <w:r w:rsidR="00ED2890">
                        <w:fldChar w:fldCharType="separate"/>
                      </w:r>
                      <w:r w:rsidR="00ED2890">
                        <w:rPr>
                          <w:noProof/>
                        </w:rPr>
                        <w:t>2</w:t>
                      </w:r>
                      <w:r w:rsidR="00ED2890">
                        <w:rPr>
                          <w:noProof/>
                        </w:rPr>
                        <w:fldChar w:fldCharType="end"/>
                      </w:r>
                      <w:r>
                        <w:t>: Resultados de la</w:t>
                      </w:r>
                      <w:r w:rsidR="00EE0467">
                        <w:t>s</w:t>
                      </w:r>
                      <w:r>
                        <w:t xml:space="preserve"> prueba</w:t>
                      </w:r>
                      <w:r w:rsidR="00EE0467">
                        <w:t>s</w:t>
                      </w:r>
                      <w:r>
                        <w:t xml:space="preserve"> t con todas las variables</w:t>
                      </w:r>
                    </w:p>
                  </w:txbxContent>
                </v:textbox>
                <w10:wrap type="tight" anchorx="margin"/>
              </v:shape>
            </w:pict>
          </mc:Fallback>
        </mc:AlternateContent>
      </w:r>
    </w:p>
    <w:p w14:paraId="29FE4C01" w14:textId="0629E586"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lastRenderedPageBreak/>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364ED52D" w:rsidR="009603EC" w:rsidRDefault="009603EC" w:rsidP="00EE0467">
      <w:pPr>
        <w:pStyle w:val="Descripcin"/>
        <w:framePr w:hSpace="141" w:wrap="around" w:vAnchor="text" w:hAnchor="page" w:x="4213" w:y="2470"/>
      </w:pPr>
      <w:r>
        <w:t xml:space="preserve">Tabla </w:t>
      </w:r>
      <w:fldSimple w:instr=" SEQ Tabla \* ARABIC ">
        <w:r w:rsidR="00ED2890">
          <w:rPr>
            <w:noProof/>
          </w:rPr>
          <w:t>3</w:t>
        </w:r>
      </w:fldSimple>
      <w:r w:rsidR="00EE0467">
        <w:t>: Resultados de las pruebas t del m</w:t>
      </w:r>
      <w:r>
        <w:t>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54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724826" w:rsidP="002D68C5">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724826" w:rsidP="002D68C5">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2D68C5">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2D68C5">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2D68C5">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07A2934E" w:rsidR="0051349D" w:rsidRDefault="0051349D" w:rsidP="00E80E7D">
      <w:pPr>
        <w:spacing w:line="360" w:lineRule="auto"/>
        <w:jc w:val="both"/>
      </w:pPr>
    </w:p>
    <w:p w14:paraId="02F9BF20" w14:textId="77777777" w:rsidR="002D68C5" w:rsidRDefault="002D68C5"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379FC478" w:rsidR="0051349D" w:rsidRDefault="0051349D" w:rsidP="0051349D">
      <w:pPr>
        <w:pStyle w:val="Descripcin"/>
        <w:framePr w:h="268" w:hRule="exact" w:hSpace="141" w:wrap="around" w:vAnchor="text" w:hAnchor="page" w:x="4336" w:y="58"/>
        <w:jc w:val="center"/>
      </w:pPr>
      <w:r>
        <w:t xml:space="preserve">Tabla </w:t>
      </w:r>
      <w:fldSimple w:instr=" SEQ Tabla \* ARABIC ">
        <w:r w:rsidR="00ED2890">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8B9742E" w:rsidR="00645051" w:rsidRDefault="00645051" w:rsidP="00645051">
      <w:pPr>
        <w:spacing w:line="360" w:lineRule="auto"/>
        <w:ind w:firstLine="708"/>
        <w:jc w:val="both"/>
      </w:pPr>
      <w:r>
        <w:t xml:space="preserve">Para este modelo, gracias a las pruebas t </w:t>
      </w:r>
      <w:r w:rsidR="005D0CD6">
        <w:t xml:space="preserve">(tabla 3) </w:t>
      </w:r>
      <w:bookmarkStart w:id="7" w:name="_GoBack"/>
      <w:bookmarkEnd w:id="7"/>
      <w:r w:rsidR="00724826">
        <w:t>y F</w:t>
      </w:r>
      <w:r>
        <w:t xml:space="preserve">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724826"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7DB8F70" w:rsidR="006535D3" w:rsidRDefault="00EE6EDA" w:rsidP="006535D3">
      <w:pPr>
        <w:spacing w:line="360" w:lineRule="auto"/>
        <w:jc w:val="both"/>
      </w:pPr>
      <w:r>
        <w:lastRenderedPageBreak/>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w:t>
      </w:r>
      <w:r w:rsidR="000B371A">
        <w:t xml:space="preserve">reales </w:t>
      </w:r>
      <w:r>
        <w:t xml:space="preserve">de las variables explicativas </w:t>
      </w:r>
      <w:r w:rsidR="000B371A">
        <w:t>se encuentran en</w:t>
      </w:r>
      <w:r>
        <w:t xml:space="preserve"> un rango </w:t>
      </w:r>
      <w:r w:rsidR="000B371A">
        <w:t>que permite</w:t>
      </w:r>
      <w:r>
        <w:t xml:space="preserve">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w:t>
      </w:r>
      <w:r w:rsidR="00EB4E5A">
        <w:rPr>
          <w:rFonts w:eastAsiaTheme="minorEastAsia"/>
        </w:rPr>
        <w:t xml:space="preserve">considerar la combinación </w:t>
      </w:r>
      <w:r w:rsidR="000B371A">
        <w:rPr>
          <w:rFonts w:eastAsiaTheme="minorEastAsia"/>
        </w:rPr>
        <w:t xml:space="preserve">de </w:t>
      </w:r>
      <w:r w:rsidR="00EB4E5A">
        <w:rPr>
          <w:rFonts w:eastAsiaTheme="minorEastAsia"/>
        </w:rPr>
        <w:t xml:space="preserve">valores </w:t>
      </w:r>
      <w:r>
        <w:rPr>
          <w:rFonts w:eastAsiaTheme="minorEastAsia"/>
        </w:rPr>
        <w:t>mínimo</w:t>
      </w:r>
      <w:r w:rsidR="00EB4E5A">
        <w:rPr>
          <w:rFonts w:eastAsiaTheme="minorEastAsia"/>
        </w:rPr>
        <w:t>s</w:t>
      </w:r>
      <w:r w:rsidR="000B371A">
        <w:rPr>
          <w:rFonts w:eastAsiaTheme="minorEastAsia"/>
        </w:rPr>
        <w:t xml:space="preserve"> de dichas variables</w:t>
      </w:r>
      <w:r>
        <w:rPr>
          <w:rFonts w:eastAsiaTheme="minorEastAsia"/>
        </w:rPr>
        <w:t xml:space="preserve">,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r w:rsidR="00EB4E5A">
        <w:t>. De hecho, el ingreso mínimo de la muestra es de $13,226.55.</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8" w:name="_Toc40695740"/>
      <w:r w:rsidRPr="006535D3">
        <w:rPr>
          <w:rFonts w:ascii="Times New Roman" w:hAnsi="Times New Roman" w:cs="Times New Roman"/>
          <w:b/>
          <w:sz w:val="24"/>
          <w:szCs w:val="24"/>
        </w:rPr>
        <w:t>Validación de supuestos</w:t>
      </w:r>
      <w:bookmarkEnd w:id="8"/>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9" w:name="_Toc40695741"/>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9"/>
    </w:p>
    <w:p w14:paraId="2F524EE8" w14:textId="59FAAC39"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w:t>
      </w:r>
      <w:r w:rsidR="000B371A">
        <w:t>uos debe ser cero. Por lo tanto,</w:t>
      </w:r>
      <w:r w:rsidRPr="006535D3">
        <w:t xml:space="preserve">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10" w:name="_Toc40695742"/>
      <w:r w:rsidRPr="00D30A55">
        <w:rPr>
          <w:rFonts w:ascii="Times New Roman" w:hAnsi="Times New Roman" w:cs="Times New Roman"/>
          <w:b/>
          <w:color w:val="auto"/>
          <w:sz w:val="24"/>
          <w:szCs w:val="24"/>
        </w:rPr>
        <w:t>5.2 Autocorrelación</w:t>
      </w:r>
      <w:bookmarkEnd w:id="10"/>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1" w:name="_Toc40695743"/>
      <w:r w:rsidRPr="00D30A55">
        <w:rPr>
          <w:rFonts w:ascii="Times New Roman" w:hAnsi="Times New Roman" w:cs="Times New Roman"/>
          <w:b/>
          <w:color w:val="auto"/>
          <w:sz w:val="24"/>
          <w:szCs w:val="24"/>
        </w:rPr>
        <w:t>5.3 Linealidad</w:t>
      </w:r>
      <w:bookmarkEnd w:id="11"/>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724826"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2" w:name="_Toc40695744"/>
      <w:r>
        <w:rPr>
          <w:rFonts w:ascii="Times New Roman" w:hAnsi="Times New Roman" w:cs="Times New Roman"/>
          <w:b/>
          <w:color w:val="auto"/>
          <w:sz w:val="24"/>
          <w:szCs w:val="24"/>
        </w:rPr>
        <w:lastRenderedPageBreak/>
        <w:t>5.4</w:t>
      </w:r>
      <w:r w:rsidR="00935A37" w:rsidRPr="00935A37">
        <w:rPr>
          <w:rFonts w:ascii="Times New Roman" w:hAnsi="Times New Roman" w:cs="Times New Roman"/>
          <w:b/>
          <w:color w:val="auto"/>
          <w:sz w:val="24"/>
          <w:szCs w:val="24"/>
        </w:rPr>
        <w:t xml:space="preserve"> Colinealidad</w:t>
      </w:r>
      <w:bookmarkEnd w:id="12"/>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724826"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724826"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724826"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724826"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4D92DB78" w:rsidR="00E77C77" w:rsidRDefault="00E77C77" w:rsidP="00E77C77">
      <w:pPr>
        <w:pStyle w:val="Descripcin"/>
        <w:framePr w:hSpace="141" w:wrap="around" w:vAnchor="text" w:hAnchor="page" w:x="4621" w:y="143"/>
        <w:jc w:val="center"/>
      </w:pPr>
      <w:r>
        <w:t xml:space="preserve">Tabla </w:t>
      </w:r>
      <w:fldSimple w:instr=" SEQ Tabla \* ARABIC ">
        <w:r w:rsidR="00ED2890">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3" w:name="_Toc40695745"/>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3"/>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11734F" w:rsidRPr="00A14204" w:rsidRDefault="0011734F"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11734F" w:rsidRPr="00A14204" w:rsidRDefault="0011734F"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11734F" w:rsidRPr="00A14204" w:rsidRDefault="0011734F"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11734F" w:rsidRPr="00A14204" w:rsidRDefault="0011734F"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w:t>
      </w:r>
      <w:proofErr w:type="spellStart"/>
      <w:r w:rsidRPr="00DC670F">
        <w:rPr>
          <w:bCs/>
        </w:rPr>
        <w:t>Oxfam</w:t>
      </w:r>
      <w:proofErr w:type="spellEnd"/>
      <w:r w:rsidRPr="00DC670F">
        <w:rPr>
          <w:bCs/>
        </w:rPr>
        <w:t xml:space="preserve">,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w:t>
      </w:r>
      <w:proofErr w:type="spellStart"/>
      <w:r w:rsidRPr="00DC670F">
        <w:rPr>
          <w:bCs/>
        </w:rPr>
        <w:t>Gini</w:t>
      </w:r>
      <w:proofErr w:type="spellEnd"/>
      <w:r w:rsidRPr="00DC670F">
        <w:rPr>
          <w:bCs/>
        </w:rPr>
        <w:t xml:space="preserve">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695746"/>
      <w:r w:rsidRPr="005E5034">
        <w:rPr>
          <w:rFonts w:ascii="Times New Roman" w:hAnsi="Times New Roman" w:cs="Times New Roman"/>
          <w:b/>
          <w:color w:val="auto"/>
          <w:sz w:val="24"/>
          <w:szCs w:val="24"/>
        </w:rPr>
        <w:t>5.6 Normalidad</w:t>
      </w:r>
      <w:bookmarkEnd w:id="14"/>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7788AFF8" w:rsidR="00340E4C" w:rsidRDefault="00340E4C" w:rsidP="00E77C77">
      <w:r>
        <w:rPr>
          <w:noProof/>
          <w:lang w:eastAsia="es-MX"/>
        </w:rPr>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1E155DC3"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11734F" w:rsidRPr="00A14204" w:rsidRDefault="0011734F"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11734F" w:rsidRPr="00A14204" w:rsidRDefault="0011734F"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1F64AA03" w:rsidR="00FF7C6E" w:rsidRDefault="00075295" w:rsidP="00FF7C6E">
      <w:r w:rsidRPr="00075295">
        <w:fldChar w:fldCharType="begin"/>
      </w:r>
      <w:r w:rsidRPr="00075295">
        <w:instrText xml:space="preserve"> INCLUDEPICTURE "/var/folders/57/fpwp32zx1fg6f4cly4t10tmw0000gn/T/com.microsoft.Word/WebArchiveCopyPasteTempFiles/000003.png" \* MERGEFORMATINET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11734F" w:rsidRPr="00FA5944" w:rsidRDefault="0011734F"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" stroked="f">
                <v:textbox style="mso-fit-shape-to-text:t" inset="0,0,0,0">
                  <w:txbxContent>
                    <w:p w14:paraId="15200440" w14:textId="7B2418EA" w:rsidR="0011734F" w:rsidRPr="00FA5944" w:rsidRDefault="0011734F"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v:textbox>
                <w10:wrap type="tight" anchorx="margin"/>
              </v:shape>
            </w:pict>
          </mc:Fallback>
        </mc:AlternateContent>
      </w:r>
    </w:p>
    <w:p w14:paraId="3AEBC7E0" w14:textId="633BA7A1" w:rsidR="00340E4C" w:rsidRPr="00FF7C6E" w:rsidRDefault="00340E4C" w:rsidP="00FF7C6E"/>
    <w:p w14:paraId="6FD0BDE0" w14:textId="0354CAD0" w:rsidR="00A22A07" w:rsidRDefault="00075295" w:rsidP="00FF7C6E">
      <w:pPr>
        <w:spacing w:line="360" w:lineRule="auto"/>
        <w:ind w:firstLine="708"/>
        <w:jc w:val="both"/>
      </w:pPr>
      <w:r>
        <w:t>No</w:t>
      </w:r>
      <w:r w:rsidR="000F76DA">
        <w:t xml:space="preserve">temos que el sesgo ha desaparecido; </w:t>
      </w:r>
      <w:r w:rsidR="000F76DA" w:rsidRPr="000609F2">
        <w:t>este nuevo histograma</w:t>
      </w:r>
      <w:r w:rsidR="000B371A">
        <w:t xml:space="preserve"> ya</w:t>
      </w:r>
      <w:r w:rsidR="000F76DA" w:rsidRPr="000609F2">
        <w:t xml:space="preserve"> </w:t>
      </w:r>
      <w:r w:rsidR="00CA3CA9" w:rsidRPr="000609F2">
        <w:t>parece</w:t>
      </w:r>
      <w:r w:rsidR="000F76DA" w:rsidRPr="000609F2">
        <w:t xml:space="preserve"> s</w:t>
      </w:r>
      <w:r w:rsidR="000B371A">
        <w:t>eguir una distribución normal. P</w:t>
      </w:r>
      <w:r w:rsidR="000F76DA" w:rsidRPr="000609F2">
        <w:t>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5" w:name="_Toc40695747"/>
      <w:r w:rsidRPr="006535D3">
        <w:rPr>
          <w:rFonts w:ascii="Times New Roman" w:hAnsi="Times New Roman" w:cs="Times New Roman"/>
          <w:b/>
          <w:color w:val="auto"/>
          <w:sz w:val="24"/>
          <w:szCs w:val="24"/>
        </w:rPr>
        <w:t>5.7 Heteroscedasticidad</w:t>
      </w:r>
      <w:bookmarkEnd w:id="15"/>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lastRenderedPageBreak/>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11734F" w:rsidRPr="00116A01" w:rsidRDefault="0011734F"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0u0L5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11734F" w:rsidRPr="00116A01" w:rsidRDefault="0011734F"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24923B39"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w:t>
      </w:r>
      <w:r w:rsidR="006118C6">
        <w:rPr>
          <w:lang w:val="es"/>
        </w:rPr>
        <w:t>esores</w:t>
      </w:r>
      <w:proofErr w:type="spellEnd"/>
      <w:r w:rsidR="006118C6">
        <w:rPr>
          <w:lang w:val="es"/>
        </w:rPr>
        <w:t xml:space="preserve"> y sus productos cruzados. </w:t>
      </w:r>
      <w:r w:rsidR="000B371A">
        <w:rPr>
          <w:lang w:val="es"/>
        </w:rPr>
        <w:t>Obtuvimos</w:t>
      </w:r>
      <w:r w:rsidRPr="000609F2">
        <w:rPr>
          <w:lang w:val="es"/>
        </w:rPr>
        <w:t xml:space="preserve">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proofErr w:type="spellStart"/>
      <w:r w:rsidR="00F217CA" w:rsidRPr="000609F2">
        <w:rPr>
          <w:lang w:val="es"/>
        </w:rPr>
        <w:t>homo</w:t>
      </w:r>
      <w:r w:rsidR="00EC1A45">
        <w:rPr>
          <w:lang w:val="es"/>
        </w:rPr>
        <w:t>s</w:t>
      </w:r>
      <w:r w:rsidR="00F217CA">
        <w:rPr>
          <w:lang w:val="es"/>
        </w:rPr>
        <w:t>c</w:t>
      </w:r>
      <w:r w:rsidR="00F217CA" w:rsidRPr="000609F2">
        <w:rPr>
          <w:lang w:val="es"/>
        </w:rPr>
        <w:t>edasticidad</w:t>
      </w:r>
      <w:proofErr w:type="spellEnd"/>
      <w:r w:rsidR="006118C6">
        <w:rPr>
          <w:lang w:val="es"/>
        </w:rPr>
        <w:t xml:space="preserve"> tomando un nivel de confianza de</w:t>
      </w:r>
      <w:r w:rsidRPr="000609F2">
        <w:rPr>
          <w:lang w:val="es"/>
        </w:rPr>
        <w:t>l 95%.</w:t>
      </w:r>
    </w:p>
    <w:p w14:paraId="51A83F14" w14:textId="504CFAD1"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6" w:name="_Toc40695748"/>
      <w:r w:rsidRPr="006A7814">
        <w:rPr>
          <w:rFonts w:ascii="Times New Roman" w:hAnsi="Times New Roman" w:cs="Times New Roman"/>
          <w:b/>
          <w:sz w:val="24"/>
          <w:szCs w:val="24"/>
        </w:rPr>
        <w:t>Conclusión</w:t>
      </w:r>
      <w:bookmarkEnd w:id="16"/>
    </w:p>
    <w:p w14:paraId="76C3F4C0" w14:textId="0A710E9A" w:rsidR="00992046" w:rsidRPr="00992046" w:rsidRDefault="00992046" w:rsidP="00992046">
      <w:pPr>
        <w:spacing w:line="360" w:lineRule="auto"/>
        <w:jc w:val="both"/>
        <w:rPr>
          <w:b/>
          <w:lang w:eastAsia="en-US"/>
        </w:rPr>
      </w:pPr>
      <w:r w:rsidRPr="00992046">
        <w:rPr>
          <w:color w:val="000000"/>
        </w:rPr>
        <w:t>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F40920" w:rsidR="00992046" w:rsidRPr="00992046" w:rsidRDefault="00992046" w:rsidP="00992046">
      <w:pPr>
        <w:pStyle w:val="NormalWeb"/>
        <w:spacing w:before="240" w:beforeAutospacing="0" w:after="240" w:afterAutospacing="0" w:line="360" w:lineRule="auto"/>
        <w:ind w:firstLine="360"/>
        <w:jc w:val="both"/>
      </w:pPr>
      <w:r w:rsidRPr="00992046">
        <w:rPr>
          <w:color w:val="000000"/>
        </w:rPr>
        <w:lastRenderedPageBreak/>
        <w:t xml:space="preserve">Como limitaciones de nuestro trabajo consideramos; por un lado, que contamos con un número muy reducido de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r w:rsidR="00EC1A45" w:rsidRPr="00992046">
        <w:rPr>
          <w:color w:val="000000"/>
        </w:rPr>
        <w:t>porque,</w:t>
      </w:r>
      <w:r w:rsidR="00EC1A45">
        <w:rPr>
          <w:color w:val="000000"/>
        </w:rPr>
        <w:t xml:space="preserve"> aunque existe</w:t>
      </w:r>
      <w:r w:rsidRPr="00992046">
        <w:rPr>
          <w:color w:val="000000"/>
        </w:rPr>
        <w:t>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695749"/>
      <w:r w:rsidRPr="006A7814">
        <w:rPr>
          <w:rFonts w:ascii="Times New Roman" w:hAnsi="Times New Roman" w:cs="Times New Roman"/>
          <w:b/>
          <w:sz w:val="24"/>
          <w:szCs w:val="24"/>
        </w:rPr>
        <w:t>Referencias</w:t>
      </w:r>
      <w:bookmarkEnd w:id="17"/>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Quintana, L. </w:t>
      </w:r>
      <w:proofErr w:type="gramStart"/>
      <w:r w:rsidRPr="00131DD7">
        <w:rPr>
          <w:rFonts w:ascii="Times New Roman" w:hAnsi="Times New Roman" w:cs="Times New Roman"/>
          <w:color w:val="333333"/>
          <w:sz w:val="24"/>
          <w:szCs w:val="24"/>
          <w:highlight w:val="white"/>
        </w:rPr>
        <w:t>et al..</w:t>
      </w:r>
      <w:proofErr w:type="gramEnd"/>
      <w:r w:rsidRPr="00131DD7">
        <w:rPr>
          <w:rFonts w:ascii="Times New Roman" w:hAnsi="Times New Roman" w:cs="Times New Roman"/>
          <w:color w:val="333333"/>
          <w:sz w:val="24"/>
          <w:szCs w:val="24"/>
          <w:highlight w:val="white"/>
        </w:rPr>
        <w:t xml:space="preserve">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 xml:space="preserve">Torres A (2016). Coeficiente de </w:t>
      </w:r>
      <w:proofErr w:type="spellStart"/>
      <w:r w:rsidRPr="00131DD7">
        <w:rPr>
          <w:rStyle w:val="Hipervnculo"/>
          <w:rFonts w:ascii="Times New Roman" w:hAnsi="Times New Roman" w:cs="Times New Roman"/>
          <w:color w:val="000000" w:themeColor="text1"/>
          <w:sz w:val="24"/>
          <w:szCs w:val="24"/>
          <w:highlight w:val="white"/>
          <w:u w:val="none"/>
        </w:rPr>
        <w:t>Gini</w:t>
      </w:r>
      <w:proofErr w:type="spellEnd"/>
      <w:r w:rsidRPr="00131DD7">
        <w:rPr>
          <w:rStyle w:val="Hipervnculo"/>
          <w:rFonts w:ascii="Times New Roman" w:hAnsi="Times New Roman" w:cs="Times New Roman"/>
          <w:color w:val="000000" w:themeColor="text1"/>
          <w:sz w:val="24"/>
          <w:szCs w:val="24"/>
          <w:highlight w:val="white"/>
          <w:u w:val="none"/>
        </w:rPr>
        <w:t>,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724826"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11881D9" w14:textId="71806141" w:rsidR="00FA24AE" w:rsidRPr="00D44E59" w:rsidRDefault="00F34984" w:rsidP="00340E4C">
      <w:pPr>
        <w:spacing w:after="160" w:line="259" w:lineRule="auto"/>
        <w:rPr>
          <w:rStyle w:val="Hipervnculo"/>
          <w:rFonts w:eastAsiaTheme="minorHAnsi"/>
          <w:color w:val="auto"/>
          <w:lang w:eastAsia="en-US"/>
        </w:rPr>
      </w:pPr>
      <w:r>
        <w:rPr>
          <w:rStyle w:val="Hipervnculo"/>
          <w:rFonts w:eastAsiaTheme="minorHAnsi"/>
          <w:color w:val="auto"/>
          <w:lang w:eastAsia="en-US"/>
        </w:rPr>
        <w:br w:type="page"/>
      </w:r>
    </w:p>
    <w:p w14:paraId="710C9478" w14:textId="3869AA69" w:rsidR="00FA24AE" w:rsidRP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8" w:name="_Toc40695750"/>
      <w:r w:rsidRPr="00FA24AE">
        <w:rPr>
          <w:rStyle w:val="Hipervnculo"/>
          <w:rFonts w:ascii="Times New Roman" w:hAnsi="Times New Roman" w:cs="Times New Roman"/>
          <w:b/>
          <w:color w:val="000000" w:themeColor="text1"/>
          <w:sz w:val="24"/>
          <w:szCs w:val="24"/>
          <w:u w:val="none"/>
        </w:rPr>
        <w:lastRenderedPageBreak/>
        <w:t>Anexo</w:t>
      </w:r>
      <w:bookmarkEnd w:id="18"/>
    </w:p>
    <w:p w14:paraId="6B656EEC" w14:textId="43D3E599" w:rsidR="00FA24AE" w:rsidRPr="006118C6" w:rsidRDefault="00FA24AE" w:rsidP="006118C6">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11734F" w:rsidRPr="00116A01" w:rsidRDefault="0011734F"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1"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" stroked="f">
                <v:textbox style="mso-fit-shape-to-text:t" inset="0,0,0,0">
                  <w:txbxContent>
                    <w:p w14:paraId="4BC84E44" w14:textId="167E3E06" w:rsidR="0011734F" w:rsidRPr="00116A01" w:rsidRDefault="0011734F"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v:textbox>
                <w10:wrap type="tight" anchorx="margin"/>
              </v:shape>
            </w:pict>
          </mc:Fallback>
        </mc:AlternateContent>
      </w:r>
    </w:p>
    <w:p w14:paraId="19546B6D" w14:textId="5E57432C" w:rsidR="00FA24AE" w:rsidRDefault="00E054D7" w:rsidP="006118C6">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proofErr w:type="spellStart"/>
      <w:r w:rsidR="00F217CA" w:rsidRPr="000609F2">
        <w:rPr>
          <w:lang w:val="es"/>
        </w:rPr>
        <w:t>homo</w:t>
      </w:r>
      <w:r w:rsidR="007C1BD9">
        <w:rPr>
          <w:lang w:val="es"/>
        </w:rPr>
        <w:t>s</w:t>
      </w:r>
      <w:r w:rsidR="00F217CA">
        <w:rPr>
          <w:lang w:val="es"/>
        </w:rPr>
        <w:t>c</w:t>
      </w:r>
      <w:r w:rsidR="00F217CA" w:rsidRPr="000609F2">
        <w:rPr>
          <w:lang w:val="es"/>
        </w:rPr>
        <w:t>edasticidad</w:t>
      </w:r>
      <w:proofErr w:type="spellEnd"/>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A8C25" w14:textId="77777777" w:rsidR="0011734F" w:rsidRDefault="0011734F" w:rsidP="00627CDF">
      <w:r>
        <w:separator/>
      </w:r>
    </w:p>
  </w:endnote>
  <w:endnote w:type="continuationSeparator" w:id="0">
    <w:p w14:paraId="1D90DE98" w14:textId="77777777" w:rsidR="0011734F" w:rsidRDefault="0011734F"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64066EDD" w:rsidR="0011734F" w:rsidRPr="00D946B5" w:rsidRDefault="0011734F"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724826" w:rsidRPr="00724826">
          <w:rPr>
            <w:rFonts w:ascii="Times New Roman" w:hAnsi="Times New Roman" w:cs="Times New Roman"/>
            <w:noProof/>
            <w:lang w:val="es-ES"/>
          </w:rPr>
          <w:t>13</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2A35B" w14:textId="77777777" w:rsidR="0011734F" w:rsidRDefault="0011734F" w:rsidP="00627CDF">
      <w:r>
        <w:separator/>
      </w:r>
    </w:p>
  </w:footnote>
  <w:footnote w:type="continuationSeparator" w:id="0">
    <w:p w14:paraId="42048F56" w14:textId="77777777" w:rsidR="0011734F" w:rsidRDefault="0011734F" w:rsidP="00627CDF">
      <w:r>
        <w:continuationSeparator/>
      </w:r>
    </w:p>
  </w:footnote>
  <w:footnote w:id="1">
    <w:p w14:paraId="05ED252B" w14:textId="77777777" w:rsidR="0011734F" w:rsidRPr="000F307A" w:rsidRDefault="0011734F"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1460"/>
    <w:rsid w:val="00052956"/>
    <w:rsid w:val="00057446"/>
    <w:rsid w:val="000609F2"/>
    <w:rsid w:val="0006756B"/>
    <w:rsid w:val="00075295"/>
    <w:rsid w:val="000960BA"/>
    <w:rsid w:val="000A49B2"/>
    <w:rsid w:val="000A51B3"/>
    <w:rsid w:val="000A6848"/>
    <w:rsid w:val="000B174E"/>
    <w:rsid w:val="000B2B1E"/>
    <w:rsid w:val="000B371A"/>
    <w:rsid w:val="000D3AD6"/>
    <w:rsid w:val="000E19D8"/>
    <w:rsid w:val="000E368D"/>
    <w:rsid w:val="000F307A"/>
    <w:rsid w:val="000F76DA"/>
    <w:rsid w:val="00103927"/>
    <w:rsid w:val="0010394C"/>
    <w:rsid w:val="00113684"/>
    <w:rsid w:val="0011734F"/>
    <w:rsid w:val="00117C2A"/>
    <w:rsid w:val="00122247"/>
    <w:rsid w:val="00131DD7"/>
    <w:rsid w:val="0013428D"/>
    <w:rsid w:val="00135A8E"/>
    <w:rsid w:val="001372DC"/>
    <w:rsid w:val="001422A0"/>
    <w:rsid w:val="00145770"/>
    <w:rsid w:val="00153EA8"/>
    <w:rsid w:val="00194444"/>
    <w:rsid w:val="00194958"/>
    <w:rsid w:val="001A2156"/>
    <w:rsid w:val="001A5881"/>
    <w:rsid w:val="001B5E24"/>
    <w:rsid w:val="001B73D0"/>
    <w:rsid w:val="001C7F7D"/>
    <w:rsid w:val="001D1A83"/>
    <w:rsid w:val="001E0A08"/>
    <w:rsid w:val="001F3638"/>
    <w:rsid w:val="001F64DB"/>
    <w:rsid w:val="001F6FBF"/>
    <w:rsid w:val="0020280B"/>
    <w:rsid w:val="00204A86"/>
    <w:rsid w:val="002133DA"/>
    <w:rsid w:val="002148CF"/>
    <w:rsid w:val="00236595"/>
    <w:rsid w:val="00253BB6"/>
    <w:rsid w:val="00256017"/>
    <w:rsid w:val="00264760"/>
    <w:rsid w:val="0026486E"/>
    <w:rsid w:val="00267322"/>
    <w:rsid w:val="002734A7"/>
    <w:rsid w:val="0027532A"/>
    <w:rsid w:val="00291158"/>
    <w:rsid w:val="002B1041"/>
    <w:rsid w:val="002B1BC6"/>
    <w:rsid w:val="002B3B28"/>
    <w:rsid w:val="002C4BB9"/>
    <w:rsid w:val="002D4A33"/>
    <w:rsid w:val="002D68C5"/>
    <w:rsid w:val="002E4C5E"/>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09C6"/>
    <w:rsid w:val="003C46C9"/>
    <w:rsid w:val="003D4B2F"/>
    <w:rsid w:val="003D5067"/>
    <w:rsid w:val="003E266C"/>
    <w:rsid w:val="003E447B"/>
    <w:rsid w:val="003F165C"/>
    <w:rsid w:val="003F517E"/>
    <w:rsid w:val="00412F5A"/>
    <w:rsid w:val="00414B31"/>
    <w:rsid w:val="00420C13"/>
    <w:rsid w:val="00423770"/>
    <w:rsid w:val="00453DB9"/>
    <w:rsid w:val="00461121"/>
    <w:rsid w:val="00461B9A"/>
    <w:rsid w:val="004635B6"/>
    <w:rsid w:val="00471850"/>
    <w:rsid w:val="0047438F"/>
    <w:rsid w:val="00483450"/>
    <w:rsid w:val="00485ADE"/>
    <w:rsid w:val="00487757"/>
    <w:rsid w:val="004A4732"/>
    <w:rsid w:val="004B6F66"/>
    <w:rsid w:val="004B75D3"/>
    <w:rsid w:val="004C4DBF"/>
    <w:rsid w:val="004C6F48"/>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C7090"/>
    <w:rsid w:val="005D0CD6"/>
    <w:rsid w:val="005D4DDC"/>
    <w:rsid w:val="005E0176"/>
    <w:rsid w:val="005E42A6"/>
    <w:rsid w:val="005E5034"/>
    <w:rsid w:val="005F659F"/>
    <w:rsid w:val="0060089C"/>
    <w:rsid w:val="0060527C"/>
    <w:rsid w:val="006118C6"/>
    <w:rsid w:val="006222BE"/>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24826"/>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1BD9"/>
    <w:rsid w:val="007C4016"/>
    <w:rsid w:val="007C70E1"/>
    <w:rsid w:val="007D3394"/>
    <w:rsid w:val="007D5895"/>
    <w:rsid w:val="007E464F"/>
    <w:rsid w:val="007F3472"/>
    <w:rsid w:val="00804F15"/>
    <w:rsid w:val="0080541B"/>
    <w:rsid w:val="00810A70"/>
    <w:rsid w:val="00826B5F"/>
    <w:rsid w:val="00830D13"/>
    <w:rsid w:val="0084330E"/>
    <w:rsid w:val="00843ACE"/>
    <w:rsid w:val="008521F0"/>
    <w:rsid w:val="00854AC2"/>
    <w:rsid w:val="00854DF7"/>
    <w:rsid w:val="008551BF"/>
    <w:rsid w:val="00875F0C"/>
    <w:rsid w:val="0089142B"/>
    <w:rsid w:val="008A0FBA"/>
    <w:rsid w:val="008B7CC1"/>
    <w:rsid w:val="008C3A17"/>
    <w:rsid w:val="008D5099"/>
    <w:rsid w:val="008D5CAA"/>
    <w:rsid w:val="008F4AA6"/>
    <w:rsid w:val="00904D25"/>
    <w:rsid w:val="00905695"/>
    <w:rsid w:val="0090607D"/>
    <w:rsid w:val="00914348"/>
    <w:rsid w:val="009146AE"/>
    <w:rsid w:val="00921BE1"/>
    <w:rsid w:val="00933606"/>
    <w:rsid w:val="00935A37"/>
    <w:rsid w:val="00942B3E"/>
    <w:rsid w:val="00955471"/>
    <w:rsid w:val="00956ED1"/>
    <w:rsid w:val="009603EC"/>
    <w:rsid w:val="0098158E"/>
    <w:rsid w:val="00981669"/>
    <w:rsid w:val="00984DB7"/>
    <w:rsid w:val="00987EAD"/>
    <w:rsid w:val="00992046"/>
    <w:rsid w:val="009A15EB"/>
    <w:rsid w:val="009A6503"/>
    <w:rsid w:val="009C635B"/>
    <w:rsid w:val="009E0C29"/>
    <w:rsid w:val="009E4898"/>
    <w:rsid w:val="009E7347"/>
    <w:rsid w:val="00A12A39"/>
    <w:rsid w:val="00A12F10"/>
    <w:rsid w:val="00A22A07"/>
    <w:rsid w:val="00A24DC4"/>
    <w:rsid w:val="00A310BC"/>
    <w:rsid w:val="00A33574"/>
    <w:rsid w:val="00A411E5"/>
    <w:rsid w:val="00A44CF7"/>
    <w:rsid w:val="00A528C0"/>
    <w:rsid w:val="00A531DF"/>
    <w:rsid w:val="00A571CE"/>
    <w:rsid w:val="00A62B35"/>
    <w:rsid w:val="00A63BAA"/>
    <w:rsid w:val="00A7794D"/>
    <w:rsid w:val="00A90E05"/>
    <w:rsid w:val="00A94865"/>
    <w:rsid w:val="00AA23C8"/>
    <w:rsid w:val="00AB1407"/>
    <w:rsid w:val="00AB75A8"/>
    <w:rsid w:val="00AC3308"/>
    <w:rsid w:val="00AC56F4"/>
    <w:rsid w:val="00AC75E9"/>
    <w:rsid w:val="00AD0BFB"/>
    <w:rsid w:val="00AD3F81"/>
    <w:rsid w:val="00AF49E8"/>
    <w:rsid w:val="00B23E5A"/>
    <w:rsid w:val="00B24EFC"/>
    <w:rsid w:val="00B25411"/>
    <w:rsid w:val="00B27282"/>
    <w:rsid w:val="00B43422"/>
    <w:rsid w:val="00B4485A"/>
    <w:rsid w:val="00B47660"/>
    <w:rsid w:val="00B51875"/>
    <w:rsid w:val="00B5247D"/>
    <w:rsid w:val="00B6041F"/>
    <w:rsid w:val="00B65F34"/>
    <w:rsid w:val="00B73D9B"/>
    <w:rsid w:val="00B776C2"/>
    <w:rsid w:val="00B863A1"/>
    <w:rsid w:val="00BB7A41"/>
    <w:rsid w:val="00BC1926"/>
    <w:rsid w:val="00BC2907"/>
    <w:rsid w:val="00BC2C80"/>
    <w:rsid w:val="00BC3605"/>
    <w:rsid w:val="00BC5C9B"/>
    <w:rsid w:val="00BC5E8B"/>
    <w:rsid w:val="00BD6CE8"/>
    <w:rsid w:val="00BE0F28"/>
    <w:rsid w:val="00BE5400"/>
    <w:rsid w:val="00BF4740"/>
    <w:rsid w:val="00C02059"/>
    <w:rsid w:val="00C11545"/>
    <w:rsid w:val="00C1479F"/>
    <w:rsid w:val="00C218ED"/>
    <w:rsid w:val="00C32ECF"/>
    <w:rsid w:val="00C530D6"/>
    <w:rsid w:val="00C63290"/>
    <w:rsid w:val="00C71FD3"/>
    <w:rsid w:val="00C86DB9"/>
    <w:rsid w:val="00CA3CA9"/>
    <w:rsid w:val="00CC5B43"/>
    <w:rsid w:val="00CC7EB1"/>
    <w:rsid w:val="00CE58CE"/>
    <w:rsid w:val="00CE789F"/>
    <w:rsid w:val="00CF6150"/>
    <w:rsid w:val="00D04AD3"/>
    <w:rsid w:val="00D1556F"/>
    <w:rsid w:val="00D17728"/>
    <w:rsid w:val="00D258FD"/>
    <w:rsid w:val="00D30A55"/>
    <w:rsid w:val="00D342DD"/>
    <w:rsid w:val="00D40444"/>
    <w:rsid w:val="00D44E59"/>
    <w:rsid w:val="00D464CD"/>
    <w:rsid w:val="00D46820"/>
    <w:rsid w:val="00D55337"/>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624D9"/>
    <w:rsid w:val="00E70D4C"/>
    <w:rsid w:val="00E736D5"/>
    <w:rsid w:val="00E77C77"/>
    <w:rsid w:val="00E80E7D"/>
    <w:rsid w:val="00E82E9B"/>
    <w:rsid w:val="00E877B2"/>
    <w:rsid w:val="00EA0AB1"/>
    <w:rsid w:val="00EA2852"/>
    <w:rsid w:val="00EA32C3"/>
    <w:rsid w:val="00EB4E5A"/>
    <w:rsid w:val="00EB6495"/>
    <w:rsid w:val="00EC1A45"/>
    <w:rsid w:val="00ED0004"/>
    <w:rsid w:val="00ED2890"/>
    <w:rsid w:val="00EE0467"/>
    <w:rsid w:val="00EE6EDA"/>
    <w:rsid w:val="00EF185B"/>
    <w:rsid w:val="00F1143E"/>
    <w:rsid w:val="00F12992"/>
    <w:rsid w:val="00F20F7A"/>
    <w:rsid w:val="00F217CA"/>
    <w:rsid w:val="00F22115"/>
    <w:rsid w:val="00F303C4"/>
    <w:rsid w:val="00F305FB"/>
    <w:rsid w:val="00F34984"/>
    <w:rsid w:val="00F400EC"/>
    <w:rsid w:val="00F52B1A"/>
    <w:rsid w:val="00F65551"/>
    <w:rsid w:val="00F82B12"/>
    <w:rsid w:val="00F85F5B"/>
    <w:rsid w:val="00F939A5"/>
    <w:rsid w:val="00FA24AE"/>
    <w:rsid w:val="00FA3555"/>
    <w:rsid w:val="00FC4CC8"/>
    <w:rsid w:val="00FF0B37"/>
    <w:rsid w:val="00FF507C"/>
    <w:rsid w:val="00FF532B"/>
    <w:rsid w:val="00FF7B23"/>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741637905">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0AA12-82A9-414D-8C62-CED6188F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3516</Words>
  <Characters>19343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4</cp:revision>
  <cp:lastPrinted>2020-05-18T17:02:00Z</cp:lastPrinted>
  <dcterms:created xsi:type="dcterms:W3CDTF">2020-05-18T17:02:00Z</dcterms:created>
  <dcterms:modified xsi:type="dcterms:W3CDTF">2020-05-18T17:03:00Z</dcterms:modified>
</cp:coreProperties>
</file>