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${marca_modelo}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${cod_interno}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>${capacidad}</w:t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${clase_oiml}</w:t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${error_max}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${fcompra}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${norden_compra}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${proveedor}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>${intervalo_mantenimiento}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${fecha_mantenimiento}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${avisar}</w:t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${pauta_mantencion}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${intervalo_calibracion}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${intervalo_verificacion}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${criterio_aceptacion}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${observaciones}</w:t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${actividad}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${f_realizacion}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${f_proxima}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${realizado_por}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Pr="00E47DAD">
              <w:rPr>
                <w:rFonts w:ascii="Arial" w:hAnsi="Arial" w:cs="Arial"/>
                <w:sz w:val="22"/>
                <w:szCs w:val="22"/>
                <w:u w:val="single"/>
              </w:rPr>
              <w:t>observacio</w:t>
            </w:r>
            <w:bookmarkStart w:id="0" w:name="_GoBack"/>
            <w:bookmarkEnd w:id="0"/>
            <w:r w:rsidR="00A44B66" w:rsidRPr="00E47DAD">
              <w:rPr>
                <w:rFonts w:ascii="Arial" w:hAnsi="Arial" w:cs="Arial"/>
                <w:sz w:val="22"/>
                <w:szCs w:val="22"/>
                <w:u w:val="single"/>
              </w:rPr>
              <w:t>n</w:t>
            </w:r>
            <w:r w:rsidR="00A44B6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