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ochcxgyf7jy9" w:id="0"/>
      <w:bookmarkEnd w:id="0"/>
      <w:r w:rsidDel="00000000" w:rsidR="00000000" w:rsidRPr="00000000">
        <w:rPr>
          <w:rtl w:val="0"/>
        </w:rPr>
        <w:t xml:space="preserve">Compilation of information on Indicator Ranks</w:t>
      </w:r>
    </w:p>
    <w:p w:rsidR="00000000" w:rsidDel="00000000" w:rsidP="00000000" w:rsidRDefault="00000000" w:rsidRPr="00000000" w14:paraId="00000001">
      <w:pPr>
        <w:pStyle w:val="Heading1"/>
        <w:keepNext w:val="0"/>
        <w:keepLines w:val="0"/>
        <w:spacing w:before="280" w:lineRule="auto"/>
        <w:contextualSpacing w:val="0"/>
        <w:rPr/>
      </w:pPr>
      <w:bookmarkStart w:colFirst="0" w:colLast="0" w:name="_k9x5v4h5zfg9" w:id="1"/>
      <w:bookmarkEnd w:id="1"/>
      <w:r w:rsidDel="00000000" w:rsidR="00000000" w:rsidRPr="00000000">
        <w:rPr>
          <w:rtl w:val="0"/>
        </w:rPr>
        <w:t xml:space="preserve">Internal Notes</w:t>
      </w:r>
    </w:p>
    <w:p w:rsidR="00000000" w:rsidDel="00000000" w:rsidP="00000000" w:rsidRDefault="00000000" w:rsidRPr="00000000" w14:paraId="00000002">
      <w:pPr>
        <w:contextualSpacing w:val="0"/>
        <w:rPr/>
      </w:pPr>
      <w:r w:rsidDel="00000000" w:rsidR="00000000" w:rsidRPr="00000000">
        <w:rPr>
          <w:rtl w:val="0"/>
        </w:rPr>
        <w:t xml:space="preserve">Some things of note when defining indicator ranks:</w:t>
      </w:r>
    </w:p>
    <w:p w:rsidR="00000000" w:rsidDel="00000000" w:rsidP="00000000" w:rsidRDefault="00000000" w:rsidRPr="00000000" w14:paraId="00000003">
      <w:pPr>
        <w:numPr>
          <w:ilvl w:val="0"/>
          <w:numId w:val="2"/>
        </w:numPr>
        <w:ind w:left="720" w:hanging="360"/>
        <w:contextualSpacing w:val="1"/>
        <w:rPr>
          <w:u w:val="none"/>
        </w:rPr>
      </w:pPr>
      <w:r w:rsidDel="00000000" w:rsidR="00000000" w:rsidRPr="00000000">
        <w:rPr>
          <w:b w:val="1"/>
          <w:rtl w:val="0"/>
        </w:rPr>
        <w:t xml:space="preserve">Make sure to take into consideration the existing ranks of other indicators in the same category. </w:t>
      </w:r>
      <w:r w:rsidDel="00000000" w:rsidR="00000000" w:rsidRPr="00000000">
        <w:rPr>
          <w:rtl w:val="0"/>
        </w:rPr>
        <w:t xml:space="preserve">See table below for</w:t>
      </w:r>
      <w:r w:rsidDel="00000000" w:rsidR="00000000" w:rsidRPr="00000000">
        <w:rPr>
          <w:rtl w:val="0"/>
        </w:rPr>
        <w:t xml:space="preserve"> an example snippet from the hierarchy.indicators CSV file.</w:t>
      </w:r>
    </w:p>
    <w:p w:rsidR="00000000" w:rsidDel="00000000" w:rsidP="00000000" w:rsidRDefault="00000000" w:rsidRPr="00000000" w14:paraId="00000004">
      <w:pPr>
        <w:contextualSpacing w:val="0"/>
        <w:rPr/>
      </w:pPr>
      <w:r w:rsidDel="00000000" w:rsidR="00000000" w:rsidRPr="00000000">
        <w:rPr>
          <w:rtl w:val="0"/>
        </w:rPr>
      </w:r>
    </w:p>
    <w:tbl>
      <w:tblPr>
        <w:tblStyle w:val="Table1"/>
        <w:tblW w:w="9020.71232876712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1395"/>
        <w:gridCol w:w="2025"/>
        <w:gridCol w:w="885"/>
        <w:gridCol w:w="1890"/>
        <w:gridCol w:w="360"/>
        <w:gridCol w:w="1595.7123287671234"/>
        <w:tblGridChange w:id="0">
          <w:tblGrid>
            <w:gridCol w:w="870"/>
            <w:gridCol w:w="1395"/>
            <w:gridCol w:w="2025"/>
            <w:gridCol w:w="885"/>
            <w:gridCol w:w="1890"/>
            <w:gridCol w:w="360"/>
            <w:gridCol w:w="1595.7123287671234"/>
          </w:tblGrid>
        </w:tblGridChange>
      </w:tblGrid>
      <w:tr>
        <w:trPr>
          <w:trHeight w:val="28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contextualSpacing w:val="0"/>
              <w:rPr>
                <w:sz w:val="18"/>
                <w:szCs w:val="18"/>
              </w:rPr>
            </w:pPr>
            <w:r w:rsidDel="00000000" w:rsidR="00000000" w:rsidRPr="00000000">
              <w:rPr>
                <w:sz w:val="18"/>
                <w:szCs w:val="18"/>
                <w:rtl w:val="0"/>
              </w:rPr>
              <w:t xml:space="preserve">Row #</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contextualSpacing w:val="0"/>
              <w:rPr>
                <w:sz w:val="18"/>
                <w:szCs w:val="18"/>
              </w:rPr>
            </w:pPr>
            <w:r w:rsidDel="00000000" w:rsidR="00000000" w:rsidRPr="00000000">
              <w:rPr>
                <w:sz w:val="18"/>
                <w:szCs w:val="18"/>
                <w:rtl w:val="0"/>
              </w:rPr>
              <w:t xml:space="preserve">Display_Name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contextualSpacing w:val="0"/>
              <w:rPr>
                <w:sz w:val="18"/>
                <w:szCs w:val="18"/>
              </w:rPr>
            </w:pPr>
            <w:r w:rsidDel="00000000" w:rsidR="00000000" w:rsidRPr="00000000">
              <w:rPr>
                <w:sz w:val="18"/>
                <w:szCs w:val="18"/>
                <w:rtl w:val="0"/>
              </w:rPr>
              <w:t xml:space="preserve">ValueType_Descriptor</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contextualSpacing w:val="0"/>
              <w:jc w:val="center"/>
              <w:rPr>
                <w:sz w:val="18"/>
                <w:szCs w:val="18"/>
              </w:rPr>
            </w:pPr>
            <w:r w:rsidDel="00000000" w:rsidR="00000000" w:rsidRPr="00000000">
              <w:rPr>
                <w:sz w:val="18"/>
                <w:szCs w:val="18"/>
                <w:rtl w:val="0"/>
              </w:rPr>
              <w:t xml:space="preserve">Rank 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contextualSpacing w:val="0"/>
              <w:rPr>
                <w:sz w:val="18"/>
                <w:szCs w:val="18"/>
              </w:rPr>
            </w:pPr>
            <w:r w:rsidDel="00000000" w:rsidR="00000000" w:rsidRPr="00000000">
              <w:rPr>
                <w:sz w:val="18"/>
                <w:szCs w:val="18"/>
                <w:rtl w:val="0"/>
              </w:rPr>
              <w:t xml:space="preserve">Category 1.1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contextualSpacing w:val="0"/>
              <w:rPr>
                <w:sz w:val="18"/>
                <w:szCs w:val="18"/>
              </w:rPr>
            </w:pPr>
            <w:r w:rsidDel="00000000" w:rsidR="00000000" w:rsidRPr="00000000">
              <w:rPr>
                <w:sz w:val="18"/>
                <w:szCs w:val="18"/>
                <w:rtl w:val="0"/>
              </w:rPr>
              <w:t xml:space="preserv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contextualSpacing w:val="0"/>
              <w:rPr>
                <w:sz w:val="18"/>
                <w:szCs w:val="18"/>
              </w:rPr>
            </w:pPr>
            <w:r w:rsidDel="00000000" w:rsidR="00000000" w:rsidRPr="00000000">
              <w:rPr>
                <w:sz w:val="18"/>
                <w:szCs w:val="18"/>
                <w:rtl w:val="0"/>
              </w:rPr>
              <w:t xml:space="preserve">Category 2.1</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contextualSpacing w:val="0"/>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contextualSpacing w:val="0"/>
              <w:rPr>
                <w:sz w:val="18"/>
                <w:szCs w:val="18"/>
              </w:rPr>
            </w:pPr>
            <w:r w:rsidDel="00000000" w:rsidR="00000000" w:rsidRPr="00000000">
              <w:rPr>
                <w:sz w:val="18"/>
                <w:szCs w:val="18"/>
                <w:rtl w:val="0"/>
              </w:rPr>
              <w:t xml:space="preserve">Indicator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contextualSpacing w:val="0"/>
              <w:rPr>
                <w:sz w:val="18"/>
                <w:szCs w:val="18"/>
              </w:rPr>
            </w:pPr>
            <w:r w:rsidDel="00000000" w:rsidR="00000000" w:rsidRPr="00000000">
              <w:rPr>
                <w:sz w:val="18"/>
                <w:szCs w:val="18"/>
                <w:rtl w:val="0"/>
              </w:rPr>
              <w:t xml:space="preserve">Value</w:t>
            </w:r>
          </w:p>
        </w:tc>
        <w:tc>
          <w:tcPr>
            <w:shd w:fill="f1c232"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contextualSpacing w:val="0"/>
              <w:jc w:val="center"/>
              <w:rPr>
                <w:sz w:val="18"/>
                <w:szCs w:val="18"/>
              </w:rPr>
            </w:pPr>
            <w:r w:rsidDel="00000000" w:rsidR="00000000" w:rsidRPr="00000000">
              <w:rPr>
                <w:sz w:val="18"/>
                <w:szCs w:val="18"/>
                <w:rtl w:val="0"/>
              </w:rPr>
              <w:t xml:space="preserve">5.15</w:t>
            </w:r>
          </w:p>
        </w:tc>
        <w:tc>
          <w:tcP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contextualSpacing w:val="0"/>
              <w:rPr>
                <w:sz w:val="18"/>
                <w:szCs w:val="18"/>
              </w:rPr>
            </w:pPr>
            <w:r w:rsidDel="00000000" w:rsidR="00000000" w:rsidRPr="00000000">
              <w:rPr>
                <w:sz w:val="18"/>
                <w:szCs w:val="18"/>
                <w:rtl w:val="0"/>
              </w:rPr>
              <w:t xml:space="preserve">General Governance</w:t>
            </w:r>
          </w:p>
        </w:tc>
        <w:tc>
          <w:tcP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contextualSpacing w:val="0"/>
              <w:rPr>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contextualSpacing w:val="0"/>
              <w:rPr>
                <w:sz w:val="18"/>
                <w:szCs w:val="18"/>
              </w:rPr>
            </w:pPr>
            <w:r w:rsidDel="00000000" w:rsidR="00000000" w:rsidRPr="00000000">
              <w:rPr>
                <w:sz w:val="18"/>
                <w:szCs w:val="18"/>
                <w:rtl w:val="0"/>
              </w:rPr>
              <w:t xml:space="preserve">Security</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contextualSpacing w:val="0"/>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contextualSpacing w:val="0"/>
              <w:rPr>
                <w:sz w:val="18"/>
                <w:szCs w:val="18"/>
              </w:rPr>
            </w:pPr>
            <w:r w:rsidDel="00000000" w:rsidR="00000000" w:rsidRPr="00000000">
              <w:rPr>
                <w:sz w:val="18"/>
                <w:szCs w:val="18"/>
                <w:rtl w:val="0"/>
              </w:rPr>
              <w:t xml:space="preserve">Indicator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contextualSpacing w:val="0"/>
              <w:rPr>
                <w:sz w:val="18"/>
                <w:szCs w:val="18"/>
              </w:rPr>
            </w:pPr>
            <w:r w:rsidDel="00000000" w:rsidR="00000000" w:rsidRPr="00000000">
              <w:rPr>
                <w:sz w:val="18"/>
                <w:szCs w:val="18"/>
                <w:rtl w:val="0"/>
              </w:rPr>
              <w:t xml:space="preserve">Percent</w:t>
            </w:r>
          </w:p>
        </w:tc>
        <w:tc>
          <w:tcPr>
            <w:shd w:fill="f1c232"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contextualSpacing w:val="0"/>
              <w:jc w:val="center"/>
              <w:rPr>
                <w:sz w:val="18"/>
                <w:szCs w:val="18"/>
              </w:rPr>
            </w:pPr>
            <w:r w:rsidDel="00000000" w:rsidR="00000000" w:rsidRPr="00000000">
              <w:rPr>
                <w:sz w:val="18"/>
                <w:szCs w:val="18"/>
                <w:rtl w:val="0"/>
              </w:rPr>
              <w:t xml:space="preserve">5.15</w:t>
            </w:r>
          </w:p>
        </w:tc>
        <w:tc>
          <w:tcP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contextualSpacing w:val="0"/>
              <w:rPr>
                <w:sz w:val="18"/>
                <w:szCs w:val="18"/>
              </w:rPr>
            </w:pPr>
            <w:r w:rsidDel="00000000" w:rsidR="00000000" w:rsidRPr="00000000">
              <w:rPr>
                <w:sz w:val="18"/>
                <w:szCs w:val="18"/>
                <w:rtl w:val="0"/>
              </w:rPr>
              <w:t xml:space="preserve">General Governance</w:t>
            </w:r>
          </w:p>
        </w:tc>
        <w:tc>
          <w:tcP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contextualSpacing w:val="0"/>
              <w:rPr>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contextualSpacing w:val="0"/>
              <w:rPr>
                <w:sz w:val="18"/>
                <w:szCs w:val="18"/>
              </w:rPr>
            </w:pPr>
            <w:r w:rsidDel="00000000" w:rsidR="00000000" w:rsidRPr="00000000">
              <w:rPr>
                <w:sz w:val="18"/>
                <w:szCs w:val="18"/>
                <w:rtl w:val="0"/>
              </w:rPr>
              <w:t xml:space="preserve">Security</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contextualSpacing w:val="0"/>
              <w:rPr>
                <w:sz w:val="18"/>
                <w:szCs w:val="18"/>
              </w:rPr>
            </w:pPr>
            <w:r w:rsidDel="00000000" w:rsidR="00000000" w:rsidRPr="00000000">
              <w:rPr>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contextualSpacing w:val="0"/>
              <w:rPr>
                <w:b w:val="1"/>
                <w:color w:val="4a86e8"/>
                <w:sz w:val="18"/>
                <w:szCs w:val="18"/>
              </w:rPr>
            </w:pPr>
            <w:r w:rsidDel="00000000" w:rsidR="00000000" w:rsidRPr="00000000">
              <w:rPr>
                <w:b w:val="1"/>
                <w:color w:val="4a86e8"/>
                <w:sz w:val="18"/>
                <w:szCs w:val="18"/>
                <w:rtl w:val="0"/>
              </w:rPr>
              <w:t xml:space="preserve">Indicator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contextualSpacing w:val="0"/>
              <w:rPr>
                <w:b w:val="1"/>
                <w:color w:val="4a86e8"/>
                <w:sz w:val="18"/>
                <w:szCs w:val="18"/>
              </w:rPr>
            </w:pPr>
            <w:r w:rsidDel="00000000" w:rsidR="00000000" w:rsidRPr="00000000">
              <w:rPr>
                <w:b w:val="1"/>
                <w:color w:val="4a86e8"/>
                <w:sz w:val="18"/>
                <w:szCs w:val="18"/>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contextualSpacing w:val="0"/>
              <w:jc w:val="center"/>
              <w:rPr>
                <w:b w:val="1"/>
                <w:color w:val="4a86e8"/>
                <w:sz w:val="18"/>
                <w:szCs w:val="18"/>
              </w:rPr>
            </w:pPr>
            <w:r w:rsidDel="00000000" w:rsidR="00000000" w:rsidRPr="00000000">
              <w:rPr>
                <w:b w:val="1"/>
                <w:color w:val="4a86e8"/>
                <w:sz w:val="18"/>
                <w:szCs w:val="18"/>
                <w:rtl w:val="0"/>
              </w:rPr>
              <w:t xml:space="preserve">5.16</w:t>
            </w:r>
          </w:p>
        </w:tc>
        <w:tc>
          <w:tcP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contextualSpacing w:val="0"/>
              <w:rPr>
                <w:b w:val="1"/>
                <w:color w:val="4a86e8"/>
                <w:sz w:val="18"/>
                <w:szCs w:val="18"/>
              </w:rPr>
            </w:pPr>
            <w:r w:rsidDel="00000000" w:rsidR="00000000" w:rsidRPr="00000000">
              <w:rPr>
                <w:b w:val="1"/>
                <w:color w:val="4a86e8"/>
                <w:sz w:val="18"/>
                <w:szCs w:val="18"/>
                <w:rtl w:val="0"/>
              </w:rPr>
              <w:t xml:space="preserve">General Governance</w:t>
            </w:r>
          </w:p>
        </w:tc>
        <w:tc>
          <w:tcP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contextualSpacing w:val="0"/>
              <w:rPr>
                <w:b w:val="1"/>
                <w:color w:val="4a86e8"/>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contextualSpacing w:val="0"/>
              <w:rPr>
                <w:b w:val="1"/>
                <w:color w:val="4a86e8"/>
                <w:sz w:val="18"/>
                <w:szCs w:val="18"/>
              </w:rPr>
            </w:pPr>
            <w:r w:rsidDel="00000000" w:rsidR="00000000" w:rsidRPr="00000000">
              <w:rPr>
                <w:sz w:val="18"/>
                <w:szCs w:val="18"/>
                <w:rtl w:val="0"/>
              </w:rPr>
              <w:t xml:space="preserve">Security</w:t>
            </w: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contextualSpacing w:val="0"/>
              <w:rPr>
                <w:sz w:val="18"/>
                <w:szCs w:val="18"/>
              </w:rPr>
            </w:pPr>
            <w:r w:rsidDel="00000000" w:rsidR="00000000" w:rsidRPr="00000000">
              <w:rPr>
                <w:sz w:val="18"/>
                <w:szCs w:val="1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contextualSpacing w:val="0"/>
              <w:rPr>
                <w:b w:val="1"/>
                <w:color w:val="4a86e8"/>
                <w:sz w:val="18"/>
                <w:szCs w:val="18"/>
              </w:rPr>
            </w:pPr>
            <w:r w:rsidDel="00000000" w:rsidR="00000000" w:rsidRPr="00000000">
              <w:rPr>
                <w:b w:val="1"/>
                <w:color w:val="4a86e8"/>
                <w:sz w:val="18"/>
                <w:szCs w:val="18"/>
                <w:rtl w:val="0"/>
              </w:rPr>
              <w:t xml:space="preserve">Indicator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contextualSpacing w:val="0"/>
              <w:rPr>
                <w:b w:val="1"/>
                <w:color w:val="4a86e8"/>
                <w:sz w:val="18"/>
                <w:szCs w:val="18"/>
              </w:rPr>
            </w:pPr>
            <w:r w:rsidDel="00000000" w:rsidR="00000000" w:rsidRPr="00000000">
              <w:rPr>
                <w:b w:val="1"/>
                <w:color w:val="4a86e8"/>
                <w:sz w:val="18"/>
                <w:szCs w:val="18"/>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contextualSpacing w:val="0"/>
              <w:jc w:val="center"/>
              <w:rPr>
                <w:b w:val="1"/>
                <w:color w:val="4a86e8"/>
                <w:sz w:val="18"/>
                <w:szCs w:val="18"/>
              </w:rPr>
            </w:pPr>
            <w:r w:rsidDel="00000000" w:rsidR="00000000" w:rsidRPr="00000000">
              <w:rPr>
                <w:b w:val="1"/>
                <w:color w:val="4a86e8"/>
                <w:sz w:val="18"/>
                <w:szCs w:val="18"/>
                <w:rtl w:val="0"/>
              </w:rPr>
              <w:t xml:space="preserve">5.16</w:t>
            </w:r>
          </w:p>
        </w:tc>
        <w:tc>
          <w:tcP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contextualSpacing w:val="0"/>
              <w:rPr>
                <w:b w:val="1"/>
                <w:color w:val="4a86e8"/>
                <w:sz w:val="18"/>
                <w:szCs w:val="18"/>
              </w:rPr>
            </w:pPr>
            <w:r w:rsidDel="00000000" w:rsidR="00000000" w:rsidRPr="00000000">
              <w:rPr>
                <w:b w:val="1"/>
                <w:color w:val="4a86e8"/>
                <w:sz w:val="18"/>
                <w:szCs w:val="18"/>
                <w:rtl w:val="0"/>
              </w:rPr>
              <w:t xml:space="preserve">Trust</w:t>
            </w:r>
          </w:p>
        </w:tc>
        <w:tc>
          <w:tcP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contextualSpacing w:val="0"/>
              <w:rPr>
                <w:b w:val="1"/>
                <w:color w:val="4a86e8"/>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contextualSpacing w:val="0"/>
              <w:rPr>
                <w:b w:val="1"/>
                <w:color w:val="4a86e8"/>
                <w:sz w:val="18"/>
                <w:szCs w:val="18"/>
              </w:rPr>
            </w:pPr>
            <w:r w:rsidDel="00000000" w:rsidR="00000000" w:rsidRPr="00000000">
              <w:rPr>
                <w:sz w:val="18"/>
                <w:szCs w:val="18"/>
                <w:rtl w:val="0"/>
              </w:rPr>
              <w:t xml:space="preserve">Security</w:t>
            </w:r>
            <w:r w:rsidDel="00000000" w:rsidR="00000000" w:rsidRPr="00000000">
              <w:rPr>
                <w:rtl w:val="0"/>
              </w:rPr>
            </w:r>
          </w:p>
        </w:tc>
      </w:tr>
    </w:tbl>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ind w:firstLine="720"/>
        <w:contextualSpacing w:val="0"/>
        <w:rPr/>
      </w:pPr>
      <w:r w:rsidDel="00000000" w:rsidR="00000000" w:rsidRPr="00000000">
        <w:rPr>
          <w:rtl w:val="0"/>
        </w:rPr>
        <w:t xml:space="preserve">Some things to note in this table:</w:t>
      </w:r>
    </w:p>
    <w:p w:rsidR="00000000" w:rsidDel="00000000" w:rsidP="00000000" w:rsidRDefault="00000000" w:rsidRPr="00000000" w14:paraId="0000002A">
      <w:pPr>
        <w:numPr>
          <w:ilvl w:val="1"/>
          <w:numId w:val="1"/>
        </w:numPr>
        <w:ind w:left="1440" w:hanging="360"/>
        <w:contextualSpacing w:val="1"/>
        <w:rPr>
          <w:u w:val="none"/>
        </w:rPr>
      </w:pPr>
      <w:r w:rsidDel="00000000" w:rsidR="00000000" w:rsidRPr="00000000">
        <w:rPr>
          <w:rtl w:val="0"/>
        </w:rPr>
        <w:t xml:space="preserve">Ranks should be unique on a per INDICATOR (</w:t>
      </w:r>
      <w:r w:rsidDel="00000000" w:rsidR="00000000" w:rsidRPr="00000000">
        <w:rPr>
          <w:u w:val="single"/>
          <w:rtl w:val="0"/>
        </w:rPr>
        <w:t xml:space="preserve">not</w:t>
      </w:r>
      <w:r w:rsidDel="00000000" w:rsidR="00000000" w:rsidRPr="00000000">
        <w:rPr>
          <w:rtl w:val="0"/>
        </w:rPr>
        <w:t xml:space="preserve"> sub-indicator), per CATEGORY 1.1 level. Here’s a concrete example:</w:t>
      </w:r>
    </w:p>
    <w:p w:rsidR="00000000" w:rsidDel="00000000" w:rsidP="00000000" w:rsidRDefault="00000000" w:rsidRPr="00000000" w14:paraId="0000002B">
      <w:pPr>
        <w:numPr>
          <w:ilvl w:val="2"/>
          <w:numId w:val="1"/>
        </w:numPr>
        <w:ind w:left="2160" w:hanging="360"/>
        <w:contextualSpacing w:val="1"/>
        <w:rPr>
          <w:u w:val="none"/>
        </w:rPr>
      </w:pPr>
      <w:r w:rsidDel="00000000" w:rsidR="00000000" w:rsidRPr="00000000">
        <w:rPr>
          <w:rtl w:val="0"/>
        </w:rPr>
        <w:t xml:space="preserve">Rows 1 and 2 have the </w:t>
      </w:r>
      <w:r w:rsidDel="00000000" w:rsidR="00000000" w:rsidRPr="00000000">
        <w:rPr>
          <w:u w:val="single"/>
          <w:rtl w:val="0"/>
        </w:rPr>
        <w:t xml:space="preserve">same rank</w:t>
      </w:r>
      <w:r w:rsidDel="00000000" w:rsidR="00000000" w:rsidRPr="00000000">
        <w:rPr>
          <w:rtl w:val="0"/>
        </w:rPr>
        <w:t xml:space="preserve"> since they refer to the same indicator “Indicator A”.</w:t>
      </w:r>
    </w:p>
    <w:p w:rsidR="00000000" w:rsidDel="00000000" w:rsidP="00000000" w:rsidRDefault="00000000" w:rsidRPr="00000000" w14:paraId="0000002C">
      <w:pPr>
        <w:numPr>
          <w:ilvl w:val="2"/>
          <w:numId w:val="1"/>
        </w:numPr>
        <w:ind w:left="2160" w:hanging="360"/>
        <w:contextualSpacing w:val="1"/>
        <w:rPr>
          <w:u w:val="none"/>
        </w:rPr>
      </w:pPr>
      <w:r w:rsidDel="00000000" w:rsidR="00000000" w:rsidRPr="00000000">
        <w:rPr>
          <w:rtl w:val="0"/>
        </w:rPr>
        <w:t xml:space="preserve">Row 3 should have a </w:t>
      </w:r>
      <w:r w:rsidDel="00000000" w:rsidR="00000000" w:rsidRPr="00000000">
        <w:rPr>
          <w:u w:val="single"/>
          <w:rtl w:val="0"/>
        </w:rPr>
        <w:t xml:space="preserve">different rank</w:t>
      </w:r>
      <w:r w:rsidDel="00000000" w:rsidR="00000000" w:rsidRPr="00000000">
        <w:rPr>
          <w:rtl w:val="0"/>
        </w:rPr>
        <w:t xml:space="preserve"> since it refers to a different indicator “Indicator B”.</w:t>
      </w:r>
    </w:p>
    <w:p w:rsidR="00000000" w:rsidDel="00000000" w:rsidP="00000000" w:rsidRDefault="00000000" w:rsidRPr="00000000" w14:paraId="0000002D">
      <w:pPr>
        <w:numPr>
          <w:ilvl w:val="2"/>
          <w:numId w:val="1"/>
        </w:numPr>
        <w:ind w:left="2160" w:hanging="360"/>
        <w:contextualSpacing w:val="1"/>
        <w:rPr>
          <w:u w:val="none"/>
        </w:rPr>
      </w:pPr>
      <w:r w:rsidDel="00000000" w:rsidR="00000000" w:rsidRPr="00000000">
        <w:rPr>
          <w:rtl w:val="0"/>
        </w:rPr>
        <w:t xml:space="preserve">Rows 3 and 4 can have the same rank even if they refer to different indicators since they belong to </w:t>
      </w:r>
      <w:r w:rsidDel="00000000" w:rsidR="00000000" w:rsidRPr="00000000">
        <w:rPr>
          <w:u w:val="single"/>
          <w:rtl w:val="0"/>
        </w:rPr>
        <w:t xml:space="preserve">different Category 1.1</w:t>
      </w:r>
      <w:r w:rsidDel="00000000" w:rsidR="00000000" w:rsidRPr="00000000">
        <w:rPr>
          <w:rtl w:val="0"/>
        </w:rPr>
        <w:t xml:space="preserve">’s.</w:t>
      </w:r>
    </w:p>
    <w:p w:rsidR="00000000" w:rsidDel="00000000" w:rsidP="00000000" w:rsidRDefault="00000000" w:rsidRPr="00000000" w14:paraId="0000002E">
      <w:pPr>
        <w:numPr>
          <w:ilvl w:val="1"/>
          <w:numId w:val="1"/>
        </w:numPr>
        <w:ind w:left="1440" w:hanging="360"/>
        <w:contextualSpacing w:val="1"/>
        <w:rPr>
          <w:u w:val="none"/>
        </w:rPr>
      </w:pPr>
      <w:r w:rsidDel="00000000" w:rsidR="00000000" w:rsidRPr="00000000">
        <w:rPr>
          <w:rtl w:val="0"/>
        </w:rPr>
        <w:t xml:space="preserve">Note that “Category 2.1”, “Category 3.1”, etc. has </w:t>
      </w:r>
      <w:r w:rsidDel="00000000" w:rsidR="00000000" w:rsidRPr="00000000">
        <w:rPr>
          <w:u w:val="single"/>
          <w:rtl w:val="0"/>
        </w:rPr>
        <w:t xml:space="preserve">no effect</w:t>
      </w:r>
      <w:r w:rsidDel="00000000" w:rsidR="00000000" w:rsidRPr="00000000">
        <w:rPr>
          <w:rtl w:val="0"/>
        </w:rPr>
        <w:t xml:space="preserve"> on the ranking. Currently, only the “Rank 1” column is used to determine the hierarchy ranks regardless of its category level. For instance, hierarchies marked in the combination of columns Category 1.1-1.5 and Category 2.1-2.5 both use “Rank 1” to determine the hierarchy rank. For more information, see  p.15 of the site documentation.</w:t>
      </w: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numPr>
          <w:ilvl w:val="0"/>
          <w:numId w:val="1"/>
        </w:numPr>
        <w:ind w:left="720" w:hanging="360"/>
        <w:contextualSpacing w:val="1"/>
        <w:rPr>
          <w:u w:val="none"/>
        </w:rPr>
      </w:pPr>
      <w:r w:rsidDel="00000000" w:rsidR="00000000" w:rsidRPr="00000000">
        <w:rPr>
          <w:b w:val="1"/>
          <w:rtl w:val="0"/>
        </w:rPr>
        <w:t xml:space="preserve">The indicator rank determines which indicators will be shown first for TCdata360 topic pages.</w:t>
      </w:r>
      <w:r w:rsidDel="00000000" w:rsidR="00000000" w:rsidRPr="00000000">
        <w:rPr>
          <w:rtl w:val="0"/>
        </w:rPr>
        <w:t xml:space="preserve"> Specifically, only two indicators (with rank 1.01 and rank 1.02) will be first shown on any given TCdata360 topic page. If the user presses the “More” link at the bottom of these two indicators, an additional 4 indicators will be shown (with rank 2.01, 2.02, 2.03, and 2.04). If the user presses the “More” link at the bottom of these indicators, the next set of ranked indicators will be shown (with rank 3.01, 3.02, etc.).</w:t>
      </w:r>
    </w:p>
    <w:p w:rsidR="00000000" w:rsidDel="00000000" w:rsidP="00000000" w:rsidRDefault="00000000" w:rsidRPr="00000000" w14:paraId="00000031">
      <w:pPr>
        <w:numPr>
          <w:ilvl w:val="0"/>
          <w:numId w:val="1"/>
        </w:numPr>
        <w:ind w:left="720" w:hanging="360"/>
        <w:contextualSpacing w:val="1"/>
        <w:rPr>
          <w:u w:val="none"/>
        </w:rPr>
      </w:pPr>
      <w:r w:rsidDel="00000000" w:rsidR="00000000" w:rsidRPr="00000000">
        <w:rPr>
          <w:b w:val="1"/>
          <w:rtl w:val="0"/>
        </w:rPr>
        <w:t xml:space="preserve">For each category topic level 1</w:t>
      </w:r>
      <w:r w:rsidDel="00000000" w:rsidR="00000000" w:rsidRPr="00000000">
        <w:rPr>
          <w:rtl w:val="0"/>
        </w:rPr>
        <w:t xml:space="preserve"> (e.g., Trust, Security, General Governance, Absence of Corruption), there is a specific number of indicators which are allowed to be in each rank level (see table below). Note that the maximum allowable rank level is 5.</w:t>
      </w:r>
    </w:p>
    <w:p w:rsidR="00000000" w:rsidDel="00000000" w:rsidP="00000000" w:rsidRDefault="00000000" w:rsidRPr="00000000" w14:paraId="00000032">
      <w:pPr>
        <w:contextualSpacing w:val="0"/>
        <w:rPr/>
      </w:pPr>
      <w:r w:rsidDel="00000000" w:rsidR="00000000" w:rsidRPr="00000000">
        <w:rPr>
          <w:rtl w:val="0"/>
        </w:rPr>
      </w:r>
    </w:p>
    <w:tbl>
      <w:tblPr>
        <w:tblStyle w:val="Table2"/>
        <w:tblW w:w="8595.0" w:type="dxa"/>
        <w:jc w:val="left"/>
        <w:tblInd w:w="12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85"/>
        <w:gridCol w:w="2685"/>
        <w:gridCol w:w="4425"/>
        <w:tblGridChange w:id="0">
          <w:tblGrid>
            <w:gridCol w:w="1485"/>
            <w:gridCol w:w="2685"/>
            <w:gridCol w:w="4425"/>
          </w:tblGrid>
        </w:tblGridChange>
      </w:tblGrid>
      <w:tr>
        <w:trPr>
          <w:trHeight w:val="660" w:hRule="atLeast"/>
        </w:trPr>
        <w:tc>
          <w:tcPr>
            <w:tcBorders>
              <w:bottom w:color="000000" w:space="0" w:sz="18" w:val="single"/>
            </w:tcBorders>
            <w:shd w:fill="d9d9d9" w:val="clear"/>
            <w:tcMar>
              <w:top w:w="120.0" w:type="dxa"/>
              <w:left w:w="120.0" w:type="dxa"/>
              <w:bottom w:w="120.0" w:type="dxa"/>
              <w:right w:w="120.0" w:type="dxa"/>
            </w:tcMar>
            <w:vAlign w:val="top"/>
          </w:tcPr>
          <w:p w:rsidR="00000000" w:rsidDel="00000000" w:rsidP="00000000" w:rsidRDefault="00000000" w:rsidRPr="00000000" w14:paraId="00000033">
            <w:pPr>
              <w:contextualSpacing w:val="0"/>
              <w:rPr>
                <w:b w:val="1"/>
                <w:color w:val="222222"/>
                <w:sz w:val="18"/>
                <w:szCs w:val="18"/>
              </w:rPr>
            </w:pPr>
            <w:r w:rsidDel="00000000" w:rsidR="00000000" w:rsidRPr="00000000">
              <w:rPr>
                <w:b w:val="1"/>
                <w:color w:val="222222"/>
                <w:sz w:val="18"/>
                <w:szCs w:val="18"/>
                <w:rtl w:val="0"/>
              </w:rPr>
              <w:t xml:space="preserve">Rank Level</w:t>
            </w:r>
          </w:p>
        </w:tc>
        <w:tc>
          <w:tcPr>
            <w:tcBorders>
              <w:bottom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4">
            <w:pPr>
              <w:contextualSpacing w:val="0"/>
              <w:rPr>
                <w:b w:val="1"/>
                <w:sz w:val="18"/>
                <w:szCs w:val="18"/>
              </w:rPr>
            </w:pPr>
            <w:r w:rsidDel="00000000" w:rsidR="00000000" w:rsidRPr="00000000">
              <w:rPr>
                <w:b w:val="1"/>
                <w:sz w:val="18"/>
                <w:szCs w:val="18"/>
                <w:rtl w:val="0"/>
              </w:rPr>
              <w:t xml:space="preserve">Numbering</w:t>
            </w:r>
          </w:p>
        </w:tc>
        <w:tc>
          <w:tcPr>
            <w:tcBorders>
              <w:bottom w:color="000000" w:space="0" w:sz="18" w:val="single"/>
            </w:tcBorders>
            <w:shd w:fill="d9d9d9" w:val="clear"/>
            <w:tcMar>
              <w:top w:w="120.0" w:type="dxa"/>
              <w:left w:w="120.0" w:type="dxa"/>
              <w:bottom w:w="120.0" w:type="dxa"/>
              <w:right w:w="120.0" w:type="dxa"/>
            </w:tcMar>
            <w:vAlign w:val="top"/>
          </w:tcPr>
          <w:p w:rsidR="00000000" w:rsidDel="00000000" w:rsidP="00000000" w:rsidRDefault="00000000" w:rsidRPr="00000000" w14:paraId="00000035">
            <w:pPr>
              <w:contextualSpacing w:val="0"/>
              <w:rPr>
                <w:b w:val="1"/>
                <w:sz w:val="18"/>
                <w:szCs w:val="18"/>
              </w:rPr>
            </w:pPr>
            <w:r w:rsidDel="00000000" w:rsidR="00000000" w:rsidRPr="00000000">
              <w:rPr>
                <w:b w:val="1"/>
                <w:sz w:val="18"/>
                <w:szCs w:val="18"/>
                <w:rtl w:val="0"/>
              </w:rPr>
              <w:t xml:space="preserve">Maximum Number of Indicators for each Category Level 1 in this Rank Level</w:t>
            </w:r>
          </w:p>
        </w:tc>
      </w:tr>
      <w:tr>
        <w:trPr>
          <w:trHeight w:val="480" w:hRule="atLeast"/>
        </w:trPr>
        <w:tc>
          <w:tcPr>
            <w:tcBorders>
              <w:bottom w:color="000000" w:space="0" w:sz="8" w:val="single"/>
            </w:tcBorders>
            <w:tcMar>
              <w:top w:w="120.0" w:type="dxa"/>
              <w:left w:w="120.0" w:type="dxa"/>
              <w:bottom w:w="120.0" w:type="dxa"/>
              <w:right w:w="120.0" w:type="dxa"/>
            </w:tcMar>
            <w:vAlign w:val="top"/>
          </w:tcPr>
          <w:p w:rsidR="00000000" w:rsidDel="00000000" w:rsidP="00000000" w:rsidRDefault="00000000" w:rsidRPr="00000000" w14:paraId="00000036">
            <w:pPr>
              <w:contextualSpacing w:val="0"/>
              <w:rPr>
                <w:sz w:val="18"/>
                <w:szCs w:val="18"/>
              </w:rPr>
            </w:pPr>
            <w:r w:rsidDel="00000000" w:rsidR="00000000" w:rsidRPr="00000000">
              <w:rPr>
                <w:sz w:val="18"/>
                <w:szCs w:val="18"/>
                <w:rtl w:val="0"/>
              </w:rPr>
              <w:t xml:space="preserve">1</w:t>
            </w:r>
          </w:p>
        </w:tc>
        <w:tc>
          <w:tcPr>
            <w:tcBorders>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contextualSpacing w:val="0"/>
              <w:rPr>
                <w:sz w:val="18"/>
                <w:szCs w:val="18"/>
              </w:rPr>
            </w:pPr>
            <w:r w:rsidDel="00000000" w:rsidR="00000000" w:rsidRPr="00000000">
              <w:rPr>
                <w:sz w:val="18"/>
                <w:szCs w:val="18"/>
                <w:rtl w:val="0"/>
              </w:rPr>
              <w:t xml:space="preserve">1.01, 1.02</w:t>
            </w:r>
          </w:p>
        </w:tc>
        <w:tc>
          <w:tcPr>
            <w:tcBorders>
              <w:bottom w:color="000000" w:space="0" w:sz="8" w:val="single"/>
            </w:tcBorders>
            <w:tcMar>
              <w:top w:w="120.0" w:type="dxa"/>
              <w:left w:w="120.0" w:type="dxa"/>
              <w:bottom w:w="120.0" w:type="dxa"/>
              <w:right w:w="120.0" w:type="dxa"/>
            </w:tcMar>
            <w:vAlign w:val="top"/>
          </w:tcPr>
          <w:p w:rsidR="00000000" w:rsidDel="00000000" w:rsidP="00000000" w:rsidRDefault="00000000" w:rsidRPr="00000000" w14:paraId="00000038">
            <w:pPr>
              <w:contextualSpacing w:val="0"/>
              <w:rPr>
                <w:sz w:val="18"/>
                <w:szCs w:val="18"/>
              </w:rPr>
            </w:pPr>
            <w:r w:rsidDel="00000000" w:rsidR="00000000" w:rsidRPr="00000000">
              <w:rPr>
                <w:sz w:val="18"/>
                <w:szCs w:val="18"/>
                <w:rtl w:val="0"/>
              </w:rPr>
              <w:t xml:space="preserve">2</w:t>
            </w:r>
          </w:p>
        </w:tc>
      </w:tr>
      <w:tr>
        <w:trPr>
          <w:trHeight w:val="460" w:hRule="atLeast"/>
        </w:trPr>
        <w:tc>
          <w:tcPr>
            <w:tcBorders>
              <w:bottom w:color="000000" w:space="0" w:sz="8" w:val="single"/>
            </w:tcBorders>
            <w:tcMar>
              <w:top w:w="120.0" w:type="dxa"/>
              <w:left w:w="120.0" w:type="dxa"/>
              <w:bottom w:w="120.0" w:type="dxa"/>
              <w:right w:w="120.0" w:type="dxa"/>
            </w:tcMar>
            <w:vAlign w:val="top"/>
          </w:tcPr>
          <w:p w:rsidR="00000000" w:rsidDel="00000000" w:rsidP="00000000" w:rsidRDefault="00000000" w:rsidRPr="00000000" w14:paraId="00000039">
            <w:pPr>
              <w:contextualSpacing w:val="0"/>
              <w:rPr>
                <w:sz w:val="18"/>
                <w:szCs w:val="18"/>
              </w:rPr>
            </w:pPr>
            <w:r w:rsidDel="00000000" w:rsidR="00000000" w:rsidRPr="00000000">
              <w:rPr>
                <w:sz w:val="18"/>
                <w:szCs w:val="18"/>
                <w:rtl w:val="0"/>
              </w:rPr>
              <w:t xml:space="preserve">2</w:t>
            </w:r>
          </w:p>
        </w:tc>
        <w:tc>
          <w:tcPr>
            <w:tcBorders>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contextualSpacing w:val="0"/>
              <w:rPr>
                <w:sz w:val="18"/>
                <w:szCs w:val="18"/>
              </w:rPr>
            </w:pPr>
            <w:r w:rsidDel="00000000" w:rsidR="00000000" w:rsidRPr="00000000">
              <w:rPr>
                <w:sz w:val="18"/>
                <w:szCs w:val="18"/>
                <w:rtl w:val="0"/>
              </w:rPr>
              <w:t xml:space="preserve">2.01, 2.02, 2.03, 2.04</w:t>
            </w:r>
          </w:p>
        </w:tc>
        <w:tc>
          <w:tcPr>
            <w:tcBorders>
              <w:bottom w:color="000000" w:space="0" w:sz="8" w:val="single"/>
            </w:tcBorders>
            <w:tcMar>
              <w:top w:w="120.0" w:type="dxa"/>
              <w:left w:w="120.0" w:type="dxa"/>
              <w:bottom w:w="120.0" w:type="dxa"/>
              <w:right w:w="120.0" w:type="dxa"/>
            </w:tcMar>
            <w:vAlign w:val="top"/>
          </w:tcPr>
          <w:p w:rsidR="00000000" w:rsidDel="00000000" w:rsidP="00000000" w:rsidRDefault="00000000" w:rsidRPr="00000000" w14:paraId="0000003B">
            <w:pPr>
              <w:contextualSpacing w:val="0"/>
              <w:rPr>
                <w:sz w:val="18"/>
                <w:szCs w:val="18"/>
              </w:rPr>
            </w:pPr>
            <w:r w:rsidDel="00000000" w:rsidR="00000000" w:rsidRPr="00000000">
              <w:rPr>
                <w:sz w:val="18"/>
                <w:szCs w:val="18"/>
                <w:rtl w:val="0"/>
              </w:rPr>
              <w:t xml:space="preserve">4</w:t>
            </w:r>
          </w:p>
        </w:tc>
      </w:tr>
      <w:tr>
        <w:trPr>
          <w:trHeight w:val="460" w:hRule="atLeast"/>
        </w:trPr>
        <w:tc>
          <w:tcPr>
            <w:tcBorders>
              <w:bottom w:color="000000" w:space="0" w:sz="8" w:val="single"/>
            </w:tcBorders>
            <w:tcMar>
              <w:top w:w="120.0" w:type="dxa"/>
              <w:left w:w="120.0" w:type="dxa"/>
              <w:bottom w:w="120.0" w:type="dxa"/>
              <w:right w:w="120.0" w:type="dxa"/>
            </w:tcMar>
            <w:vAlign w:val="top"/>
          </w:tcPr>
          <w:p w:rsidR="00000000" w:rsidDel="00000000" w:rsidP="00000000" w:rsidRDefault="00000000" w:rsidRPr="00000000" w14:paraId="0000003C">
            <w:pPr>
              <w:contextualSpacing w:val="0"/>
              <w:rPr>
                <w:sz w:val="18"/>
                <w:szCs w:val="18"/>
              </w:rPr>
            </w:pPr>
            <w:r w:rsidDel="00000000" w:rsidR="00000000" w:rsidRPr="00000000">
              <w:rPr>
                <w:sz w:val="18"/>
                <w:szCs w:val="18"/>
                <w:rtl w:val="0"/>
              </w:rPr>
              <w:t xml:space="preserve">3</w:t>
            </w:r>
          </w:p>
        </w:tc>
        <w:tc>
          <w:tcPr>
            <w:tcBorders>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contextualSpacing w:val="0"/>
              <w:rPr>
                <w:sz w:val="18"/>
                <w:szCs w:val="18"/>
              </w:rPr>
            </w:pPr>
            <w:r w:rsidDel="00000000" w:rsidR="00000000" w:rsidRPr="00000000">
              <w:rPr>
                <w:sz w:val="18"/>
                <w:szCs w:val="18"/>
                <w:rtl w:val="0"/>
              </w:rPr>
              <w:t xml:space="preserve">3.01, 3.02, 3.03, …, 3.19</w:t>
            </w:r>
          </w:p>
        </w:tc>
        <w:tc>
          <w:tcPr>
            <w:tcBorders>
              <w:bottom w:color="000000" w:space="0" w:sz="8" w:val="single"/>
            </w:tcBorders>
            <w:tcMar>
              <w:top w:w="120.0" w:type="dxa"/>
              <w:left w:w="120.0" w:type="dxa"/>
              <w:bottom w:w="120.0" w:type="dxa"/>
              <w:right w:w="120.0" w:type="dxa"/>
            </w:tcMar>
            <w:vAlign w:val="top"/>
          </w:tcPr>
          <w:p w:rsidR="00000000" w:rsidDel="00000000" w:rsidP="00000000" w:rsidRDefault="00000000" w:rsidRPr="00000000" w14:paraId="0000003E">
            <w:pPr>
              <w:contextualSpacing w:val="0"/>
              <w:rPr>
                <w:sz w:val="18"/>
                <w:szCs w:val="18"/>
              </w:rPr>
            </w:pPr>
            <w:r w:rsidDel="00000000" w:rsidR="00000000" w:rsidRPr="00000000">
              <w:rPr>
                <w:sz w:val="18"/>
                <w:szCs w:val="18"/>
                <w:rtl w:val="0"/>
              </w:rPr>
              <w:t xml:space="preserve">Less than 20</w:t>
            </w:r>
          </w:p>
        </w:tc>
      </w:tr>
      <w:tr>
        <w:trPr>
          <w:trHeight w:val="460" w:hRule="atLeast"/>
        </w:trPr>
        <w:tc>
          <w:tcPr>
            <w:tcBorders>
              <w:bottom w:color="000000" w:space="0" w:sz="8" w:val="single"/>
            </w:tcBorders>
            <w:tcMar>
              <w:top w:w="120.0" w:type="dxa"/>
              <w:left w:w="120.0" w:type="dxa"/>
              <w:bottom w:w="120.0" w:type="dxa"/>
              <w:right w:w="120.0" w:type="dxa"/>
            </w:tcMar>
            <w:vAlign w:val="top"/>
          </w:tcPr>
          <w:p w:rsidR="00000000" w:rsidDel="00000000" w:rsidP="00000000" w:rsidRDefault="00000000" w:rsidRPr="00000000" w14:paraId="0000003F">
            <w:pPr>
              <w:contextualSpacing w:val="0"/>
              <w:rPr>
                <w:sz w:val="18"/>
                <w:szCs w:val="18"/>
              </w:rPr>
            </w:pPr>
            <w:r w:rsidDel="00000000" w:rsidR="00000000" w:rsidRPr="00000000">
              <w:rPr>
                <w:sz w:val="18"/>
                <w:szCs w:val="18"/>
                <w:rtl w:val="0"/>
              </w:rPr>
              <w:t xml:space="preserve">4</w:t>
            </w:r>
          </w:p>
        </w:tc>
        <w:tc>
          <w:tcPr>
            <w:tcBorders>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contextualSpacing w:val="0"/>
              <w:rPr>
                <w:sz w:val="18"/>
                <w:szCs w:val="18"/>
              </w:rPr>
            </w:pPr>
            <w:r w:rsidDel="00000000" w:rsidR="00000000" w:rsidRPr="00000000">
              <w:rPr>
                <w:sz w:val="18"/>
                <w:szCs w:val="18"/>
                <w:rtl w:val="0"/>
              </w:rPr>
              <w:t xml:space="preserve">4.01, 4.02, …</w:t>
            </w:r>
          </w:p>
        </w:tc>
        <w:tc>
          <w:tcPr>
            <w:tcBorders>
              <w:bottom w:color="000000" w:space="0" w:sz="8" w:val="single"/>
            </w:tcBorders>
            <w:tcMar>
              <w:top w:w="120.0" w:type="dxa"/>
              <w:left w:w="120.0" w:type="dxa"/>
              <w:bottom w:w="120.0" w:type="dxa"/>
              <w:right w:w="120.0" w:type="dxa"/>
            </w:tcMar>
            <w:vAlign w:val="top"/>
          </w:tcPr>
          <w:p w:rsidR="00000000" w:rsidDel="00000000" w:rsidP="00000000" w:rsidRDefault="00000000" w:rsidRPr="00000000" w14:paraId="00000041">
            <w:pPr>
              <w:contextualSpacing w:val="0"/>
              <w:rPr>
                <w:sz w:val="18"/>
                <w:szCs w:val="18"/>
              </w:rPr>
            </w:pPr>
            <w:r w:rsidDel="00000000" w:rsidR="00000000" w:rsidRPr="00000000">
              <w:rPr>
                <w:sz w:val="18"/>
                <w:szCs w:val="18"/>
                <w:rtl w:val="0"/>
              </w:rPr>
              <w:t xml:space="preserve">Any number</w:t>
            </w:r>
          </w:p>
        </w:tc>
      </w:tr>
      <w:tr>
        <w:trPr>
          <w:trHeight w:val="460" w:hRule="atLeast"/>
        </w:trPr>
        <w:tc>
          <w:tcPr>
            <w:tcBorders>
              <w:bottom w:color="000000" w:space="0" w:sz="8" w:val="single"/>
            </w:tcBorders>
            <w:tcMar>
              <w:top w:w="120.0" w:type="dxa"/>
              <w:left w:w="120.0" w:type="dxa"/>
              <w:bottom w:w="120.0" w:type="dxa"/>
              <w:right w:w="120.0" w:type="dxa"/>
            </w:tcMar>
            <w:vAlign w:val="top"/>
          </w:tcPr>
          <w:p w:rsidR="00000000" w:rsidDel="00000000" w:rsidP="00000000" w:rsidRDefault="00000000" w:rsidRPr="00000000" w14:paraId="00000042">
            <w:pPr>
              <w:contextualSpacing w:val="0"/>
              <w:rPr>
                <w:sz w:val="18"/>
                <w:szCs w:val="18"/>
              </w:rPr>
            </w:pPr>
            <w:r w:rsidDel="00000000" w:rsidR="00000000" w:rsidRPr="00000000">
              <w:rPr>
                <w:sz w:val="18"/>
                <w:szCs w:val="18"/>
                <w:rtl w:val="0"/>
              </w:rPr>
              <w:t xml:space="preserve">5</w:t>
            </w:r>
          </w:p>
        </w:tc>
        <w:tc>
          <w:tcPr>
            <w:tcBorders>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contextualSpacing w:val="0"/>
              <w:rPr>
                <w:sz w:val="18"/>
                <w:szCs w:val="18"/>
              </w:rPr>
            </w:pPr>
            <w:r w:rsidDel="00000000" w:rsidR="00000000" w:rsidRPr="00000000">
              <w:rPr>
                <w:sz w:val="18"/>
                <w:szCs w:val="18"/>
                <w:rtl w:val="0"/>
              </w:rPr>
              <w:t xml:space="preserve">5.01, 5.02, ...</w:t>
            </w:r>
          </w:p>
        </w:tc>
        <w:tc>
          <w:tcPr>
            <w:tcBorders>
              <w:bottom w:color="000000" w:space="0" w:sz="8" w:val="single"/>
            </w:tcBorders>
            <w:tcMar>
              <w:top w:w="120.0" w:type="dxa"/>
              <w:left w:w="120.0" w:type="dxa"/>
              <w:bottom w:w="120.0" w:type="dxa"/>
              <w:right w:w="120.0" w:type="dxa"/>
            </w:tcMar>
            <w:vAlign w:val="top"/>
          </w:tcPr>
          <w:p w:rsidR="00000000" w:rsidDel="00000000" w:rsidP="00000000" w:rsidRDefault="00000000" w:rsidRPr="00000000" w14:paraId="00000044">
            <w:pPr>
              <w:contextualSpacing w:val="0"/>
              <w:rPr>
                <w:sz w:val="18"/>
                <w:szCs w:val="18"/>
              </w:rPr>
            </w:pPr>
            <w:r w:rsidDel="00000000" w:rsidR="00000000" w:rsidRPr="00000000">
              <w:rPr>
                <w:sz w:val="18"/>
                <w:szCs w:val="18"/>
                <w:rtl w:val="0"/>
              </w:rPr>
              <w:t xml:space="preserve">Any number</w:t>
            </w:r>
          </w:p>
        </w:tc>
      </w:tr>
      <w:tr>
        <w:trPr>
          <w:trHeight w:val="460" w:hRule="atLeast"/>
        </w:trPr>
        <w:tc>
          <w:tcPr>
            <w:tcBorders>
              <w:bottom w:color="000000" w:space="0" w:sz="8" w:val="single"/>
            </w:tcBorders>
            <w:tcMar>
              <w:top w:w="120.0" w:type="dxa"/>
              <w:left w:w="120.0" w:type="dxa"/>
              <w:bottom w:w="120.0" w:type="dxa"/>
              <w:right w:w="120.0" w:type="dxa"/>
            </w:tcMar>
            <w:vAlign w:val="top"/>
          </w:tcPr>
          <w:p w:rsidR="00000000" w:rsidDel="00000000" w:rsidP="00000000" w:rsidRDefault="00000000" w:rsidRPr="00000000" w14:paraId="00000045">
            <w:pPr>
              <w:contextualSpacing w:val="0"/>
              <w:rPr>
                <w:sz w:val="18"/>
                <w:szCs w:val="18"/>
              </w:rPr>
            </w:pPr>
            <w:r w:rsidDel="00000000" w:rsidR="00000000" w:rsidRPr="00000000">
              <w:rPr>
                <w:sz w:val="18"/>
                <w:szCs w:val="18"/>
                <w:rtl w:val="0"/>
              </w:rPr>
              <w:t xml:space="preserve">9</w:t>
            </w:r>
          </w:p>
        </w:tc>
        <w:tc>
          <w:tcPr>
            <w:tcBorders>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contextualSpacing w:val="0"/>
              <w:rPr>
                <w:sz w:val="18"/>
                <w:szCs w:val="18"/>
              </w:rPr>
            </w:pPr>
            <w:r w:rsidDel="00000000" w:rsidR="00000000" w:rsidRPr="00000000">
              <w:rPr>
                <w:sz w:val="18"/>
                <w:szCs w:val="18"/>
                <w:rtl w:val="0"/>
              </w:rPr>
              <w:t xml:space="preserve">9</w:t>
            </w:r>
          </w:p>
        </w:tc>
        <w:tc>
          <w:tcPr>
            <w:tcBorders>
              <w:bottom w:color="000000" w:space="0" w:sz="8" w:val="single"/>
            </w:tcBorders>
            <w:tcMar>
              <w:top w:w="120.0" w:type="dxa"/>
              <w:left w:w="120.0" w:type="dxa"/>
              <w:bottom w:w="120.0" w:type="dxa"/>
              <w:right w:w="120.0" w:type="dxa"/>
            </w:tcMar>
            <w:vAlign w:val="top"/>
          </w:tcPr>
          <w:p w:rsidR="00000000" w:rsidDel="00000000" w:rsidP="00000000" w:rsidRDefault="00000000" w:rsidRPr="00000000" w14:paraId="00000047">
            <w:pPr>
              <w:contextualSpacing w:val="0"/>
              <w:rPr>
                <w:b w:val="1"/>
                <w:sz w:val="18"/>
                <w:szCs w:val="18"/>
              </w:rPr>
            </w:pPr>
            <w:r w:rsidDel="00000000" w:rsidR="00000000" w:rsidRPr="00000000">
              <w:rPr>
                <w:sz w:val="18"/>
                <w:szCs w:val="18"/>
                <w:rtl w:val="0"/>
              </w:rPr>
              <w:t xml:space="preserve">FOR SPECIAL CASES ONLY. </w:t>
            </w:r>
            <w:r w:rsidDel="00000000" w:rsidR="00000000" w:rsidRPr="00000000">
              <w:rPr>
                <w:b w:val="1"/>
                <w:sz w:val="18"/>
                <w:szCs w:val="18"/>
                <w:rtl w:val="0"/>
              </w:rPr>
              <w:t xml:space="preserve">DO NOT USE.</w:t>
            </w:r>
          </w:p>
        </w:tc>
      </w:tr>
    </w:tbl>
    <w:p w:rsidR="00000000" w:rsidDel="00000000" w:rsidP="00000000" w:rsidRDefault="00000000" w:rsidRPr="00000000" w14:paraId="00000048">
      <w:pPr>
        <w:pStyle w:val="Heading1"/>
        <w:keepNext w:val="0"/>
        <w:keepLines w:val="0"/>
        <w:spacing w:before="280" w:lineRule="auto"/>
        <w:contextualSpacing w:val="0"/>
        <w:rPr/>
      </w:pPr>
      <w:bookmarkStart w:colFirst="0" w:colLast="0" w:name="_evex092appvk" w:id="2"/>
      <w:bookmarkEnd w:id="2"/>
      <w:r w:rsidDel="00000000" w:rsidR="00000000" w:rsidRPr="00000000">
        <w:rPr>
          <w:rtl w:val="0"/>
        </w:rPr>
        <w:t xml:space="preserve">Information from Site documentation</w:t>
      </w:r>
    </w:p>
    <w:p w:rsidR="00000000" w:rsidDel="00000000" w:rsidP="00000000" w:rsidRDefault="00000000" w:rsidRPr="00000000" w14:paraId="00000049">
      <w:pPr>
        <w:pStyle w:val="Heading2"/>
        <w:keepNext w:val="0"/>
        <w:keepLines w:val="0"/>
        <w:spacing w:before="280" w:lineRule="auto"/>
        <w:contextualSpacing w:val="0"/>
        <w:rPr/>
      </w:pPr>
      <w:bookmarkStart w:colFirst="0" w:colLast="0" w:name="_buzmydgv8op6" w:id="3"/>
      <w:bookmarkEnd w:id="3"/>
      <w:r w:rsidDel="00000000" w:rsidR="00000000" w:rsidRPr="00000000">
        <w:rPr>
          <w:rtl w:val="0"/>
        </w:rPr>
        <w:t xml:space="preserve">TOPIC HIERARCHY (p. 15)</w:t>
      </w:r>
    </w:p>
    <w:p w:rsidR="00000000" w:rsidDel="00000000" w:rsidP="00000000" w:rsidRDefault="00000000" w:rsidRPr="00000000" w14:paraId="0000004A">
      <w:pPr>
        <w:contextualSpacing w:val="0"/>
        <w:rPr/>
      </w:pPr>
      <w:r w:rsidDel="00000000" w:rsidR="00000000" w:rsidRPr="00000000">
        <w:rPr>
          <w:rtl w:val="0"/>
        </w:rPr>
        <w:t xml:space="preserve">Note that for determining hierarchy ranks per indicator, currently, only the “Rank 1” column of the most updated hierarchy.indicators CSV file (prepared by the T&amp;C team) is used to determine the hierarchy ranks regardless of its category level. For instance, hierarchies marked in the combination of columns Category 1.1-1.5 and Category 2.1-2.5 both use “Rank 1” to determine the hierarchy rank. The WBG team is considering adding different ranks for different hierarchies per indicator as a future task, but is low priority.</w:t>
      </w:r>
    </w:p>
    <w:p w:rsidR="00000000" w:rsidDel="00000000" w:rsidP="00000000" w:rsidRDefault="00000000" w:rsidRPr="00000000" w14:paraId="0000004B">
      <w:pPr>
        <w:pStyle w:val="Heading2"/>
        <w:keepNext w:val="0"/>
        <w:keepLines w:val="0"/>
        <w:spacing w:before="280" w:lineRule="auto"/>
        <w:contextualSpacing w:val="0"/>
        <w:rPr/>
      </w:pPr>
      <w:bookmarkStart w:colFirst="0" w:colLast="0" w:name="_a6nm5i5nblut" w:id="4"/>
      <w:bookmarkEnd w:id="4"/>
      <w:r w:rsidDel="00000000" w:rsidR="00000000" w:rsidRPr="00000000">
        <w:rPr>
          <w:rtl w:val="0"/>
        </w:rPr>
        <w:t xml:space="preserve">COUNTRY PAGES (p.23)</w:t>
      </w:r>
    </w:p>
    <w:p w:rsidR="00000000" w:rsidDel="00000000" w:rsidP="00000000" w:rsidRDefault="00000000" w:rsidRPr="00000000" w14:paraId="0000004C">
      <w:pPr>
        <w:contextualSpacing w:val="0"/>
        <w:rPr/>
      </w:pPr>
      <w:r w:rsidDel="00000000" w:rsidR="00000000" w:rsidRPr="00000000">
        <w:rPr>
          <w:rtl w:val="0"/>
        </w:rPr>
        <w:t xml:space="preserve">Country pages feature a selection of indicators with data available for the selected county. These indicators are visualized with thumbnail graphs, organized into the five main topics. Within each topic, the rank 1 indicators (two per topic) are displayed by default, and users may choose to expand the topic box to see ranks 2-3 in that topic, with the number of charts capped at 20 to avoid overwhelming users. To see the current indicator hierarchy and ranks, see the shared Dropbox folder “05 – Indicator Hierarchies”.</w:t>
      </w:r>
    </w:p>
    <w:p w:rsidR="00000000" w:rsidDel="00000000" w:rsidP="00000000" w:rsidRDefault="00000000" w:rsidRPr="00000000" w14:paraId="0000004D">
      <w:pPr>
        <w:pStyle w:val="Heading2"/>
        <w:keepNext w:val="0"/>
        <w:keepLines w:val="0"/>
        <w:spacing w:before="280" w:lineRule="auto"/>
        <w:contextualSpacing w:val="0"/>
        <w:rPr/>
      </w:pPr>
      <w:bookmarkStart w:colFirst="0" w:colLast="0" w:name="_g8bh6c20cewb" w:id="5"/>
      <w:bookmarkEnd w:id="5"/>
      <w:r w:rsidDel="00000000" w:rsidR="00000000" w:rsidRPr="00000000">
        <w:rPr>
          <w:rtl w:val="0"/>
        </w:rPr>
        <w:t xml:space="preserve">TOPIC PAGES (p.27)</w:t>
      </w:r>
    </w:p>
    <w:p w:rsidR="00000000" w:rsidDel="00000000" w:rsidP="00000000" w:rsidRDefault="00000000" w:rsidRPr="00000000" w14:paraId="0000004E">
      <w:pPr>
        <w:contextualSpacing w:val="0"/>
        <w:rPr/>
      </w:pPr>
      <w:r w:rsidDel="00000000" w:rsidR="00000000" w:rsidRPr="00000000">
        <w:rPr>
          <w:rtl w:val="0"/>
        </w:rPr>
        <w:t xml:space="preserve">The topic pages provide a selected set of indicator visualizations based on the T&amp;C-provided hierarchy, limited by T&amp;C-provided indicator rankings, and broken down by nested sub-topics.</w:t>
      </w:r>
    </w:p>
    <w:p w:rsidR="00000000" w:rsidDel="00000000" w:rsidP="00000000" w:rsidRDefault="00000000" w:rsidRPr="00000000" w14:paraId="0000004F">
      <w:pPr>
        <w:contextualSpacing w:val="0"/>
        <w:rPr/>
      </w:pPr>
      <w:r w:rsidDel="00000000" w:rsidR="00000000" w:rsidRPr="00000000">
        <w:rPr>
          <w:rtl w:val="0"/>
        </w:rPr>
        <w:t xml:space="preserve">Indicators displayed on topic and subtopic pages are displayed in order of rank, with a limit of 200 indicators per expanded subtopic box. The limit on indicators presented is higher on topic pages than on country pages because the topic pages are designed to let users explore topics in depth, while the country pages are designed to give a broader overview of the data available for each country.</w:t>
      </w:r>
    </w:p>
    <w:p w:rsidR="00000000" w:rsidDel="00000000" w:rsidP="00000000" w:rsidRDefault="00000000" w:rsidRPr="00000000" w14:paraId="0000005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Roboto" w:cs="Roboto" w:eastAsia="Roboto" w:hAnsi="Roboto"/>
      <w:b w:val="1"/>
      <w:color w:val="1c4587"/>
      <w:sz w:val="40"/>
      <w:szCs w:val="40"/>
    </w:rPr>
  </w:style>
  <w:style w:type="paragraph" w:styleId="Heading2">
    <w:name w:val="heading 2"/>
    <w:basedOn w:val="Normal"/>
    <w:next w:val="Normal"/>
    <w:pPr>
      <w:keepNext w:val="1"/>
      <w:keepLines w:val="1"/>
      <w:spacing w:after="120" w:before="360" w:lineRule="auto"/>
    </w:pPr>
    <w:rPr>
      <w:b w:val="1"/>
      <w:color w:val="1155cc"/>
      <w:sz w:val="32"/>
      <w:szCs w:val="32"/>
    </w:rPr>
  </w:style>
  <w:style w:type="paragraph" w:styleId="Heading3">
    <w:name w:val="heading 3"/>
    <w:basedOn w:val="Normal"/>
    <w:next w:val="Normal"/>
    <w:pPr>
      <w:keepNext w:val="1"/>
      <w:keepLines w:val="1"/>
      <w:spacing w:after="80" w:before="320" w:lineRule="auto"/>
    </w:pPr>
    <w:rPr>
      <w:i w:val="1"/>
      <w:color w:val="999999"/>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Roboto" w:cs="Roboto" w:eastAsia="Roboto" w:hAnsi="Roboto"/>
      <w:sz w:val="52"/>
      <w:szCs w:val="52"/>
    </w:rPr>
  </w:style>
  <w:style w:type="paragraph" w:styleId="Subtitle">
    <w:name w:val="Subtitle"/>
    <w:basedOn w:val="Normal"/>
    <w:next w:val="Normal"/>
    <w:pPr>
      <w:keepNext w:val="1"/>
      <w:keepLines w:val="1"/>
      <w:spacing w:after="320" w:lineRule="auto"/>
    </w:pPr>
    <w:rPr>
      <w:rFonts w:ascii="Roboto" w:cs="Roboto" w:eastAsia="Roboto" w:hAnsi="Roboto"/>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