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3776E" w14:textId="77777777" w:rsidR="009A78D5" w:rsidRDefault="009A78D5">
      <w:pPr>
        <w:spacing w:after="280"/>
      </w:pPr>
    </w:p>
    <w:tbl>
      <w:tblPr>
        <w:tblW w:w="9638" w:type="dxa"/>
        <w:jc w:val="center"/>
        <w:tblLayout w:type="fixed"/>
        <w:tblLook w:val="04A0" w:firstRow="1" w:lastRow="0" w:firstColumn="1" w:lastColumn="0" w:noHBand="0" w:noVBand="1"/>
      </w:tblPr>
      <w:tblGrid>
        <w:gridCol w:w="2537"/>
        <w:gridCol w:w="4610"/>
        <w:gridCol w:w="2491"/>
      </w:tblGrid>
      <w:tr w:rsidR="009A78D5" w14:paraId="4F064569" w14:textId="77777777">
        <w:trPr>
          <w:jc w:val="center"/>
        </w:trPr>
        <w:tc>
          <w:tcPr>
            <w:tcW w:w="2537" w:type="dxa"/>
            <w:tcBorders>
              <w:top w:val="single" w:sz="8" w:space="0" w:color="000000"/>
              <w:left w:val="single" w:sz="8" w:space="0" w:color="000000"/>
              <w:bottom w:val="single" w:sz="8" w:space="0" w:color="000000"/>
              <w:right w:val="single" w:sz="8" w:space="0" w:color="000000"/>
            </w:tcBorders>
            <w:vAlign w:val="center"/>
          </w:tcPr>
          <w:p w14:paraId="3AC99BD1" w14:textId="77777777" w:rsidR="009A78D5" w:rsidRDefault="00000000">
            <w:pPr>
              <w:spacing w:after="0"/>
              <w:jc w:val="center"/>
            </w:pPr>
            <w:r>
              <w:rPr>
                <w:noProof/>
              </w:rPr>
              <w:drawing>
                <wp:inline distT="0" distB="0" distL="0" distR="0" wp14:anchorId="568A1560" wp14:editId="0105B1D9">
                  <wp:extent cx="960120" cy="964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960120" cy="964565"/>
                          </a:xfrm>
                          <a:prstGeom prst="rect">
                            <a:avLst/>
                          </a:prstGeom>
                          <a:noFill/>
                        </pic:spPr>
                      </pic:pic>
                    </a:graphicData>
                  </a:graphic>
                </wp:inline>
              </w:drawing>
            </w:r>
          </w:p>
        </w:tc>
        <w:tc>
          <w:tcPr>
            <w:tcW w:w="4610" w:type="dxa"/>
            <w:vMerge w:val="restart"/>
            <w:tcBorders>
              <w:top w:val="single" w:sz="8" w:space="0" w:color="000000"/>
              <w:left w:val="single" w:sz="8" w:space="0" w:color="000000"/>
              <w:bottom w:val="single" w:sz="8" w:space="0" w:color="000000"/>
              <w:right w:val="single" w:sz="8" w:space="0" w:color="000000"/>
            </w:tcBorders>
            <w:vAlign w:val="center"/>
          </w:tcPr>
          <w:p w14:paraId="636B6722" w14:textId="77777777" w:rsidR="009A78D5" w:rsidRDefault="00000000">
            <w:pPr>
              <w:spacing w:after="0"/>
              <w:jc w:val="center"/>
            </w:pPr>
            <w:r>
              <w:rPr>
                <w:b/>
                <w:sz w:val="36"/>
              </w:rPr>
              <w:t>METHODOLOGY</w:t>
            </w:r>
            <w:r>
              <w:rPr>
                <w:b/>
                <w:sz w:val="36"/>
              </w:rPr>
              <w:br/>
              <w:t>REPORT</w:t>
            </w:r>
          </w:p>
        </w:tc>
        <w:tc>
          <w:tcPr>
            <w:tcW w:w="2491" w:type="dxa"/>
            <w:tcBorders>
              <w:top w:val="single" w:sz="8" w:space="0" w:color="000000"/>
              <w:left w:val="single" w:sz="8" w:space="0" w:color="000000"/>
              <w:bottom w:val="single" w:sz="8" w:space="0" w:color="000000"/>
              <w:right w:val="single" w:sz="8" w:space="0" w:color="000000"/>
            </w:tcBorders>
            <w:vAlign w:val="center"/>
          </w:tcPr>
          <w:p w14:paraId="2A6064C3" w14:textId="77777777" w:rsidR="009A78D5" w:rsidRDefault="00000000">
            <w:pPr>
              <w:spacing w:after="0"/>
              <w:jc w:val="center"/>
            </w:pPr>
            <w:r>
              <w:rPr>
                <w:sz w:val="24"/>
              </w:rPr>
              <w:t>SLM-MR</w:t>
            </w:r>
          </w:p>
        </w:tc>
      </w:tr>
      <w:tr w:rsidR="009A78D5" w14:paraId="35A89CEB" w14:textId="77777777">
        <w:trPr>
          <w:jc w:val="center"/>
        </w:trPr>
        <w:tc>
          <w:tcPr>
            <w:tcW w:w="2537" w:type="dxa"/>
            <w:vMerge w:val="restart"/>
            <w:tcBorders>
              <w:top w:val="single" w:sz="8" w:space="0" w:color="000000"/>
              <w:left w:val="single" w:sz="8" w:space="0" w:color="000000"/>
              <w:bottom w:val="single" w:sz="8" w:space="0" w:color="000000"/>
              <w:right w:val="single" w:sz="8" w:space="0" w:color="000000"/>
            </w:tcBorders>
            <w:vAlign w:val="center"/>
          </w:tcPr>
          <w:p w14:paraId="3EA1AC4E" w14:textId="77777777" w:rsidR="009A78D5" w:rsidRDefault="009A78D5"/>
        </w:tc>
        <w:tc>
          <w:tcPr>
            <w:tcW w:w="4610" w:type="dxa"/>
            <w:vMerge/>
            <w:tcBorders>
              <w:top w:val="single" w:sz="8" w:space="0" w:color="000000"/>
              <w:left w:val="single" w:sz="8" w:space="0" w:color="000000"/>
              <w:bottom w:val="single" w:sz="8" w:space="0" w:color="000000"/>
              <w:right w:val="single" w:sz="8" w:space="0" w:color="000000"/>
            </w:tcBorders>
            <w:vAlign w:val="center"/>
          </w:tcPr>
          <w:p w14:paraId="5B5BFA09" w14:textId="77777777" w:rsidR="009A78D5" w:rsidRDefault="009A78D5"/>
        </w:tc>
        <w:tc>
          <w:tcPr>
            <w:tcW w:w="2491" w:type="dxa"/>
            <w:tcBorders>
              <w:top w:val="single" w:sz="8" w:space="0" w:color="000000"/>
              <w:left w:val="single" w:sz="8" w:space="0" w:color="000000"/>
              <w:bottom w:val="single" w:sz="8" w:space="0" w:color="000000"/>
              <w:right w:val="single" w:sz="8" w:space="0" w:color="000000"/>
            </w:tcBorders>
            <w:vAlign w:val="center"/>
          </w:tcPr>
          <w:p w14:paraId="729412F8" w14:textId="77777777" w:rsidR="009A78D5" w:rsidRDefault="00000000">
            <w:pPr>
              <w:spacing w:after="0"/>
              <w:jc w:val="center"/>
            </w:pPr>
            <w:r>
              <w:rPr>
                <w:sz w:val="20"/>
              </w:rPr>
              <w:t>Edition: 1    Rev: 0</w:t>
            </w:r>
          </w:p>
        </w:tc>
      </w:tr>
      <w:tr w:rsidR="009A78D5" w14:paraId="0E5FE9D3" w14:textId="77777777">
        <w:trPr>
          <w:jc w:val="center"/>
        </w:trPr>
        <w:tc>
          <w:tcPr>
            <w:tcW w:w="2537" w:type="dxa"/>
            <w:vMerge/>
            <w:tcBorders>
              <w:top w:val="single" w:sz="8" w:space="0" w:color="000000"/>
              <w:left w:val="single" w:sz="8" w:space="0" w:color="000000"/>
              <w:bottom w:val="single" w:sz="8" w:space="0" w:color="000000"/>
              <w:right w:val="single" w:sz="8" w:space="0" w:color="000000"/>
            </w:tcBorders>
            <w:vAlign w:val="center"/>
          </w:tcPr>
          <w:p w14:paraId="2098C1B5" w14:textId="77777777" w:rsidR="009A78D5" w:rsidRDefault="009A78D5"/>
        </w:tc>
        <w:tc>
          <w:tcPr>
            <w:tcW w:w="4610" w:type="dxa"/>
            <w:vMerge/>
            <w:tcBorders>
              <w:top w:val="single" w:sz="8" w:space="0" w:color="000000"/>
              <w:left w:val="single" w:sz="8" w:space="0" w:color="000000"/>
              <w:bottom w:val="single" w:sz="8" w:space="0" w:color="000000"/>
              <w:right w:val="single" w:sz="8" w:space="0" w:color="000000"/>
            </w:tcBorders>
            <w:vAlign w:val="center"/>
          </w:tcPr>
          <w:p w14:paraId="1F4C0A88" w14:textId="77777777" w:rsidR="009A78D5" w:rsidRDefault="009A78D5"/>
        </w:tc>
        <w:tc>
          <w:tcPr>
            <w:tcW w:w="2491" w:type="dxa"/>
            <w:tcBorders>
              <w:top w:val="single" w:sz="8" w:space="0" w:color="000000"/>
              <w:left w:val="single" w:sz="8" w:space="0" w:color="000000"/>
              <w:bottom w:val="single" w:sz="8" w:space="0" w:color="000000"/>
              <w:right w:val="single" w:sz="8" w:space="0" w:color="000000"/>
            </w:tcBorders>
            <w:vAlign w:val="center"/>
          </w:tcPr>
          <w:p w14:paraId="433CCBB6" w14:textId="77777777" w:rsidR="009A78D5" w:rsidRDefault="00000000">
            <w:pPr>
              <w:spacing w:after="0"/>
              <w:jc w:val="center"/>
            </w:pPr>
            <w:r>
              <w:rPr>
                <w:sz w:val="20"/>
              </w:rPr>
              <w:t>Date: 05/07/2026</w:t>
            </w:r>
          </w:p>
        </w:tc>
      </w:tr>
    </w:tbl>
    <w:p w14:paraId="1099FBED" w14:textId="77777777" w:rsidR="009A78D5" w:rsidRDefault="009A78D5">
      <w:pPr>
        <w:spacing w:after="400"/>
      </w:pPr>
    </w:p>
    <w:p w14:paraId="7E627661" w14:textId="77777777" w:rsidR="009A78D5" w:rsidRPr="00FC5004" w:rsidRDefault="00000000">
      <w:pPr>
        <w:spacing w:after="200"/>
        <w:jc w:val="center"/>
        <w:rPr>
          <w:lang w:val="en-US"/>
        </w:rPr>
      </w:pPr>
      <w:r>
        <w:rPr>
          <w:b/>
          <w:i/>
          <w:sz w:val="40"/>
          <w:lang w:val="en-US"/>
        </w:rPr>
        <w:t>Structural Life Monitoring</w:t>
      </w:r>
      <w:r>
        <w:rPr>
          <w:b/>
          <w:i/>
          <w:sz w:val="40"/>
          <w:lang w:val="en-US"/>
        </w:rPr>
        <w:br/>
        <w:t>for Composite Gliders</w:t>
      </w:r>
    </w:p>
    <w:p w14:paraId="22646BCA" w14:textId="77777777" w:rsidR="009A78D5" w:rsidRPr="00FC5004" w:rsidRDefault="00000000">
      <w:pPr>
        <w:spacing w:after="240"/>
        <w:jc w:val="center"/>
        <w:rPr>
          <w:lang w:val="en-US"/>
        </w:rPr>
      </w:pPr>
      <w:r>
        <w:rPr>
          <w:b/>
          <w:i/>
          <w:sz w:val="36"/>
          <w:lang w:val="en-US"/>
        </w:rPr>
        <w:t>Methodology Report</w:t>
      </w:r>
    </w:p>
    <w:p w14:paraId="0187E44D" w14:textId="77777777" w:rsidR="009A78D5" w:rsidRPr="00FC5004" w:rsidRDefault="00000000">
      <w:pPr>
        <w:spacing w:after="440"/>
        <w:jc w:val="center"/>
        <w:rPr>
          <w:lang w:val="en-US"/>
        </w:rPr>
      </w:pPr>
      <w:r>
        <w:rPr>
          <w:b/>
          <w:sz w:val="24"/>
          <w:lang w:val="en-US"/>
        </w:rPr>
        <w:t>Document: SLM-MR Ed 01 Rev 0</w:t>
      </w:r>
    </w:p>
    <w:p w14:paraId="554E0F20" w14:textId="77777777" w:rsidR="00F42440" w:rsidRDefault="00000000">
      <w:pPr>
        <w:pStyle w:val="Corpsdetexte"/>
        <w:rPr>
          <w:lang w:val="en-US"/>
        </w:rPr>
      </w:pPr>
      <w:r>
        <w:rPr>
          <w:lang w:val="en-US"/>
        </w:rPr>
        <w:t>This document describes the methodology used to assess and justify extended operational life for composite gliders using Structural Life Monitoring (SLM). The method calculates an Equivalent Fatigue Index (EFI) from onboard acceleration measurements and compares the measured operational severity with the accepted reference severity represented by the Kossira &amp; Reinke Utility spectrum.</w:t>
      </w:r>
    </w:p>
    <w:p w14:paraId="2EA71E76" w14:textId="77777777" w:rsidR="009A78D5" w:rsidRPr="00FC5004" w:rsidRDefault="00000000">
      <w:pPr>
        <w:spacing w:after="120"/>
        <w:ind w:left="504" w:right="504"/>
        <w:rPr>
          <w:lang w:val="en-US"/>
        </w:rPr>
      </w:pPr>
      <w:r>
        <w:rPr>
          <w:lang w:val="en-US"/>
        </w:rPr>
        <w:t>Based on: "Extension of Glider Life using Structural Life Monitoring" - J.L. Derouineau, FFVP / EGU [7].</w:t>
      </w:r>
    </w:p>
    <w:p w14:paraId="5C486005" w14:textId="77777777" w:rsidR="009A78D5" w:rsidRPr="00FC5004" w:rsidRDefault="00000000">
      <w:pPr>
        <w:spacing w:after="0"/>
        <w:rPr>
          <w:lang w:val="en-US"/>
        </w:rPr>
      </w:pPr>
      <w:r>
        <w:rPr>
          <w:lang w:val="en-US"/>
        </w:rPr>
        <w:br w:type="page"/>
      </w:r>
    </w:p>
    <w:p w14:paraId="5F9880C6" w14:textId="77777777" w:rsidR="009A78D5" w:rsidRDefault="00000000">
      <w:pPr>
        <w:spacing w:after="280"/>
        <w:jc w:val="center"/>
      </w:pPr>
      <w:r>
        <w:rPr>
          <w:b/>
          <w:sz w:val="32"/>
        </w:rPr>
        <w:lastRenderedPageBreak/>
        <w:t>LIST OF INCORPORATED EDITIONS/REVISIONS</w:t>
      </w:r>
    </w:p>
    <w:tbl>
      <w:tblPr>
        <w:tblW w:w="9638" w:type="dxa"/>
        <w:jc w:val="center"/>
        <w:tblLayout w:type="fixed"/>
        <w:tblLook w:val="04A0" w:firstRow="1" w:lastRow="0" w:firstColumn="1" w:lastColumn="0" w:noHBand="0" w:noVBand="1"/>
      </w:tblPr>
      <w:tblGrid>
        <w:gridCol w:w="1143"/>
        <w:gridCol w:w="1201"/>
        <w:gridCol w:w="1711"/>
        <w:gridCol w:w="4381"/>
        <w:gridCol w:w="1202"/>
      </w:tblGrid>
      <w:tr w:rsidR="009A78D5" w14:paraId="13D12238" w14:textId="77777777">
        <w:trPr>
          <w:jc w:val="center"/>
        </w:trPr>
        <w:tc>
          <w:tcPr>
            <w:tcW w:w="1143" w:type="dxa"/>
            <w:tcBorders>
              <w:top w:val="single" w:sz="8" w:space="0" w:color="000000"/>
              <w:left w:val="single" w:sz="8" w:space="0" w:color="000000"/>
              <w:bottom w:val="single" w:sz="8" w:space="0" w:color="000000"/>
              <w:right w:val="single" w:sz="8" w:space="0" w:color="000000"/>
            </w:tcBorders>
            <w:shd w:val="clear" w:color="auto" w:fill="D9D9D9"/>
          </w:tcPr>
          <w:p w14:paraId="7891076A" w14:textId="77777777" w:rsidR="009A78D5" w:rsidRDefault="00000000">
            <w:pPr>
              <w:spacing w:after="0"/>
              <w:jc w:val="center"/>
            </w:pPr>
            <w:r>
              <w:rPr>
                <w:b/>
                <w:i/>
                <w:sz w:val="18"/>
              </w:rPr>
              <w:t>Edition</w:t>
            </w:r>
          </w:p>
        </w:tc>
        <w:tc>
          <w:tcPr>
            <w:tcW w:w="1201" w:type="dxa"/>
            <w:tcBorders>
              <w:top w:val="single" w:sz="8" w:space="0" w:color="000000"/>
              <w:left w:val="single" w:sz="8" w:space="0" w:color="000000"/>
              <w:bottom w:val="single" w:sz="8" w:space="0" w:color="000000"/>
              <w:right w:val="single" w:sz="8" w:space="0" w:color="000000"/>
            </w:tcBorders>
            <w:shd w:val="clear" w:color="auto" w:fill="D9D9D9"/>
          </w:tcPr>
          <w:p w14:paraId="6ED66564" w14:textId="77777777" w:rsidR="009A78D5" w:rsidRDefault="00000000">
            <w:pPr>
              <w:spacing w:after="0"/>
              <w:jc w:val="center"/>
            </w:pPr>
            <w:r>
              <w:rPr>
                <w:b/>
                <w:i/>
                <w:sz w:val="18"/>
              </w:rPr>
              <w:t>Revision</w:t>
            </w:r>
          </w:p>
        </w:tc>
        <w:tc>
          <w:tcPr>
            <w:tcW w:w="1711" w:type="dxa"/>
            <w:tcBorders>
              <w:top w:val="single" w:sz="8" w:space="0" w:color="000000"/>
              <w:left w:val="single" w:sz="8" w:space="0" w:color="000000"/>
              <w:bottom w:val="single" w:sz="8" w:space="0" w:color="000000"/>
              <w:right w:val="single" w:sz="8" w:space="0" w:color="000000"/>
            </w:tcBorders>
            <w:shd w:val="clear" w:color="auto" w:fill="D9D9D9"/>
          </w:tcPr>
          <w:p w14:paraId="31FC9F25" w14:textId="77777777" w:rsidR="009A78D5" w:rsidRDefault="00000000">
            <w:pPr>
              <w:spacing w:after="0"/>
              <w:jc w:val="center"/>
            </w:pPr>
            <w:r>
              <w:rPr>
                <w:b/>
                <w:i/>
                <w:sz w:val="18"/>
              </w:rPr>
              <w:t>Date</w:t>
            </w:r>
          </w:p>
        </w:tc>
        <w:tc>
          <w:tcPr>
            <w:tcW w:w="4381" w:type="dxa"/>
            <w:tcBorders>
              <w:top w:val="single" w:sz="8" w:space="0" w:color="000000"/>
              <w:left w:val="single" w:sz="8" w:space="0" w:color="000000"/>
              <w:bottom w:val="single" w:sz="8" w:space="0" w:color="000000"/>
              <w:right w:val="single" w:sz="8" w:space="0" w:color="000000"/>
            </w:tcBorders>
            <w:shd w:val="clear" w:color="auto" w:fill="D9D9D9"/>
          </w:tcPr>
          <w:p w14:paraId="437224FC" w14:textId="77777777" w:rsidR="009A78D5" w:rsidRDefault="00000000">
            <w:pPr>
              <w:spacing w:after="0"/>
              <w:jc w:val="center"/>
            </w:pPr>
            <w:r>
              <w:rPr>
                <w:b/>
                <w:i/>
                <w:sz w:val="18"/>
              </w:rPr>
              <w:t>Description</w:t>
            </w:r>
          </w:p>
        </w:tc>
        <w:tc>
          <w:tcPr>
            <w:tcW w:w="1202" w:type="dxa"/>
            <w:tcBorders>
              <w:top w:val="single" w:sz="8" w:space="0" w:color="000000"/>
              <w:left w:val="single" w:sz="8" w:space="0" w:color="000000"/>
              <w:bottom w:val="single" w:sz="8" w:space="0" w:color="000000"/>
              <w:right w:val="single" w:sz="8" w:space="0" w:color="000000"/>
            </w:tcBorders>
            <w:shd w:val="clear" w:color="auto" w:fill="D9D9D9"/>
          </w:tcPr>
          <w:p w14:paraId="0D01A986" w14:textId="77777777" w:rsidR="009A78D5" w:rsidRDefault="00000000">
            <w:pPr>
              <w:spacing w:after="0"/>
              <w:jc w:val="center"/>
            </w:pPr>
            <w:r>
              <w:rPr>
                <w:b/>
                <w:i/>
                <w:sz w:val="18"/>
              </w:rPr>
              <w:t>Page</w:t>
            </w:r>
          </w:p>
        </w:tc>
      </w:tr>
      <w:tr w:rsidR="009A78D5" w14:paraId="33E35A9A" w14:textId="77777777">
        <w:trPr>
          <w:jc w:val="center"/>
        </w:trPr>
        <w:tc>
          <w:tcPr>
            <w:tcW w:w="1143" w:type="dxa"/>
            <w:tcBorders>
              <w:top w:val="single" w:sz="8" w:space="0" w:color="000000"/>
              <w:left w:val="single" w:sz="8" w:space="0" w:color="000000"/>
              <w:bottom w:val="single" w:sz="8" w:space="0" w:color="000000"/>
              <w:right w:val="single" w:sz="8" w:space="0" w:color="000000"/>
            </w:tcBorders>
          </w:tcPr>
          <w:p w14:paraId="591A7C15" w14:textId="77777777" w:rsidR="009A78D5" w:rsidRDefault="00000000">
            <w:pPr>
              <w:spacing w:after="0"/>
              <w:jc w:val="center"/>
            </w:pPr>
            <w:r>
              <w:rPr>
                <w:sz w:val="18"/>
              </w:rPr>
              <w:t>1</w:t>
            </w:r>
          </w:p>
        </w:tc>
        <w:tc>
          <w:tcPr>
            <w:tcW w:w="1201" w:type="dxa"/>
            <w:tcBorders>
              <w:top w:val="single" w:sz="8" w:space="0" w:color="000000"/>
              <w:left w:val="single" w:sz="8" w:space="0" w:color="000000"/>
              <w:bottom w:val="single" w:sz="8" w:space="0" w:color="000000"/>
              <w:right w:val="single" w:sz="8" w:space="0" w:color="000000"/>
            </w:tcBorders>
          </w:tcPr>
          <w:p w14:paraId="6817253E" w14:textId="77777777" w:rsidR="009A78D5" w:rsidRDefault="00000000">
            <w:pPr>
              <w:spacing w:after="0"/>
              <w:jc w:val="center"/>
            </w:pPr>
            <w:r>
              <w:rPr>
                <w:sz w:val="18"/>
              </w:rPr>
              <w:t>0</w:t>
            </w:r>
          </w:p>
        </w:tc>
        <w:tc>
          <w:tcPr>
            <w:tcW w:w="1711" w:type="dxa"/>
            <w:tcBorders>
              <w:top w:val="single" w:sz="8" w:space="0" w:color="000000"/>
              <w:left w:val="single" w:sz="8" w:space="0" w:color="000000"/>
              <w:bottom w:val="single" w:sz="8" w:space="0" w:color="000000"/>
              <w:right w:val="single" w:sz="8" w:space="0" w:color="000000"/>
            </w:tcBorders>
          </w:tcPr>
          <w:p w14:paraId="5AFC9FC7" w14:textId="77777777" w:rsidR="009A78D5" w:rsidRDefault="00000000">
            <w:pPr>
              <w:spacing w:after="0"/>
              <w:jc w:val="center"/>
            </w:pPr>
            <w:r>
              <w:rPr>
                <w:sz w:val="18"/>
              </w:rPr>
              <w:t>05/07/2026</w:t>
            </w:r>
          </w:p>
        </w:tc>
        <w:tc>
          <w:tcPr>
            <w:tcW w:w="4381" w:type="dxa"/>
            <w:tcBorders>
              <w:top w:val="single" w:sz="8" w:space="0" w:color="000000"/>
              <w:left w:val="single" w:sz="8" w:space="0" w:color="000000"/>
              <w:bottom w:val="single" w:sz="8" w:space="0" w:color="000000"/>
              <w:right w:val="single" w:sz="8" w:space="0" w:color="000000"/>
            </w:tcBorders>
          </w:tcPr>
          <w:p w14:paraId="288A707C" w14:textId="77777777" w:rsidR="009A78D5" w:rsidRDefault="00000000">
            <w:pPr>
              <w:spacing w:after="0"/>
            </w:pPr>
            <w:r>
              <w:rPr>
                <w:sz w:val="18"/>
              </w:rPr>
              <w:t>SLM Methodology Report original</w:t>
            </w:r>
          </w:p>
        </w:tc>
        <w:tc>
          <w:tcPr>
            <w:tcW w:w="1202" w:type="dxa"/>
            <w:tcBorders>
              <w:top w:val="single" w:sz="8" w:space="0" w:color="000000"/>
              <w:left w:val="single" w:sz="8" w:space="0" w:color="000000"/>
              <w:bottom w:val="single" w:sz="8" w:space="0" w:color="000000"/>
              <w:right w:val="single" w:sz="8" w:space="0" w:color="000000"/>
            </w:tcBorders>
          </w:tcPr>
          <w:p w14:paraId="6209FAB2" w14:textId="77777777" w:rsidR="009A78D5" w:rsidRDefault="00000000">
            <w:pPr>
              <w:jc w:val="center"/>
            </w:pPr>
            <w:r>
              <w:t>1-28</w:t>
            </w:r>
          </w:p>
        </w:tc>
      </w:tr>
      <w:tr w:rsidR="009A78D5" w14:paraId="3239812B" w14:textId="77777777">
        <w:trPr>
          <w:jc w:val="center"/>
        </w:trPr>
        <w:tc>
          <w:tcPr>
            <w:tcW w:w="1143" w:type="dxa"/>
            <w:tcBorders>
              <w:top w:val="single" w:sz="8" w:space="0" w:color="000000"/>
              <w:left w:val="single" w:sz="8" w:space="0" w:color="000000"/>
              <w:bottom w:val="single" w:sz="8" w:space="0" w:color="000000"/>
              <w:right w:val="single" w:sz="8" w:space="0" w:color="000000"/>
            </w:tcBorders>
          </w:tcPr>
          <w:p w14:paraId="34179AEA" w14:textId="77777777" w:rsidR="009A78D5" w:rsidRDefault="009A78D5">
            <w:pPr>
              <w:spacing w:after="0"/>
            </w:pPr>
          </w:p>
        </w:tc>
        <w:tc>
          <w:tcPr>
            <w:tcW w:w="1201" w:type="dxa"/>
            <w:tcBorders>
              <w:top w:val="single" w:sz="8" w:space="0" w:color="000000"/>
              <w:left w:val="single" w:sz="8" w:space="0" w:color="000000"/>
              <w:bottom w:val="single" w:sz="8" w:space="0" w:color="000000"/>
              <w:right w:val="single" w:sz="8" w:space="0" w:color="000000"/>
            </w:tcBorders>
          </w:tcPr>
          <w:p w14:paraId="089EDC1A" w14:textId="77777777" w:rsidR="009A78D5" w:rsidRDefault="009A78D5">
            <w:pPr>
              <w:spacing w:after="0"/>
            </w:pPr>
          </w:p>
        </w:tc>
        <w:tc>
          <w:tcPr>
            <w:tcW w:w="1711" w:type="dxa"/>
            <w:tcBorders>
              <w:top w:val="single" w:sz="8" w:space="0" w:color="000000"/>
              <w:left w:val="single" w:sz="8" w:space="0" w:color="000000"/>
              <w:bottom w:val="single" w:sz="8" w:space="0" w:color="000000"/>
              <w:right w:val="single" w:sz="8" w:space="0" w:color="000000"/>
            </w:tcBorders>
          </w:tcPr>
          <w:p w14:paraId="516E83CC" w14:textId="77777777" w:rsidR="009A78D5" w:rsidRDefault="009A78D5">
            <w:pPr>
              <w:spacing w:after="0"/>
            </w:pPr>
          </w:p>
        </w:tc>
        <w:tc>
          <w:tcPr>
            <w:tcW w:w="4381" w:type="dxa"/>
            <w:tcBorders>
              <w:top w:val="single" w:sz="8" w:space="0" w:color="000000"/>
              <w:left w:val="single" w:sz="8" w:space="0" w:color="000000"/>
              <w:bottom w:val="single" w:sz="8" w:space="0" w:color="000000"/>
              <w:right w:val="single" w:sz="8" w:space="0" w:color="000000"/>
            </w:tcBorders>
          </w:tcPr>
          <w:p w14:paraId="17C30559" w14:textId="77777777" w:rsidR="009A78D5" w:rsidRDefault="009A78D5">
            <w:pPr>
              <w:spacing w:after="0"/>
            </w:pPr>
          </w:p>
        </w:tc>
        <w:tc>
          <w:tcPr>
            <w:tcW w:w="1202" w:type="dxa"/>
            <w:tcBorders>
              <w:top w:val="single" w:sz="8" w:space="0" w:color="000000"/>
              <w:left w:val="single" w:sz="8" w:space="0" w:color="000000"/>
              <w:bottom w:val="single" w:sz="8" w:space="0" w:color="000000"/>
              <w:right w:val="single" w:sz="8" w:space="0" w:color="000000"/>
            </w:tcBorders>
          </w:tcPr>
          <w:p w14:paraId="2FB0F1D0" w14:textId="77777777" w:rsidR="009A78D5" w:rsidRDefault="009A78D5">
            <w:pPr>
              <w:spacing w:after="0"/>
            </w:pPr>
          </w:p>
        </w:tc>
      </w:tr>
    </w:tbl>
    <w:p w14:paraId="631D28D5" w14:textId="77777777" w:rsidR="009A78D5" w:rsidRDefault="00000000">
      <w:pPr>
        <w:spacing w:after="0"/>
      </w:pPr>
      <w:r>
        <w:br w:type="page"/>
      </w:r>
    </w:p>
    <w:p w14:paraId="70B467E4" w14:textId="77777777" w:rsidR="009A78D5" w:rsidRDefault="00000000">
      <w:pPr>
        <w:spacing w:after="200"/>
        <w:jc w:val="center"/>
      </w:pPr>
      <w:r>
        <w:rPr>
          <w:b/>
          <w:sz w:val="32"/>
        </w:rPr>
        <w:lastRenderedPageBreak/>
        <w:t>TABLE OF CONTENTS</w:t>
      </w:r>
    </w:p>
    <w:sdt>
      <w:sdtPr>
        <w:id w:val="2138842927"/>
        <w:docPartObj>
          <w:docPartGallery w:val="Table of Contents"/>
          <w:docPartUnique/>
        </w:docPartObj>
      </w:sdtPr>
      <w:sdtContent>
        <w:p w14:paraId="540280FA" w14:textId="5070FB0B" w:rsidR="00DE2DD4" w:rsidRPr="00997F2D" w:rsidRDefault="00000000">
          <w:pPr>
            <w:pStyle w:val="TM1"/>
            <w:tabs>
              <w:tab w:val="right" w:leader="dot" w:pos="9628"/>
            </w:tabs>
            <w:rPr>
              <w:rFonts w:asciiTheme="minorHAnsi" w:eastAsiaTheme="minorEastAsia" w:hAnsiTheme="minorHAnsi" w:cstheme="minorBidi"/>
              <w:noProof/>
              <w:kern w:val="2"/>
              <w:sz w:val="40"/>
              <w:szCs w:val="40"/>
              <w14:ligatures w14:val="standardContextual"/>
            </w:rPr>
          </w:pPr>
          <w:r>
            <w:fldChar w:fldCharType="begin"/>
          </w:r>
          <w:r>
            <w:rPr>
              <w:rStyle w:val="IndexLink"/>
              <w:webHidden/>
            </w:rPr>
            <w:instrText xml:space="preserve"> TOC \z \o "1-3" \u \h</w:instrText>
          </w:r>
          <w:r>
            <w:rPr>
              <w:rStyle w:val="IndexLink"/>
            </w:rPr>
            <w:fldChar w:fldCharType="separate"/>
          </w:r>
          <w:hyperlink w:anchor="_Toc235917313" w:history="1">
            <w:r w:rsidR="00DE2DD4">
              <w:rPr>
                <w:rStyle w:val="Lienhypertexte"/>
                <w:noProof/>
                <w:sz w:val="24"/>
                <w:szCs w:val="24"/>
              </w:rPr>
              <w:t>1. Purpose and Scope</w:t>
            </w:r>
            <w:r w:rsidR="00DE2DD4">
              <w:rPr>
                <w:noProof/>
                <w:webHidden/>
                <w:sz w:val="24"/>
                <w:szCs w:val="24"/>
              </w:rPr>
              <w:tab/>
            </w:r>
            <w:r w:rsidR="00DE2DD4">
              <w:rPr>
                <w:noProof/>
                <w:webHidden/>
                <w:sz w:val="24"/>
                <w:szCs w:val="24"/>
              </w:rPr>
              <w:fldChar w:fldCharType="begin"/>
            </w:r>
            <w:r w:rsidR="00DE2DD4">
              <w:rPr>
                <w:noProof/>
                <w:webHidden/>
                <w:sz w:val="24"/>
                <w:szCs w:val="24"/>
              </w:rPr>
              <w:instrText xml:space="preserve"> PAGEREF _Toc235917313 \h </w:instrText>
            </w:r>
            <w:r w:rsidR="00DE2DD4">
              <w:rPr>
                <w:noProof/>
                <w:webHidden/>
                <w:sz w:val="24"/>
                <w:szCs w:val="24"/>
              </w:rPr>
            </w:r>
            <w:r w:rsidR="00DE2DD4">
              <w:rPr>
                <w:noProof/>
                <w:webHidden/>
                <w:sz w:val="24"/>
                <w:szCs w:val="24"/>
              </w:rPr>
              <w:fldChar w:fldCharType="separate"/>
            </w:r>
            <w:r w:rsidR="00DE2DD4">
              <w:rPr>
                <w:noProof/>
                <w:webHidden/>
                <w:sz w:val="24"/>
                <w:szCs w:val="24"/>
              </w:rPr>
              <w:t>4</w:t>
            </w:r>
            <w:r w:rsidR="00DE2DD4">
              <w:rPr>
                <w:noProof/>
                <w:webHidden/>
                <w:sz w:val="24"/>
                <w:szCs w:val="24"/>
              </w:rPr>
              <w:fldChar w:fldCharType="end"/>
            </w:r>
          </w:hyperlink>
        </w:p>
        <w:p w14:paraId="7F1AC711" w14:textId="6E3ACECF" w:rsidR="00DE2DD4" w:rsidRPr="00997F2D" w:rsidRDefault="00DE2DD4">
          <w:pPr>
            <w:pStyle w:val="TM1"/>
            <w:tabs>
              <w:tab w:val="right" w:leader="dot" w:pos="9628"/>
            </w:tabs>
            <w:rPr>
              <w:rFonts w:asciiTheme="minorHAnsi" w:eastAsiaTheme="minorEastAsia" w:hAnsiTheme="minorHAnsi" w:cstheme="minorBidi"/>
              <w:noProof/>
              <w:kern w:val="2"/>
              <w:sz w:val="40"/>
              <w:szCs w:val="40"/>
              <w14:ligatures w14:val="standardContextual"/>
            </w:rPr>
          </w:pPr>
          <w:hyperlink w:anchor="_Toc235917314" w:history="1">
            <w:r>
              <w:rPr>
                <w:rStyle w:val="Lienhypertexte"/>
                <w:noProof/>
                <w:sz w:val="24"/>
                <w:szCs w:val="24"/>
              </w:rPr>
              <w:t>2. Regulatory Basis</w:t>
            </w:r>
            <w:r>
              <w:rPr>
                <w:noProof/>
                <w:webHidden/>
                <w:sz w:val="24"/>
                <w:szCs w:val="24"/>
              </w:rPr>
              <w:tab/>
            </w:r>
            <w:r>
              <w:rPr>
                <w:noProof/>
                <w:webHidden/>
                <w:sz w:val="24"/>
                <w:szCs w:val="24"/>
              </w:rPr>
              <w:fldChar w:fldCharType="begin"/>
            </w:r>
            <w:r>
              <w:rPr>
                <w:noProof/>
                <w:webHidden/>
                <w:sz w:val="24"/>
                <w:szCs w:val="24"/>
              </w:rPr>
              <w:instrText xml:space="preserve"> PAGEREF _Toc235917314 \h </w:instrText>
            </w:r>
            <w:r>
              <w:rPr>
                <w:noProof/>
                <w:webHidden/>
                <w:sz w:val="24"/>
                <w:szCs w:val="24"/>
              </w:rPr>
            </w:r>
            <w:r>
              <w:rPr>
                <w:noProof/>
                <w:webHidden/>
                <w:sz w:val="24"/>
                <w:szCs w:val="24"/>
              </w:rPr>
              <w:fldChar w:fldCharType="separate"/>
            </w:r>
            <w:r>
              <w:rPr>
                <w:noProof/>
                <w:webHidden/>
                <w:sz w:val="24"/>
                <w:szCs w:val="24"/>
              </w:rPr>
              <w:t>5</w:t>
            </w:r>
            <w:r>
              <w:rPr>
                <w:noProof/>
                <w:webHidden/>
                <w:sz w:val="24"/>
                <w:szCs w:val="24"/>
              </w:rPr>
              <w:fldChar w:fldCharType="end"/>
            </w:r>
          </w:hyperlink>
        </w:p>
        <w:p w14:paraId="4153C59F" w14:textId="2662867C" w:rsidR="00DE2DD4" w:rsidRPr="00997F2D" w:rsidRDefault="00DE2DD4">
          <w:pPr>
            <w:pStyle w:val="TM1"/>
            <w:tabs>
              <w:tab w:val="right" w:leader="dot" w:pos="9628"/>
            </w:tabs>
            <w:rPr>
              <w:rFonts w:asciiTheme="minorHAnsi" w:eastAsiaTheme="minorEastAsia" w:hAnsiTheme="minorHAnsi" w:cstheme="minorBidi"/>
              <w:noProof/>
              <w:kern w:val="2"/>
              <w:sz w:val="40"/>
              <w:szCs w:val="40"/>
              <w14:ligatures w14:val="standardContextual"/>
            </w:rPr>
          </w:pPr>
          <w:hyperlink w:anchor="_Toc235917315" w:history="1">
            <w:r>
              <w:rPr>
                <w:rStyle w:val="Lienhypertexte"/>
                <w:noProof/>
                <w:sz w:val="24"/>
                <w:szCs w:val="24"/>
              </w:rPr>
              <w:t>3. Key Principles</w:t>
            </w:r>
            <w:r>
              <w:rPr>
                <w:noProof/>
                <w:webHidden/>
                <w:sz w:val="24"/>
                <w:szCs w:val="24"/>
              </w:rPr>
              <w:tab/>
            </w:r>
            <w:r>
              <w:rPr>
                <w:noProof/>
                <w:webHidden/>
                <w:sz w:val="24"/>
                <w:szCs w:val="24"/>
              </w:rPr>
              <w:fldChar w:fldCharType="begin"/>
            </w:r>
            <w:r>
              <w:rPr>
                <w:noProof/>
                <w:webHidden/>
                <w:sz w:val="24"/>
                <w:szCs w:val="24"/>
              </w:rPr>
              <w:instrText xml:space="preserve"> PAGEREF _Toc235917315 \h </w:instrText>
            </w:r>
            <w:r>
              <w:rPr>
                <w:noProof/>
                <w:webHidden/>
                <w:sz w:val="24"/>
                <w:szCs w:val="24"/>
              </w:rPr>
            </w:r>
            <w:r>
              <w:rPr>
                <w:noProof/>
                <w:webHidden/>
                <w:sz w:val="24"/>
                <w:szCs w:val="24"/>
              </w:rPr>
              <w:fldChar w:fldCharType="separate"/>
            </w:r>
            <w:r>
              <w:rPr>
                <w:noProof/>
                <w:webHidden/>
                <w:sz w:val="24"/>
                <w:szCs w:val="24"/>
              </w:rPr>
              <w:t>6</w:t>
            </w:r>
            <w:r>
              <w:rPr>
                <w:noProof/>
                <w:webHidden/>
                <w:sz w:val="24"/>
                <w:szCs w:val="24"/>
              </w:rPr>
              <w:fldChar w:fldCharType="end"/>
            </w:r>
          </w:hyperlink>
        </w:p>
        <w:p w14:paraId="45D134B6" w14:textId="761DD156" w:rsidR="00DE2DD4" w:rsidRPr="00997F2D" w:rsidRDefault="00DE2DD4">
          <w:pPr>
            <w:pStyle w:val="TM1"/>
            <w:tabs>
              <w:tab w:val="right" w:leader="dot" w:pos="9628"/>
            </w:tabs>
            <w:rPr>
              <w:rFonts w:asciiTheme="minorHAnsi" w:eastAsiaTheme="minorEastAsia" w:hAnsiTheme="minorHAnsi" w:cstheme="minorBidi"/>
              <w:noProof/>
              <w:kern w:val="2"/>
              <w:sz w:val="40"/>
              <w:szCs w:val="40"/>
              <w14:ligatures w14:val="standardContextual"/>
            </w:rPr>
          </w:pPr>
          <w:hyperlink w:anchor="_Toc235917316" w:history="1">
            <w:r>
              <w:rPr>
                <w:rStyle w:val="Lienhypertexte"/>
                <w:noProof/>
                <w:sz w:val="24"/>
                <w:szCs w:val="24"/>
              </w:rPr>
              <w:t>4. Methodology</w:t>
            </w:r>
            <w:r>
              <w:rPr>
                <w:noProof/>
                <w:webHidden/>
                <w:sz w:val="24"/>
                <w:szCs w:val="24"/>
              </w:rPr>
              <w:tab/>
            </w:r>
            <w:r>
              <w:rPr>
                <w:noProof/>
                <w:webHidden/>
                <w:sz w:val="24"/>
                <w:szCs w:val="24"/>
              </w:rPr>
              <w:fldChar w:fldCharType="begin"/>
            </w:r>
            <w:r>
              <w:rPr>
                <w:noProof/>
                <w:webHidden/>
                <w:sz w:val="24"/>
                <w:szCs w:val="24"/>
              </w:rPr>
              <w:instrText xml:space="preserve"> PAGEREF _Toc235917316 \h </w:instrText>
            </w:r>
            <w:r>
              <w:rPr>
                <w:noProof/>
                <w:webHidden/>
                <w:sz w:val="24"/>
                <w:szCs w:val="24"/>
              </w:rPr>
            </w:r>
            <w:r>
              <w:rPr>
                <w:noProof/>
                <w:webHidden/>
                <w:sz w:val="24"/>
                <w:szCs w:val="24"/>
              </w:rPr>
              <w:fldChar w:fldCharType="separate"/>
            </w:r>
            <w:r>
              <w:rPr>
                <w:noProof/>
                <w:webHidden/>
                <w:sz w:val="24"/>
                <w:szCs w:val="24"/>
              </w:rPr>
              <w:t>8</w:t>
            </w:r>
            <w:r>
              <w:rPr>
                <w:noProof/>
                <w:webHidden/>
                <w:sz w:val="24"/>
                <w:szCs w:val="24"/>
              </w:rPr>
              <w:fldChar w:fldCharType="end"/>
            </w:r>
          </w:hyperlink>
        </w:p>
        <w:p w14:paraId="05DFFCB1" w14:textId="7C0FCA05"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17" w:history="1">
            <w:r>
              <w:rPr>
                <w:rStyle w:val="Lienhypertexte"/>
                <w:noProof/>
                <w:sz w:val="24"/>
                <w:szCs w:val="24"/>
              </w:rPr>
              <w:t>4.1 Reference Load Spectrum</w:t>
            </w:r>
            <w:r>
              <w:rPr>
                <w:noProof/>
                <w:webHidden/>
                <w:sz w:val="24"/>
                <w:szCs w:val="24"/>
              </w:rPr>
              <w:tab/>
            </w:r>
            <w:r>
              <w:rPr>
                <w:noProof/>
                <w:webHidden/>
                <w:sz w:val="24"/>
                <w:szCs w:val="24"/>
              </w:rPr>
              <w:fldChar w:fldCharType="begin"/>
            </w:r>
            <w:r>
              <w:rPr>
                <w:noProof/>
                <w:webHidden/>
                <w:sz w:val="24"/>
                <w:szCs w:val="24"/>
              </w:rPr>
              <w:instrText xml:space="preserve"> PAGEREF _Toc235917317 \h </w:instrText>
            </w:r>
            <w:r>
              <w:rPr>
                <w:noProof/>
                <w:webHidden/>
                <w:sz w:val="24"/>
                <w:szCs w:val="24"/>
              </w:rPr>
            </w:r>
            <w:r>
              <w:rPr>
                <w:noProof/>
                <w:webHidden/>
                <w:sz w:val="24"/>
                <w:szCs w:val="24"/>
              </w:rPr>
              <w:fldChar w:fldCharType="separate"/>
            </w:r>
            <w:r>
              <w:rPr>
                <w:noProof/>
                <w:webHidden/>
                <w:sz w:val="24"/>
                <w:szCs w:val="24"/>
              </w:rPr>
              <w:t>8</w:t>
            </w:r>
            <w:r>
              <w:rPr>
                <w:noProof/>
                <w:webHidden/>
                <w:sz w:val="24"/>
                <w:szCs w:val="24"/>
              </w:rPr>
              <w:fldChar w:fldCharType="end"/>
            </w:r>
          </w:hyperlink>
        </w:p>
        <w:p w14:paraId="7CEDCC38" w14:textId="40E2E241"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18" w:history="1">
            <w:r>
              <w:rPr>
                <w:rStyle w:val="Lienhypertexte"/>
                <w:noProof/>
                <w:sz w:val="24"/>
                <w:szCs w:val="24"/>
              </w:rPr>
              <w:t>4.2 Real Load Spectrum Acquisition</w:t>
            </w:r>
            <w:r>
              <w:rPr>
                <w:noProof/>
                <w:webHidden/>
                <w:sz w:val="24"/>
                <w:szCs w:val="24"/>
              </w:rPr>
              <w:tab/>
            </w:r>
            <w:r>
              <w:rPr>
                <w:noProof/>
                <w:webHidden/>
                <w:sz w:val="24"/>
                <w:szCs w:val="24"/>
              </w:rPr>
              <w:fldChar w:fldCharType="begin"/>
            </w:r>
            <w:r>
              <w:rPr>
                <w:noProof/>
                <w:webHidden/>
                <w:sz w:val="24"/>
                <w:szCs w:val="24"/>
              </w:rPr>
              <w:instrText xml:space="preserve"> PAGEREF _Toc235917318 \h </w:instrText>
            </w:r>
            <w:r>
              <w:rPr>
                <w:noProof/>
                <w:webHidden/>
                <w:sz w:val="24"/>
                <w:szCs w:val="24"/>
              </w:rPr>
            </w:r>
            <w:r>
              <w:rPr>
                <w:noProof/>
                <w:webHidden/>
                <w:sz w:val="24"/>
                <w:szCs w:val="24"/>
              </w:rPr>
              <w:fldChar w:fldCharType="separate"/>
            </w:r>
            <w:r>
              <w:rPr>
                <w:noProof/>
                <w:webHidden/>
                <w:sz w:val="24"/>
                <w:szCs w:val="24"/>
              </w:rPr>
              <w:t>9</w:t>
            </w:r>
            <w:r>
              <w:rPr>
                <w:noProof/>
                <w:webHidden/>
                <w:sz w:val="24"/>
                <w:szCs w:val="24"/>
              </w:rPr>
              <w:fldChar w:fldCharType="end"/>
            </w:r>
          </w:hyperlink>
        </w:p>
        <w:p w14:paraId="49C069D8" w14:textId="5A7BC630"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19" w:history="1">
            <w:r>
              <w:rPr>
                <w:rStyle w:val="Lienhypertexte"/>
                <w:noProof/>
                <w:sz w:val="24"/>
                <w:szCs w:val="24"/>
              </w:rPr>
              <w:t>4.3 Load Spectrum Processing — Kossira &amp; Reinke Counting Method</w:t>
            </w:r>
            <w:r>
              <w:rPr>
                <w:noProof/>
                <w:webHidden/>
                <w:sz w:val="24"/>
                <w:szCs w:val="24"/>
              </w:rPr>
              <w:tab/>
            </w:r>
            <w:r>
              <w:rPr>
                <w:noProof/>
                <w:webHidden/>
                <w:sz w:val="24"/>
                <w:szCs w:val="24"/>
              </w:rPr>
              <w:fldChar w:fldCharType="begin"/>
            </w:r>
            <w:r>
              <w:rPr>
                <w:noProof/>
                <w:webHidden/>
                <w:sz w:val="24"/>
                <w:szCs w:val="24"/>
              </w:rPr>
              <w:instrText xml:space="preserve"> PAGEREF _Toc235917319 \h </w:instrText>
            </w:r>
            <w:r>
              <w:rPr>
                <w:noProof/>
                <w:webHidden/>
                <w:sz w:val="24"/>
                <w:szCs w:val="24"/>
              </w:rPr>
            </w:r>
            <w:r>
              <w:rPr>
                <w:noProof/>
                <w:webHidden/>
                <w:sz w:val="24"/>
                <w:szCs w:val="24"/>
              </w:rPr>
              <w:fldChar w:fldCharType="separate"/>
            </w:r>
            <w:r>
              <w:rPr>
                <w:noProof/>
                <w:webHidden/>
                <w:sz w:val="24"/>
                <w:szCs w:val="24"/>
              </w:rPr>
              <w:t>9</w:t>
            </w:r>
            <w:r>
              <w:rPr>
                <w:noProof/>
                <w:webHidden/>
                <w:sz w:val="24"/>
                <w:szCs w:val="24"/>
              </w:rPr>
              <w:fldChar w:fldCharType="end"/>
            </w:r>
          </w:hyperlink>
        </w:p>
        <w:p w14:paraId="75A953B7" w14:textId="118EC845"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20" w:history="1">
            <w:r>
              <w:rPr>
                <w:rStyle w:val="Lienhypertexte"/>
                <w:noProof/>
                <w:sz w:val="24"/>
                <w:szCs w:val="24"/>
              </w:rPr>
              <w:t>4.4 Equivalent Fatigue Index — Palmgren-Miner Rule</w:t>
            </w:r>
            <w:r>
              <w:rPr>
                <w:noProof/>
                <w:webHidden/>
                <w:sz w:val="24"/>
                <w:szCs w:val="24"/>
              </w:rPr>
              <w:tab/>
            </w:r>
            <w:r>
              <w:rPr>
                <w:noProof/>
                <w:webHidden/>
                <w:sz w:val="24"/>
                <w:szCs w:val="24"/>
              </w:rPr>
              <w:fldChar w:fldCharType="begin"/>
            </w:r>
            <w:r>
              <w:rPr>
                <w:noProof/>
                <w:webHidden/>
                <w:sz w:val="24"/>
                <w:szCs w:val="24"/>
              </w:rPr>
              <w:instrText xml:space="preserve"> PAGEREF _Toc235917320 \h </w:instrText>
            </w:r>
            <w:r>
              <w:rPr>
                <w:noProof/>
                <w:webHidden/>
                <w:sz w:val="24"/>
                <w:szCs w:val="24"/>
              </w:rPr>
            </w:r>
            <w:r>
              <w:rPr>
                <w:noProof/>
                <w:webHidden/>
                <w:sz w:val="24"/>
                <w:szCs w:val="24"/>
              </w:rPr>
              <w:fldChar w:fldCharType="separate"/>
            </w:r>
            <w:r>
              <w:rPr>
                <w:noProof/>
                <w:webHidden/>
                <w:sz w:val="24"/>
                <w:szCs w:val="24"/>
              </w:rPr>
              <w:t>10</w:t>
            </w:r>
            <w:r>
              <w:rPr>
                <w:noProof/>
                <w:webHidden/>
                <w:sz w:val="24"/>
                <w:szCs w:val="24"/>
              </w:rPr>
              <w:fldChar w:fldCharType="end"/>
            </w:r>
          </w:hyperlink>
        </w:p>
        <w:p w14:paraId="7BFD81EC" w14:textId="49ADE56F"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21" w:history="1">
            <w:r>
              <w:rPr>
                <w:rStyle w:val="Lienhypertexte"/>
                <w:noProof/>
                <w:sz w:val="24"/>
                <w:szCs w:val="24"/>
              </w:rPr>
              <w:t>4.5 Life Extension Assessment</w:t>
            </w:r>
            <w:r>
              <w:rPr>
                <w:noProof/>
                <w:webHidden/>
                <w:sz w:val="24"/>
                <w:szCs w:val="24"/>
              </w:rPr>
              <w:tab/>
            </w:r>
            <w:r>
              <w:rPr>
                <w:noProof/>
                <w:webHidden/>
                <w:sz w:val="24"/>
                <w:szCs w:val="24"/>
              </w:rPr>
              <w:fldChar w:fldCharType="begin"/>
            </w:r>
            <w:r>
              <w:rPr>
                <w:noProof/>
                <w:webHidden/>
                <w:sz w:val="24"/>
                <w:szCs w:val="24"/>
              </w:rPr>
              <w:instrText xml:space="preserve"> PAGEREF _Toc235917321 \h </w:instrText>
            </w:r>
            <w:r>
              <w:rPr>
                <w:noProof/>
                <w:webHidden/>
                <w:sz w:val="24"/>
                <w:szCs w:val="24"/>
              </w:rPr>
            </w:r>
            <w:r>
              <w:rPr>
                <w:noProof/>
                <w:webHidden/>
                <w:sz w:val="24"/>
                <w:szCs w:val="24"/>
              </w:rPr>
              <w:fldChar w:fldCharType="separate"/>
            </w:r>
            <w:r>
              <w:rPr>
                <w:noProof/>
                <w:webHidden/>
                <w:sz w:val="24"/>
                <w:szCs w:val="24"/>
              </w:rPr>
              <w:t>11</w:t>
            </w:r>
            <w:r>
              <w:rPr>
                <w:noProof/>
                <w:webHidden/>
                <w:sz w:val="24"/>
                <w:szCs w:val="24"/>
              </w:rPr>
              <w:fldChar w:fldCharType="end"/>
            </w:r>
          </w:hyperlink>
        </w:p>
        <w:p w14:paraId="476E310C" w14:textId="6C355124" w:rsidR="00DE2DD4" w:rsidRPr="00997F2D" w:rsidRDefault="00DE2DD4">
          <w:pPr>
            <w:pStyle w:val="TM1"/>
            <w:tabs>
              <w:tab w:val="right" w:leader="dot" w:pos="9628"/>
            </w:tabs>
            <w:rPr>
              <w:rFonts w:asciiTheme="minorHAnsi" w:eastAsiaTheme="minorEastAsia" w:hAnsiTheme="minorHAnsi" w:cstheme="minorBidi"/>
              <w:noProof/>
              <w:kern w:val="2"/>
              <w:sz w:val="40"/>
              <w:szCs w:val="40"/>
              <w14:ligatures w14:val="standardContextual"/>
            </w:rPr>
          </w:pPr>
          <w:hyperlink w:anchor="_Toc235917322" w:history="1">
            <w:r>
              <w:rPr>
                <w:rStyle w:val="Lienhypertexte"/>
                <w:noProof/>
                <w:sz w:val="24"/>
                <w:szCs w:val="24"/>
              </w:rPr>
              <w:t>5. Applicability and Limitations</w:t>
            </w:r>
            <w:r>
              <w:rPr>
                <w:noProof/>
                <w:webHidden/>
                <w:sz w:val="24"/>
                <w:szCs w:val="24"/>
              </w:rPr>
              <w:tab/>
            </w:r>
            <w:r>
              <w:rPr>
                <w:noProof/>
                <w:webHidden/>
                <w:sz w:val="24"/>
                <w:szCs w:val="24"/>
              </w:rPr>
              <w:fldChar w:fldCharType="begin"/>
            </w:r>
            <w:r>
              <w:rPr>
                <w:noProof/>
                <w:webHidden/>
                <w:sz w:val="24"/>
                <w:szCs w:val="24"/>
              </w:rPr>
              <w:instrText xml:space="preserve"> PAGEREF _Toc235917322 \h </w:instrText>
            </w:r>
            <w:r>
              <w:rPr>
                <w:noProof/>
                <w:webHidden/>
                <w:sz w:val="24"/>
                <w:szCs w:val="24"/>
              </w:rPr>
            </w:r>
            <w:r>
              <w:rPr>
                <w:noProof/>
                <w:webHidden/>
                <w:sz w:val="24"/>
                <w:szCs w:val="24"/>
              </w:rPr>
              <w:fldChar w:fldCharType="separate"/>
            </w:r>
            <w:r>
              <w:rPr>
                <w:noProof/>
                <w:webHidden/>
                <w:sz w:val="24"/>
                <w:szCs w:val="24"/>
              </w:rPr>
              <w:t>13</w:t>
            </w:r>
            <w:r>
              <w:rPr>
                <w:noProof/>
                <w:webHidden/>
                <w:sz w:val="24"/>
                <w:szCs w:val="24"/>
              </w:rPr>
              <w:fldChar w:fldCharType="end"/>
            </w:r>
          </w:hyperlink>
        </w:p>
        <w:p w14:paraId="695C6C01" w14:textId="6D820512" w:rsidR="00DE2DD4" w:rsidRPr="00997F2D" w:rsidRDefault="00DE2DD4">
          <w:pPr>
            <w:pStyle w:val="TM1"/>
            <w:tabs>
              <w:tab w:val="right" w:leader="dot" w:pos="9628"/>
            </w:tabs>
            <w:rPr>
              <w:rFonts w:asciiTheme="minorHAnsi" w:eastAsiaTheme="minorEastAsia" w:hAnsiTheme="minorHAnsi" w:cstheme="minorBidi"/>
              <w:noProof/>
              <w:kern w:val="2"/>
              <w:sz w:val="40"/>
              <w:szCs w:val="40"/>
              <w14:ligatures w14:val="standardContextual"/>
            </w:rPr>
          </w:pPr>
          <w:hyperlink w:anchor="_Toc235917323" w:history="1">
            <w:r>
              <w:rPr>
                <w:rStyle w:val="Lienhypertexte"/>
                <w:noProof/>
                <w:sz w:val="24"/>
                <w:szCs w:val="24"/>
              </w:rPr>
              <w:t>6. Concept of Operation associated with methodology</w:t>
            </w:r>
            <w:r>
              <w:rPr>
                <w:noProof/>
                <w:webHidden/>
                <w:sz w:val="24"/>
                <w:szCs w:val="24"/>
              </w:rPr>
              <w:tab/>
            </w:r>
            <w:r>
              <w:rPr>
                <w:noProof/>
                <w:webHidden/>
                <w:sz w:val="24"/>
                <w:szCs w:val="24"/>
              </w:rPr>
              <w:fldChar w:fldCharType="begin"/>
            </w:r>
            <w:r>
              <w:rPr>
                <w:noProof/>
                <w:webHidden/>
                <w:sz w:val="24"/>
                <w:szCs w:val="24"/>
              </w:rPr>
              <w:instrText xml:space="preserve"> PAGEREF _Toc235917323 \h </w:instrText>
            </w:r>
            <w:r>
              <w:rPr>
                <w:noProof/>
                <w:webHidden/>
                <w:sz w:val="24"/>
                <w:szCs w:val="24"/>
              </w:rPr>
            </w:r>
            <w:r>
              <w:rPr>
                <w:noProof/>
                <w:webHidden/>
                <w:sz w:val="24"/>
                <w:szCs w:val="24"/>
              </w:rPr>
              <w:fldChar w:fldCharType="separate"/>
            </w:r>
            <w:r>
              <w:rPr>
                <w:noProof/>
                <w:webHidden/>
                <w:sz w:val="24"/>
                <w:szCs w:val="24"/>
              </w:rPr>
              <w:t>14</w:t>
            </w:r>
            <w:r>
              <w:rPr>
                <w:noProof/>
                <w:webHidden/>
                <w:sz w:val="24"/>
                <w:szCs w:val="24"/>
              </w:rPr>
              <w:fldChar w:fldCharType="end"/>
            </w:r>
          </w:hyperlink>
        </w:p>
        <w:p w14:paraId="19A8499E" w14:textId="75C29C5B" w:rsidR="00DE2DD4" w:rsidRPr="00997F2D" w:rsidRDefault="00DE2DD4">
          <w:pPr>
            <w:pStyle w:val="TM1"/>
            <w:tabs>
              <w:tab w:val="right" w:leader="dot" w:pos="9628"/>
            </w:tabs>
            <w:rPr>
              <w:rFonts w:asciiTheme="minorHAnsi" w:eastAsiaTheme="minorEastAsia" w:hAnsiTheme="minorHAnsi" w:cstheme="minorBidi"/>
              <w:noProof/>
              <w:kern w:val="2"/>
              <w:sz w:val="40"/>
              <w:szCs w:val="40"/>
              <w14:ligatures w14:val="standardContextual"/>
            </w:rPr>
          </w:pPr>
          <w:hyperlink w:anchor="_Toc235917324" w:history="1">
            <w:r>
              <w:rPr>
                <w:rStyle w:val="Lienhypertexte"/>
                <w:noProof/>
                <w:sz w:val="24"/>
                <w:szCs w:val="24"/>
              </w:rPr>
              <w:t>7. Appendix A — Kossira &amp; Reinke Processing Rules for Software Implementation</w:t>
            </w:r>
            <w:r>
              <w:rPr>
                <w:noProof/>
                <w:webHidden/>
                <w:sz w:val="24"/>
                <w:szCs w:val="24"/>
              </w:rPr>
              <w:tab/>
            </w:r>
            <w:r>
              <w:rPr>
                <w:noProof/>
                <w:webHidden/>
                <w:sz w:val="24"/>
                <w:szCs w:val="24"/>
              </w:rPr>
              <w:fldChar w:fldCharType="begin"/>
            </w:r>
            <w:r>
              <w:rPr>
                <w:noProof/>
                <w:webHidden/>
                <w:sz w:val="24"/>
                <w:szCs w:val="24"/>
              </w:rPr>
              <w:instrText xml:space="preserve"> PAGEREF _Toc235917324 \h </w:instrText>
            </w:r>
            <w:r>
              <w:rPr>
                <w:noProof/>
                <w:webHidden/>
                <w:sz w:val="24"/>
                <w:szCs w:val="24"/>
              </w:rPr>
            </w:r>
            <w:r>
              <w:rPr>
                <w:noProof/>
                <w:webHidden/>
                <w:sz w:val="24"/>
                <w:szCs w:val="24"/>
              </w:rPr>
              <w:fldChar w:fldCharType="separate"/>
            </w:r>
            <w:r>
              <w:rPr>
                <w:noProof/>
                <w:webHidden/>
                <w:sz w:val="24"/>
                <w:szCs w:val="24"/>
              </w:rPr>
              <w:t>15</w:t>
            </w:r>
            <w:r>
              <w:rPr>
                <w:noProof/>
                <w:webHidden/>
                <w:sz w:val="24"/>
                <w:szCs w:val="24"/>
              </w:rPr>
              <w:fldChar w:fldCharType="end"/>
            </w:r>
          </w:hyperlink>
        </w:p>
        <w:p w14:paraId="681CF169" w14:textId="6B53D8AC"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25" w:history="1">
            <w:r>
              <w:rPr>
                <w:rStyle w:val="Lienhypertexte"/>
                <w:noProof/>
                <w:sz w:val="24"/>
                <w:szCs w:val="24"/>
              </w:rPr>
              <w:t>A.1 Constants, class convention, and notation</w:t>
            </w:r>
            <w:r>
              <w:rPr>
                <w:noProof/>
                <w:webHidden/>
                <w:sz w:val="24"/>
                <w:szCs w:val="24"/>
              </w:rPr>
              <w:tab/>
            </w:r>
            <w:r>
              <w:rPr>
                <w:noProof/>
                <w:webHidden/>
                <w:sz w:val="24"/>
                <w:szCs w:val="24"/>
              </w:rPr>
              <w:fldChar w:fldCharType="begin"/>
            </w:r>
            <w:r>
              <w:rPr>
                <w:noProof/>
                <w:webHidden/>
                <w:sz w:val="24"/>
                <w:szCs w:val="24"/>
              </w:rPr>
              <w:instrText xml:space="preserve"> PAGEREF _Toc235917325 \h </w:instrText>
            </w:r>
            <w:r>
              <w:rPr>
                <w:noProof/>
                <w:webHidden/>
                <w:sz w:val="24"/>
                <w:szCs w:val="24"/>
              </w:rPr>
            </w:r>
            <w:r>
              <w:rPr>
                <w:noProof/>
                <w:webHidden/>
                <w:sz w:val="24"/>
                <w:szCs w:val="24"/>
              </w:rPr>
              <w:fldChar w:fldCharType="separate"/>
            </w:r>
            <w:r>
              <w:rPr>
                <w:noProof/>
                <w:webHidden/>
                <w:sz w:val="24"/>
                <w:szCs w:val="24"/>
              </w:rPr>
              <w:t>15</w:t>
            </w:r>
            <w:r>
              <w:rPr>
                <w:noProof/>
                <w:webHidden/>
                <w:sz w:val="24"/>
                <w:szCs w:val="24"/>
              </w:rPr>
              <w:fldChar w:fldCharType="end"/>
            </w:r>
          </w:hyperlink>
        </w:p>
        <w:p w14:paraId="39664022" w14:textId="0BF962C1"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26" w:history="1">
            <w:r>
              <w:rPr>
                <w:rStyle w:val="Lienhypertexte"/>
                <w:noProof/>
                <w:sz w:val="24"/>
                <w:szCs w:val="24"/>
              </w:rPr>
              <w:t>A.2 Load factor to 1024-class conversion</w:t>
            </w:r>
            <w:r>
              <w:rPr>
                <w:noProof/>
                <w:webHidden/>
                <w:sz w:val="24"/>
                <w:szCs w:val="24"/>
              </w:rPr>
              <w:tab/>
            </w:r>
            <w:r>
              <w:rPr>
                <w:noProof/>
                <w:webHidden/>
                <w:sz w:val="24"/>
                <w:szCs w:val="24"/>
              </w:rPr>
              <w:fldChar w:fldCharType="begin"/>
            </w:r>
            <w:r>
              <w:rPr>
                <w:noProof/>
                <w:webHidden/>
                <w:sz w:val="24"/>
                <w:szCs w:val="24"/>
              </w:rPr>
              <w:instrText xml:space="preserve"> PAGEREF _Toc235917326 \h </w:instrText>
            </w:r>
            <w:r>
              <w:rPr>
                <w:noProof/>
                <w:webHidden/>
                <w:sz w:val="24"/>
                <w:szCs w:val="24"/>
              </w:rPr>
            </w:r>
            <w:r>
              <w:rPr>
                <w:noProof/>
                <w:webHidden/>
                <w:sz w:val="24"/>
                <w:szCs w:val="24"/>
              </w:rPr>
              <w:fldChar w:fldCharType="separate"/>
            </w:r>
            <w:r>
              <w:rPr>
                <w:noProof/>
                <w:webHidden/>
                <w:sz w:val="24"/>
                <w:szCs w:val="24"/>
              </w:rPr>
              <w:t>16</w:t>
            </w:r>
            <w:r>
              <w:rPr>
                <w:noProof/>
                <w:webHidden/>
                <w:sz w:val="24"/>
                <w:szCs w:val="24"/>
              </w:rPr>
              <w:fldChar w:fldCharType="end"/>
            </w:r>
          </w:hyperlink>
        </w:p>
        <w:p w14:paraId="22B71CEA" w14:textId="4BCA2795"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27" w:history="1">
            <w:r>
              <w:rPr>
                <w:rStyle w:val="Lienhypertexte"/>
                <w:noProof/>
                <w:sz w:val="24"/>
                <w:szCs w:val="24"/>
              </w:rPr>
              <w:t>A.3 Hysteresis filtering in 1024-class space</w:t>
            </w:r>
            <w:r>
              <w:rPr>
                <w:noProof/>
                <w:webHidden/>
                <w:sz w:val="24"/>
                <w:szCs w:val="24"/>
              </w:rPr>
              <w:tab/>
            </w:r>
            <w:r>
              <w:rPr>
                <w:noProof/>
                <w:webHidden/>
                <w:sz w:val="24"/>
                <w:szCs w:val="24"/>
              </w:rPr>
              <w:fldChar w:fldCharType="begin"/>
            </w:r>
            <w:r>
              <w:rPr>
                <w:noProof/>
                <w:webHidden/>
                <w:sz w:val="24"/>
                <w:szCs w:val="24"/>
              </w:rPr>
              <w:instrText xml:space="preserve"> PAGEREF _Toc235917327 \h </w:instrText>
            </w:r>
            <w:r>
              <w:rPr>
                <w:noProof/>
                <w:webHidden/>
                <w:sz w:val="24"/>
                <w:szCs w:val="24"/>
              </w:rPr>
            </w:r>
            <w:r>
              <w:rPr>
                <w:noProof/>
                <w:webHidden/>
                <w:sz w:val="24"/>
                <w:szCs w:val="24"/>
              </w:rPr>
              <w:fldChar w:fldCharType="separate"/>
            </w:r>
            <w:r>
              <w:rPr>
                <w:noProof/>
                <w:webHidden/>
                <w:sz w:val="24"/>
                <w:szCs w:val="24"/>
              </w:rPr>
              <w:t>16</w:t>
            </w:r>
            <w:r>
              <w:rPr>
                <w:noProof/>
                <w:webHidden/>
                <w:sz w:val="24"/>
                <w:szCs w:val="24"/>
              </w:rPr>
              <w:fldChar w:fldCharType="end"/>
            </w:r>
          </w:hyperlink>
        </w:p>
        <w:p w14:paraId="65DCF833" w14:textId="0BCB9582"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28" w:history="1">
            <w:r>
              <w:rPr>
                <w:rStyle w:val="Lienhypertexte"/>
                <w:noProof/>
                <w:sz w:val="24"/>
                <w:szCs w:val="24"/>
              </w:rPr>
              <w:t>A.4 Reduction from 1024 classes to 32 classes</w:t>
            </w:r>
            <w:r>
              <w:rPr>
                <w:noProof/>
                <w:webHidden/>
                <w:sz w:val="24"/>
                <w:szCs w:val="24"/>
              </w:rPr>
              <w:tab/>
            </w:r>
            <w:r>
              <w:rPr>
                <w:noProof/>
                <w:webHidden/>
                <w:sz w:val="24"/>
                <w:szCs w:val="24"/>
              </w:rPr>
              <w:fldChar w:fldCharType="begin"/>
            </w:r>
            <w:r>
              <w:rPr>
                <w:noProof/>
                <w:webHidden/>
                <w:sz w:val="24"/>
                <w:szCs w:val="24"/>
              </w:rPr>
              <w:instrText xml:space="preserve"> PAGEREF _Toc235917328 \h </w:instrText>
            </w:r>
            <w:r>
              <w:rPr>
                <w:noProof/>
                <w:webHidden/>
                <w:sz w:val="24"/>
                <w:szCs w:val="24"/>
              </w:rPr>
            </w:r>
            <w:r>
              <w:rPr>
                <w:noProof/>
                <w:webHidden/>
                <w:sz w:val="24"/>
                <w:szCs w:val="24"/>
              </w:rPr>
              <w:fldChar w:fldCharType="separate"/>
            </w:r>
            <w:r>
              <w:rPr>
                <w:noProof/>
                <w:webHidden/>
                <w:sz w:val="24"/>
                <w:szCs w:val="24"/>
              </w:rPr>
              <w:t>16</w:t>
            </w:r>
            <w:r>
              <w:rPr>
                <w:noProof/>
                <w:webHidden/>
                <w:sz w:val="24"/>
                <w:szCs w:val="24"/>
              </w:rPr>
              <w:fldChar w:fldCharType="end"/>
            </w:r>
          </w:hyperlink>
        </w:p>
        <w:p w14:paraId="692AA965" w14:textId="76AB07E3"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29" w:history="1">
            <w:r>
              <w:rPr>
                <w:rStyle w:val="Lienhypertexte"/>
                <w:noProof/>
                <w:sz w:val="24"/>
                <w:szCs w:val="24"/>
              </w:rPr>
              <w:t>A.5 Peak and valley extraction</w:t>
            </w:r>
            <w:r>
              <w:rPr>
                <w:noProof/>
                <w:webHidden/>
                <w:sz w:val="24"/>
                <w:szCs w:val="24"/>
              </w:rPr>
              <w:tab/>
            </w:r>
            <w:r>
              <w:rPr>
                <w:noProof/>
                <w:webHidden/>
                <w:sz w:val="24"/>
                <w:szCs w:val="24"/>
              </w:rPr>
              <w:fldChar w:fldCharType="begin"/>
            </w:r>
            <w:r>
              <w:rPr>
                <w:noProof/>
                <w:webHidden/>
                <w:sz w:val="24"/>
                <w:szCs w:val="24"/>
              </w:rPr>
              <w:instrText xml:space="preserve"> PAGEREF _Toc235917329 \h </w:instrText>
            </w:r>
            <w:r>
              <w:rPr>
                <w:noProof/>
                <w:webHidden/>
                <w:sz w:val="24"/>
                <w:szCs w:val="24"/>
              </w:rPr>
            </w:r>
            <w:r>
              <w:rPr>
                <w:noProof/>
                <w:webHidden/>
                <w:sz w:val="24"/>
                <w:szCs w:val="24"/>
              </w:rPr>
              <w:fldChar w:fldCharType="separate"/>
            </w:r>
            <w:r>
              <w:rPr>
                <w:noProof/>
                <w:webHidden/>
                <w:sz w:val="24"/>
                <w:szCs w:val="24"/>
              </w:rPr>
              <w:t>16</w:t>
            </w:r>
            <w:r>
              <w:rPr>
                <w:noProof/>
                <w:webHidden/>
                <w:sz w:val="24"/>
                <w:szCs w:val="24"/>
              </w:rPr>
              <w:fldChar w:fldCharType="end"/>
            </w:r>
          </w:hyperlink>
        </w:p>
        <w:p w14:paraId="24B184F9" w14:textId="20269AC8"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30" w:history="1">
            <w:r>
              <w:rPr>
                <w:rStyle w:val="Lienhypertexte"/>
                <w:noProof/>
                <w:sz w:val="24"/>
                <w:szCs w:val="24"/>
              </w:rPr>
              <w:t>A.6 Raw Markov transition matrix</w:t>
            </w:r>
            <w:r>
              <w:rPr>
                <w:noProof/>
                <w:webHidden/>
                <w:sz w:val="24"/>
                <w:szCs w:val="24"/>
              </w:rPr>
              <w:tab/>
            </w:r>
            <w:r>
              <w:rPr>
                <w:noProof/>
                <w:webHidden/>
                <w:sz w:val="24"/>
                <w:szCs w:val="24"/>
              </w:rPr>
              <w:fldChar w:fldCharType="begin"/>
            </w:r>
            <w:r>
              <w:rPr>
                <w:noProof/>
                <w:webHidden/>
                <w:sz w:val="24"/>
                <w:szCs w:val="24"/>
              </w:rPr>
              <w:instrText xml:space="preserve"> PAGEREF _Toc235917330 \h </w:instrText>
            </w:r>
            <w:r>
              <w:rPr>
                <w:noProof/>
                <w:webHidden/>
                <w:sz w:val="24"/>
                <w:szCs w:val="24"/>
              </w:rPr>
            </w:r>
            <w:r>
              <w:rPr>
                <w:noProof/>
                <w:webHidden/>
                <w:sz w:val="24"/>
                <w:szCs w:val="24"/>
              </w:rPr>
              <w:fldChar w:fldCharType="separate"/>
            </w:r>
            <w:r>
              <w:rPr>
                <w:noProof/>
                <w:webHidden/>
                <w:sz w:val="24"/>
                <w:szCs w:val="24"/>
              </w:rPr>
              <w:t>17</w:t>
            </w:r>
            <w:r>
              <w:rPr>
                <w:noProof/>
                <w:webHidden/>
                <w:sz w:val="24"/>
                <w:szCs w:val="24"/>
              </w:rPr>
              <w:fldChar w:fldCharType="end"/>
            </w:r>
          </w:hyperlink>
        </w:p>
        <w:p w14:paraId="494712E8" w14:textId="77A77BA5"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31" w:history="1">
            <w:r>
              <w:rPr>
                <w:rStyle w:val="Lienhypertexte"/>
                <w:noProof/>
                <w:sz w:val="24"/>
                <w:szCs w:val="24"/>
              </w:rPr>
              <w:t>A.7 Fixed Kossira &amp; Reinke reference-load convention</w:t>
            </w:r>
            <w:r>
              <w:rPr>
                <w:noProof/>
                <w:webHidden/>
                <w:sz w:val="24"/>
                <w:szCs w:val="24"/>
              </w:rPr>
              <w:tab/>
            </w:r>
            <w:r>
              <w:rPr>
                <w:noProof/>
                <w:webHidden/>
                <w:sz w:val="24"/>
                <w:szCs w:val="24"/>
              </w:rPr>
              <w:fldChar w:fldCharType="begin"/>
            </w:r>
            <w:r>
              <w:rPr>
                <w:noProof/>
                <w:webHidden/>
                <w:sz w:val="24"/>
                <w:szCs w:val="24"/>
              </w:rPr>
              <w:instrText xml:space="preserve"> PAGEREF _Toc235917331 \h </w:instrText>
            </w:r>
            <w:r>
              <w:rPr>
                <w:noProof/>
                <w:webHidden/>
                <w:sz w:val="24"/>
                <w:szCs w:val="24"/>
              </w:rPr>
            </w:r>
            <w:r>
              <w:rPr>
                <w:noProof/>
                <w:webHidden/>
                <w:sz w:val="24"/>
                <w:szCs w:val="24"/>
              </w:rPr>
              <w:fldChar w:fldCharType="separate"/>
            </w:r>
            <w:r>
              <w:rPr>
                <w:noProof/>
                <w:webHidden/>
                <w:sz w:val="24"/>
                <w:szCs w:val="24"/>
              </w:rPr>
              <w:t>17</w:t>
            </w:r>
            <w:r>
              <w:rPr>
                <w:noProof/>
                <w:webHidden/>
                <w:sz w:val="24"/>
                <w:szCs w:val="24"/>
              </w:rPr>
              <w:fldChar w:fldCharType="end"/>
            </w:r>
          </w:hyperlink>
        </w:p>
        <w:p w14:paraId="46AD2EF0" w14:textId="6BB7C488"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32" w:history="1">
            <w:r>
              <w:rPr>
                <w:rStyle w:val="Lienhypertexte"/>
                <w:noProof/>
                <w:sz w:val="24"/>
                <w:szCs w:val="24"/>
              </w:rPr>
              <w:t>A.8 Markov matrix transformation into exceedance occurrences</w:t>
            </w:r>
            <w:r>
              <w:rPr>
                <w:noProof/>
                <w:webHidden/>
                <w:sz w:val="24"/>
                <w:szCs w:val="24"/>
              </w:rPr>
              <w:tab/>
            </w:r>
            <w:r>
              <w:rPr>
                <w:noProof/>
                <w:webHidden/>
                <w:sz w:val="24"/>
                <w:szCs w:val="24"/>
              </w:rPr>
              <w:fldChar w:fldCharType="begin"/>
            </w:r>
            <w:r>
              <w:rPr>
                <w:noProof/>
                <w:webHidden/>
                <w:sz w:val="24"/>
                <w:szCs w:val="24"/>
              </w:rPr>
              <w:instrText xml:space="preserve"> PAGEREF _Toc235917332 \h </w:instrText>
            </w:r>
            <w:r>
              <w:rPr>
                <w:noProof/>
                <w:webHidden/>
                <w:sz w:val="24"/>
                <w:szCs w:val="24"/>
              </w:rPr>
            </w:r>
            <w:r>
              <w:rPr>
                <w:noProof/>
                <w:webHidden/>
                <w:sz w:val="24"/>
                <w:szCs w:val="24"/>
              </w:rPr>
              <w:fldChar w:fldCharType="separate"/>
            </w:r>
            <w:r>
              <w:rPr>
                <w:noProof/>
                <w:webHidden/>
                <w:sz w:val="24"/>
                <w:szCs w:val="24"/>
              </w:rPr>
              <w:t>18</w:t>
            </w:r>
            <w:r>
              <w:rPr>
                <w:noProof/>
                <w:webHidden/>
                <w:sz w:val="24"/>
                <w:szCs w:val="24"/>
              </w:rPr>
              <w:fldChar w:fldCharType="end"/>
            </w:r>
          </w:hyperlink>
        </w:p>
        <w:p w14:paraId="7CEE9329" w14:textId="649EDF51"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33" w:history="1">
            <w:r>
              <w:rPr>
                <w:rStyle w:val="Lienhypertexte"/>
                <w:noProof/>
                <w:sz w:val="24"/>
                <w:szCs w:val="24"/>
              </w:rPr>
              <w:t>A.9 Required Kossira &amp; Reinke processing outputs</w:t>
            </w:r>
            <w:r>
              <w:rPr>
                <w:noProof/>
                <w:webHidden/>
                <w:sz w:val="24"/>
                <w:szCs w:val="24"/>
              </w:rPr>
              <w:tab/>
            </w:r>
            <w:r>
              <w:rPr>
                <w:noProof/>
                <w:webHidden/>
                <w:sz w:val="24"/>
                <w:szCs w:val="24"/>
              </w:rPr>
              <w:fldChar w:fldCharType="begin"/>
            </w:r>
            <w:r>
              <w:rPr>
                <w:noProof/>
                <w:webHidden/>
                <w:sz w:val="24"/>
                <w:szCs w:val="24"/>
              </w:rPr>
              <w:instrText xml:space="preserve"> PAGEREF _Toc235917333 \h </w:instrText>
            </w:r>
            <w:r>
              <w:rPr>
                <w:noProof/>
                <w:webHidden/>
                <w:sz w:val="24"/>
                <w:szCs w:val="24"/>
              </w:rPr>
            </w:r>
            <w:r>
              <w:rPr>
                <w:noProof/>
                <w:webHidden/>
                <w:sz w:val="24"/>
                <w:szCs w:val="24"/>
              </w:rPr>
              <w:fldChar w:fldCharType="separate"/>
            </w:r>
            <w:r>
              <w:rPr>
                <w:noProof/>
                <w:webHidden/>
                <w:sz w:val="24"/>
                <w:szCs w:val="24"/>
              </w:rPr>
              <w:t>18</w:t>
            </w:r>
            <w:r>
              <w:rPr>
                <w:noProof/>
                <w:webHidden/>
                <w:sz w:val="24"/>
                <w:szCs w:val="24"/>
              </w:rPr>
              <w:fldChar w:fldCharType="end"/>
            </w:r>
          </w:hyperlink>
        </w:p>
        <w:p w14:paraId="67909443" w14:textId="55669EE2"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34" w:history="1">
            <w:r>
              <w:rPr>
                <w:rStyle w:val="Lienhypertexte"/>
                <w:noProof/>
                <w:sz w:val="24"/>
                <w:szCs w:val="24"/>
              </w:rPr>
              <w:t>A.10 Kossira &amp; Reinke processing verification checks</w:t>
            </w:r>
            <w:r>
              <w:rPr>
                <w:noProof/>
                <w:webHidden/>
                <w:sz w:val="24"/>
                <w:szCs w:val="24"/>
              </w:rPr>
              <w:tab/>
            </w:r>
            <w:r>
              <w:rPr>
                <w:noProof/>
                <w:webHidden/>
                <w:sz w:val="24"/>
                <w:szCs w:val="24"/>
              </w:rPr>
              <w:fldChar w:fldCharType="begin"/>
            </w:r>
            <w:r>
              <w:rPr>
                <w:noProof/>
                <w:webHidden/>
                <w:sz w:val="24"/>
                <w:szCs w:val="24"/>
              </w:rPr>
              <w:instrText xml:space="preserve"> PAGEREF _Toc235917334 \h </w:instrText>
            </w:r>
            <w:r>
              <w:rPr>
                <w:noProof/>
                <w:webHidden/>
                <w:sz w:val="24"/>
                <w:szCs w:val="24"/>
              </w:rPr>
            </w:r>
            <w:r>
              <w:rPr>
                <w:noProof/>
                <w:webHidden/>
                <w:sz w:val="24"/>
                <w:szCs w:val="24"/>
              </w:rPr>
              <w:fldChar w:fldCharType="separate"/>
            </w:r>
            <w:r>
              <w:rPr>
                <w:noProof/>
                <w:webHidden/>
                <w:sz w:val="24"/>
                <w:szCs w:val="24"/>
              </w:rPr>
              <w:t>18</w:t>
            </w:r>
            <w:r>
              <w:rPr>
                <w:noProof/>
                <w:webHidden/>
                <w:sz w:val="24"/>
                <w:szCs w:val="24"/>
              </w:rPr>
              <w:fldChar w:fldCharType="end"/>
            </w:r>
          </w:hyperlink>
        </w:p>
        <w:p w14:paraId="3094BEA9" w14:textId="1D0CD268"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35" w:history="1">
            <w:r>
              <w:rPr>
                <w:rStyle w:val="Lienhypertexte"/>
                <w:noProof/>
                <w:sz w:val="24"/>
                <w:szCs w:val="24"/>
              </w:rPr>
              <w:t>A.11 Reference occurrence table and reference class table</w:t>
            </w:r>
            <w:r>
              <w:rPr>
                <w:noProof/>
                <w:webHidden/>
                <w:sz w:val="24"/>
                <w:szCs w:val="24"/>
              </w:rPr>
              <w:tab/>
            </w:r>
            <w:r>
              <w:rPr>
                <w:noProof/>
                <w:webHidden/>
                <w:sz w:val="24"/>
                <w:szCs w:val="24"/>
              </w:rPr>
              <w:fldChar w:fldCharType="begin"/>
            </w:r>
            <w:r>
              <w:rPr>
                <w:noProof/>
                <w:webHidden/>
                <w:sz w:val="24"/>
                <w:szCs w:val="24"/>
              </w:rPr>
              <w:instrText xml:space="preserve"> PAGEREF _Toc235917335 \h </w:instrText>
            </w:r>
            <w:r>
              <w:rPr>
                <w:noProof/>
                <w:webHidden/>
                <w:sz w:val="24"/>
                <w:szCs w:val="24"/>
              </w:rPr>
            </w:r>
            <w:r>
              <w:rPr>
                <w:noProof/>
                <w:webHidden/>
                <w:sz w:val="24"/>
                <w:szCs w:val="24"/>
              </w:rPr>
              <w:fldChar w:fldCharType="separate"/>
            </w:r>
            <w:r>
              <w:rPr>
                <w:noProof/>
                <w:webHidden/>
                <w:sz w:val="24"/>
                <w:szCs w:val="24"/>
              </w:rPr>
              <w:t>19</w:t>
            </w:r>
            <w:r>
              <w:rPr>
                <w:noProof/>
                <w:webHidden/>
                <w:sz w:val="24"/>
                <w:szCs w:val="24"/>
              </w:rPr>
              <w:fldChar w:fldCharType="end"/>
            </w:r>
          </w:hyperlink>
        </w:p>
        <w:p w14:paraId="55631796" w14:textId="1C31326F" w:rsidR="00DE2DD4" w:rsidRPr="00997F2D" w:rsidRDefault="00DE2DD4">
          <w:pPr>
            <w:pStyle w:val="TM1"/>
            <w:tabs>
              <w:tab w:val="right" w:leader="dot" w:pos="9628"/>
            </w:tabs>
            <w:rPr>
              <w:rFonts w:asciiTheme="minorHAnsi" w:eastAsiaTheme="minorEastAsia" w:hAnsiTheme="minorHAnsi" w:cstheme="minorBidi"/>
              <w:noProof/>
              <w:kern w:val="2"/>
              <w:sz w:val="40"/>
              <w:szCs w:val="40"/>
              <w14:ligatures w14:val="standardContextual"/>
            </w:rPr>
          </w:pPr>
          <w:hyperlink w:anchor="_Toc235917336" w:history="1">
            <w:r>
              <w:rPr>
                <w:rStyle w:val="Lienhypertexte"/>
                <w:noProof/>
                <w:sz w:val="24"/>
                <w:szCs w:val="24"/>
              </w:rPr>
              <w:t>8. Appendix B — EFI Calculation Rules for Software Implementation</w:t>
            </w:r>
            <w:r>
              <w:rPr>
                <w:noProof/>
                <w:webHidden/>
                <w:sz w:val="24"/>
                <w:szCs w:val="24"/>
              </w:rPr>
              <w:tab/>
            </w:r>
            <w:r>
              <w:rPr>
                <w:noProof/>
                <w:webHidden/>
                <w:sz w:val="24"/>
                <w:szCs w:val="24"/>
              </w:rPr>
              <w:fldChar w:fldCharType="begin"/>
            </w:r>
            <w:r>
              <w:rPr>
                <w:noProof/>
                <w:webHidden/>
                <w:sz w:val="24"/>
                <w:szCs w:val="24"/>
              </w:rPr>
              <w:instrText xml:space="preserve"> PAGEREF _Toc235917336 \h </w:instrText>
            </w:r>
            <w:r>
              <w:rPr>
                <w:noProof/>
                <w:webHidden/>
                <w:sz w:val="24"/>
                <w:szCs w:val="24"/>
              </w:rPr>
            </w:r>
            <w:r>
              <w:rPr>
                <w:noProof/>
                <w:webHidden/>
                <w:sz w:val="24"/>
                <w:szCs w:val="24"/>
              </w:rPr>
              <w:fldChar w:fldCharType="separate"/>
            </w:r>
            <w:r>
              <w:rPr>
                <w:noProof/>
                <w:webHidden/>
                <w:sz w:val="24"/>
                <w:szCs w:val="24"/>
              </w:rPr>
              <w:t>20</w:t>
            </w:r>
            <w:r>
              <w:rPr>
                <w:noProof/>
                <w:webHidden/>
                <w:sz w:val="24"/>
                <w:szCs w:val="24"/>
              </w:rPr>
              <w:fldChar w:fldCharType="end"/>
            </w:r>
          </w:hyperlink>
        </w:p>
        <w:p w14:paraId="558CA630" w14:textId="14DE6BE9"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37" w:history="1">
            <w:r>
              <w:rPr>
                <w:rStyle w:val="Lienhypertexte"/>
                <w:noProof/>
                <w:sz w:val="24"/>
                <w:szCs w:val="24"/>
              </w:rPr>
              <w:t>B.1 Required inputs</w:t>
            </w:r>
            <w:r>
              <w:rPr>
                <w:noProof/>
                <w:webHidden/>
                <w:sz w:val="24"/>
                <w:szCs w:val="24"/>
              </w:rPr>
              <w:tab/>
            </w:r>
            <w:r>
              <w:rPr>
                <w:noProof/>
                <w:webHidden/>
                <w:sz w:val="24"/>
                <w:szCs w:val="24"/>
              </w:rPr>
              <w:fldChar w:fldCharType="begin"/>
            </w:r>
            <w:r>
              <w:rPr>
                <w:noProof/>
                <w:webHidden/>
                <w:sz w:val="24"/>
                <w:szCs w:val="24"/>
              </w:rPr>
              <w:instrText xml:space="preserve"> PAGEREF _Toc235917337 \h </w:instrText>
            </w:r>
            <w:r>
              <w:rPr>
                <w:noProof/>
                <w:webHidden/>
                <w:sz w:val="24"/>
                <w:szCs w:val="24"/>
              </w:rPr>
            </w:r>
            <w:r>
              <w:rPr>
                <w:noProof/>
                <w:webHidden/>
                <w:sz w:val="24"/>
                <w:szCs w:val="24"/>
              </w:rPr>
              <w:fldChar w:fldCharType="separate"/>
            </w:r>
            <w:r>
              <w:rPr>
                <w:noProof/>
                <w:webHidden/>
                <w:sz w:val="24"/>
                <w:szCs w:val="24"/>
              </w:rPr>
              <w:t>20</w:t>
            </w:r>
            <w:r>
              <w:rPr>
                <w:noProof/>
                <w:webHidden/>
                <w:sz w:val="24"/>
                <w:szCs w:val="24"/>
              </w:rPr>
              <w:fldChar w:fldCharType="end"/>
            </w:r>
          </w:hyperlink>
        </w:p>
        <w:p w14:paraId="0FD07155" w14:textId="7BA366B6"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38" w:history="1">
            <w:r>
              <w:rPr>
                <w:rStyle w:val="Lienhypertexte"/>
                <w:noProof/>
                <w:sz w:val="24"/>
                <w:szCs w:val="24"/>
              </w:rPr>
              <w:t>B.2 Fixed reference level used by counting and EFI</w:t>
            </w:r>
            <w:r>
              <w:rPr>
                <w:noProof/>
                <w:webHidden/>
                <w:sz w:val="24"/>
                <w:szCs w:val="24"/>
              </w:rPr>
              <w:tab/>
            </w:r>
            <w:r>
              <w:rPr>
                <w:noProof/>
                <w:webHidden/>
                <w:sz w:val="24"/>
                <w:szCs w:val="24"/>
              </w:rPr>
              <w:fldChar w:fldCharType="begin"/>
            </w:r>
            <w:r>
              <w:rPr>
                <w:noProof/>
                <w:webHidden/>
                <w:sz w:val="24"/>
                <w:szCs w:val="24"/>
              </w:rPr>
              <w:instrText xml:space="preserve"> PAGEREF _Toc235917338 \h </w:instrText>
            </w:r>
            <w:r>
              <w:rPr>
                <w:noProof/>
                <w:webHidden/>
                <w:sz w:val="24"/>
                <w:szCs w:val="24"/>
              </w:rPr>
            </w:r>
            <w:r>
              <w:rPr>
                <w:noProof/>
                <w:webHidden/>
                <w:sz w:val="24"/>
                <w:szCs w:val="24"/>
              </w:rPr>
              <w:fldChar w:fldCharType="separate"/>
            </w:r>
            <w:r>
              <w:rPr>
                <w:noProof/>
                <w:webHidden/>
                <w:sz w:val="24"/>
                <w:szCs w:val="24"/>
              </w:rPr>
              <w:t>20</w:t>
            </w:r>
            <w:r>
              <w:rPr>
                <w:noProof/>
                <w:webHidden/>
                <w:sz w:val="24"/>
                <w:szCs w:val="24"/>
              </w:rPr>
              <w:fldChar w:fldCharType="end"/>
            </w:r>
          </w:hyperlink>
        </w:p>
        <w:p w14:paraId="4A9880F3" w14:textId="42F3FCBF"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39" w:history="1">
            <w:r>
              <w:rPr>
                <w:rStyle w:val="Lienhypertexte"/>
                <w:noProof/>
                <w:sz w:val="24"/>
                <w:szCs w:val="24"/>
              </w:rPr>
              <w:t>B.3 Reference spectrum scaling</w:t>
            </w:r>
            <w:r>
              <w:rPr>
                <w:noProof/>
                <w:webHidden/>
                <w:sz w:val="24"/>
                <w:szCs w:val="24"/>
              </w:rPr>
              <w:tab/>
            </w:r>
            <w:r>
              <w:rPr>
                <w:noProof/>
                <w:webHidden/>
                <w:sz w:val="24"/>
                <w:szCs w:val="24"/>
              </w:rPr>
              <w:fldChar w:fldCharType="begin"/>
            </w:r>
            <w:r>
              <w:rPr>
                <w:noProof/>
                <w:webHidden/>
                <w:sz w:val="24"/>
                <w:szCs w:val="24"/>
              </w:rPr>
              <w:instrText xml:space="preserve"> PAGEREF _Toc235917339 \h </w:instrText>
            </w:r>
            <w:r>
              <w:rPr>
                <w:noProof/>
                <w:webHidden/>
                <w:sz w:val="24"/>
                <w:szCs w:val="24"/>
              </w:rPr>
            </w:r>
            <w:r>
              <w:rPr>
                <w:noProof/>
                <w:webHidden/>
                <w:sz w:val="24"/>
                <w:szCs w:val="24"/>
              </w:rPr>
              <w:fldChar w:fldCharType="separate"/>
            </w:r>
            <w:r>
              <w:rPr>
                <w:noProof/>
                <w:webHidden/>
                <w:sz w:val="24"/>
                <w:szCs w:val="24"/>
              </w:rPr>
              <w:t>20</w:t>
            </w:r>
            <w:r>
              <w:rPr>
                <w:noProof/>
                <w:webHidden/>
                <w:sz w:val="24"/>
                <w:szCs w:val="24"/>
              </w:rPr>
              <w:fldChar w:fldCharType="end"/>
            </w:r>
          </w:hyperlink>
        </w:p>
        <w:p w14:paraId="5797D786" w14:textId="562F8575"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40" w:history="1">
            <w:r>
              <w:rPr>
                <w:rStyle w:val="Lienhypertexte"/>
                <w:noProof/>
                <w:sz w:val="24"/>
                <w:szCs w:val="24"/>
              </w:rPr>
              <w:t>B.4 Reference normalization constant</w:t>
            </w:r>
            <w:r>
              <w:rPr>
                <w:noProof/>
                <w:webHidden/>
                <w:sz w:val="24"/>
                <w:szCs w:val="24"/>
              </w:rPr>
              <w:tab/>
            </w:r>
            <w:r>
              <w:rPr>
                <w:noProof/>
                <w:webHidden/>
                <w:sz w:val="24"/>
                <w:szCs w:val="24"/>
              </w:rPr>
              <w:fldChar w:fldCharType="begin"/>
            </w:r>
            <w:r>
              <w:rPr>
                <w:noProof/>
                <w:webHidden/>
                <w:sz w:val="24"/>
                <w:szCs w:val="24"/>
              </w:rPr>
              <w:instrText xml:space="preserve"> PAGEREF _Toc235917340 \h </w:instrText>
            </w:r>
            <w:r>
              <w:rPr>
                <w:noProof/>
                <w:webHidden/>
                <w:sz w:val="24"/>
                <w:szCs w:val="24"/>
              </w:rPr>
            </w:r>
            <w:r>
              <w:rPr>
                <w:noProof/>
                <w:webHidden/>
                <w:sz w:val="24"/>
                <w:szCs w:val="24"/>
              </w:rPr>
              <w:fldChar w:fldCharType="separate"/>
            </w:r>
            <w:r>
              <w:rPr>
                <w:noProof/>
                <w:webHidden/>
                <w:sz w:val="24"/>
                <w:szCs w:val="24"/>
              </w:rPr>
              <w:t>21</w:t>
            </w:r>
            <w:r>
              <w:rPr>
                <w:noProof/>
                <w:webHidden/>
                <w:sz w:val="24"/>
                <w:szCs w:val="24"/>
              </w:rPr>
              <w:fldChar w:fldCharType="end"/>
            </w:r>
          </w:hyperlink>
        </w:p>
        <w:p w14:paraId="77340312" w14:textId="773DB9F3"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41" w:history="1">
            <w:r>
              <w:rPr>
                <w:rStyle w:val="Lienhypertexte"/>
                <w:noProof/>
                <w:sz w:val="24"/>
                <w:szCs w:val="24"/>
              </w:rPr>
              <w:t>B.5 Number of cycles to failure</w:t>
            </w:r>
            <w:r>
              <w:rPr>
                <w:noProof/>
                <w:webHidden/>
                <w:sz w:val="24"/>
                <w:szCs w:val="24"/>
              </w:rPr>
              <w:tab/>
            </w:r>
            <w:r>
              <w:rPr>
                <w:noProof/>
                <w:webHidden/>
                <w:sz w:val="24"/>
                <w:szCs w:val="24"/>
              </w:rPr>
              <w:fldChar w:fldCharType="begin"/>
            </w:r>
            <w:r>
              <w:rPr>
                <w:noProof/>
                <w:webHidden/>
                <w:sz w:val="24"/>
                <w:szCs w:val="24"/>
              </w:rPr>
              <w:instrText xml:space="preserve"> PAGEREF _Toc235917341 \h </w:instrText>
            </w:r>
            <w:r>
              <w:rPr>
                <w:noProof/>
                <w:webHidden/>
                <w:sz w:val="24"/>
                <w:szCs w:val="24"/>
              </w:rPr>
            </w:r>
            <w:r>
              <w:rPr>
                <w:noProof/>
                <w:webHidden/>
                <w:sz w:val="24"/>
                <w:szCs w:val="24"/>
              </w:rPr>
              <w:fldChar w:fldCharType="separate"/>
            </w:r>
            <w:r>
              <w:rPr>
                <w:noProof/>
                <w:webHidden/>
                <w:sz w:val="24"/>
                <w:szCs w:val="24"/>
              </w:rPr>
              <w:t>21</w:t>
            </w:r>
            <w:r>
              <w:rPr>
                <w:noProof/>
                <w:webHidden/>
                <w:sz w:val="24"/>
                <w:szCs w:val="24"/>
              </w:rPr>
              <w:fldChar w:fldCharType="end"/>
            </w:r>
          </w:hyperlink>
        </w:p>
        <w:p w14:paraId="2166D01D" w14:textId="0B107577"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42" w:history="1">
            <w:r>
              <w:rPr>
                <w:rStyle w:val="Lienhypertexte"/>
                <w:noProof/>
                <w:sz w:val="24"/>
                <w:szCs w:val="24"/>
              </w:rPr>
              <w:t>B.6 Monitored and total EFI</w:t>
            </w:r>
            <w:r>
              <w:rPr>
                <w:noProof/>
                <w:webHidden/>
                <w:sz w:val="24"/>
                <w:szCs w:val="24"/>
              </w:rPr>
              <w:tab/>
            </w:r>
            <w:r>
              <w:rPr>
                <w:noProof/>
                <w:webHidden/>
                <w:sz w:val="24"/>
                <w:szCs w:val="24"/>
              </w:rPr>
              <w:fldChar w:fldCharType="begin"/>
            </w:r>
            <w:r>
              <w:rPr>
                <w:noProof/>
                <w:webHidden/>
                <w:sz w:val="24"/>
                <w:szCs w:val="24"/>
              </w:rPr>
              <w:instrText xml:space="preserve"> PAGEREF _Toc235917342 \h </w:instrText>
            </w:r>
            <w:r>
              <w:rPr>
                <w:noProof/>
                <w:webHidden/>
                <w:sz w:val="24"/>
                <w:szCs w:val="24"/>
              </w:rPr>
            </w:r>
            <w:r>
              <w:rPr>
                <w:noProof/>
                <w:webHidden/>
                <w:sz w:val="24"/>
                <w:szCs w:val="24"/>
              </w:rPr>
              <w:fldChar w:fldCharType="separate"/>
            </w:r>
            <w:r>
              <w:rPr>
                <w:noProof/>
                <w:webHidden/>
                <w:sz w:val="24"/>
                <w:szCs w:val="24"/>
              </w:rPr>
              <w:t>21</w:t>
            </w:r>
            <w:r>
              <w:rPr>
                <w:noProof/>
                <w:webHidden/>
                <w:sz w:val="24"/>
                <w:szCs w:val="24"/>
              </w:rPr>
              <w:fldChar w:fldCharType="end"/>
            </w:r>
          </w:hyperlink>
        </w:p>
        <w:p w14:paraId="004AA4B5" w14:textId="2200B0CB"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43" w:history="1">
            <w:r>
              <w:rPr>
                <w:rStyle w:val="Lienhypertexte"/>
                <w:noProof/>
                <w:sz w:val="24"/>
                <w:szCs w:val="24"/>
              </w:rPr>
              <w:t>B.7 Life Ratio</w:t>
            </w:r>
            <w:r>
              <w:rPr>
                <w:noProof/>
                <w:webHidden/>
                <w:sz w:val="24"/>
                <w:szCs w:val="24"/>
              </w:rPr>
              <w:tab/>
            </w:r>
            <w:r>
              <w:rPr>
                <w:noProof/>
                <w:webHidden/>
                <w:sz w:val="24"/>
                <w:szCs w:val="24"/>
              </w:rPr>
              <w:fldChar w:fldCharType="begin"/>
            </w:r>
            <w:r>
              <w:rPr>
                <w:noProof/>
                <w:webHidden/>
                <w:sz w:val="24"/>
                <w:szCs w:val="24"/>
              </w:rPr>
              <w:instrText xml:space="preserve"> PAGEREF _Toc235917343 \h </w:instrText>
            </w:r>
            <w:r>
              <w:rPr>
                <w:noProof/>
                <w:webHidden/>
                <w:sz w:val="24"/>
                <w:szCs w:val="24"/>
              </w:rPr>
            </w:r>
            <w:r>
              <w:rPr>
                <w:noProof/>
                <w:webHidden/>
                <w:sz w:val="24"/>
                <w:szCs w:val="24"/>
              </w:rPr>
              <w:fldChar w:fldCharType="separate"/>
            </w:r>
            <w:r>
              <w:rPr>
                <w:noProof/>
                <w:webHidden/>
                <w:sz w:val="24"/>
                <w:szCs w:val="24"/>
              </w:rPr>
              <w:t>21</w:t>
            </w:r>
            <w:r>
              <w:rPr>
                <w:noProof/>
                <w:webHidden/>
                <w:sz w:val="24"/>
                <w:szCs w:val="24"/>
              </w:rPr>
              <w:fldChar w:fldCharType="end"/>
            </w:r>
          </w:hyperlink>
        </w:p>
        <w:p w14:paraId="4A9D61C2" w14:textId="6903FF23"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44" w:history="1">
            <w:r>
              <w:rPr>
                <w:rStyle w:val="Lienhypertexte"/>
                <w:noProof/>
                <w:sz w:val="24"/>
                <w:szCs w:val="24"/>
              </w:rPr>
              <w:t>B.8 Life-extension estimate</w:t>
            </w:r>
            <w:r>
              <w:rPr>
                <w:noProof/>
                <w:webHidden/>
                <w:sz w:val="24"/>
                <w:szCs w:val="24"/>
              </w:rPr>
              <w:tab/>
            </w:r>
            <w:r>
              <w:rPr>
                <w:noProof/>
                <w:webHidden/>
                <w:sz w:val="24"/>
                <w:szCs w:val="24"/>
              </w:rPr>
              <w:fldChar w:fldCharType="begin"/>
            </w:r>
            <w:r>
              <w:rPr>
                <w:noProof/>
                <w:webHidden/>
                <w:sz w:val="24"/>
                <w:szCs w:val="24"/>
              </w:rPr>
              <w:instrText xml:space="preserve"> PAGEREF _Toc235917344 \h </w:instrText>
            </w:r>
            <w:r>
              <w:rPr>
                <w:noProof/>
                <w:webHidden/>
                <w:sz w:val="24"/>
                <w:szCs w:val="24"/>
              </w:rPr>
            </w:r>
            <w:r>
              <w:rPr>
                <w:noProof/>
                <w:webHidden/>
                <w:sz w:val="24"/>
                <w:szCs w:val="24"/>
              </w:rPr>
              <w:fldChar w:fldCharType="separate"/>
            </w:r>
            <w:r>
              <w:rPr>
                <w:noProof/>
                <w:webHidden/>
                <w:sz w:val="24"/>
                <w:szCs w:val="24"/>
              </w:rPr>
              <w:t>21</w:t>
            </w:r>
            <w:r>
              <w:rPr>
                <w:noProof/>
                <w:webHidden/>
                <w:sz w:val="24"/>
                <w:szCs w:val="24"/>
              </w:rPr>
              <w:fldChar w:fldCharType="end"/>
            </w:r>
          </w:hyperlink>
        </w:p>
        <w:p w14:paraId="12BC3D8D" w14:textId="4DF4EB58"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45" w:history="1">
            <w:r>
              <w:rPr>
                <w:rStyle w:val="Lienhypertexte"/>
                <w:noProof/>
                <w:sz w:val="24"/>
                <w:szCs w:val="24"/>
              </w:rPr>
              <w:t>B.9 Valid duration reporting</w:t>
            </w:r>
            <w:r>
              <w:rPr>
                <w:noProof/>
                <w:webHidden/>
                <w:sz w:val="24"/>
                <w:szCs w:val="24"/>
              </w:rPr>
              <w:tab/>
            </w:r>
            <w:r>
              <w:rPr>
                <w:noProof/>
                <w:webHidden/>
                <w:sz w:val="24"/>
                <w:szCs w:val="24"/>
              </w:rPr>
              <w:fldChar w:fldCharType="begin"/>
            </w:r>
            <w:r>
              <w:rPr>
                <w:noProof/>
                <w:webHidden/>
                <w:sz w:val="24"/>
                <w:szCs w:val="24"/>
              </w:rPr>
              <w:instrText xml:space="preserve"> PAGEREF _Toc235917345 \h </w:instrText>
            </w:r>
            <w:r>
              <w:rPr>
                <w:noProof/>
                <w:webHidden/>
                <w:sz w:val="24"/>
                <w:szCs w:val="24"/>
              </w:rPr>
            </w:r>
            <w:r>
              <w:rPr>
                <w:noProof/>
                <w:webHidden/>
                <w:sz w:val="24"/>
                <w:szCs w:val="24"/>
              </w:rPr>
              <w:fldChar w:fldCharType="separate"/>
            </w:r>
            <w:r>
              <w:rPr>
                <w:noProof/>
                <w:webHidden/>
                <w:sz w:val="24"/>
                <w:szCs w:val="24"/>
              </w:rPr>
              <w:t>21</w:t>
            </w:r>
            <w:r>
              <w:rPr>
                <w:noProof/>
                <w:webHidden/>
                <w:sz w:val="24"/>
                <w:szCs w:val="24"/>
              </w:rPr>
              <w:fldChar w:fldCharType="end"/>
            </w:r>
          </w:hyperlink>
        </w:p>
        <w:p w14:paraId="5A920591" w14:textId="2F0464E1"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46" w:history="1">
            <w:r>
              <w:rPr>
                <w:rStyle w:val="Lienhypertexte"/>
                <w:noProof/>
                <w:sz w:val="24"/>
                <w:szCs w:val="24"/>
              </w:rPr>
              <w:t>B.10 Required EFI outputs</w:t>
            </w:r>
            <w:r>
              <w:rPr>
                <w:noProof/>
                <w:webHidden/>
                <w:sz w:val="24"/>
                <w:szCs w:val="24"/>
              </w:rPr>
              <w:tab/>
            </w:r>
            <w:r>
              <w:rPr>
                <w:noProof/>
                <w:webHidden/>
                <w:sz w:val="24"/>
                <w:szCs w:val="24"/>
              </w:rPr>
              <w:fldChar w:fldCharType="begin"/>
            </w:r>
            <w:r>
              <w:rPr>
                <w:noProof/>
                <w:webHidden/>
                <w:sz w:val="24"/>
                <w:szCs w:val="24"/>
              </w:rPr>
              <w:instrText xml:space="preserve"> PAGEREF _Toc235917346 \h </w:instrText>
            </w:r>
            <w:r>
              <w:rPr>
                <w:noProof/>
                <w:webHidden/>
                <w:sz w:val="24"/>
                <w:szCs w:val="24"/>
              </w:rPr>
            </w:r>
            <w:r>
              <w:rPr>
                <w:noProof/>
                <w:webHidden/>
                <w:sz w:val="24"/>
                <w:szCs w:val="24"/>
              </w:rPr>
              <w:fldChar w:fldCharType="separate"/>
            </w:r>
            <w:r>
              <w:rPr>
                <w:noProof/>
                <w:webHidden/>
                <w:sz w:val="24"/>
                <w:szCs w:val="24"/>
              </w:rPr>
              <w:t>22</w:t>
            </w:r>
            <w:r>
              <w:rPr>
                <w:noProof/>
                <w:webHidden/>
                <w:sz w:val="24"/>
                <w:szCs w:val="24"/>
              </w:rPr>
              <w:fldChar w:fldCharType="end"/>
            </w:r>
          </w:hyperlink>
        </w:p>
        <w:p w14:paraId="2EEC601F" w14:textId="2561F867" w:rsidR="00DE2DD4" w:rsidRPr="00997F2D" w:rsidRDefault="00DE2DD4">
          <w:pPr>
            <w:pStyle w:val="TM1"/>
            <w:tabs>
              <w:tab w:val="right" w:leader="dot" w:pos="9628"/>
            </w:tabs>
            <w:rPr>
              <w:rFonts w:asciiTheme="minorHAnsi" w:eastAsiaTheme="minorEastAsia" w:hAnsiTheme="minorHAnsi" w:cstheme="minorBidi"/>
              <w:noProof/>
              <w:kern w:val="2"/>
              <w:sz w:val="40"/>
              <w:szCs w:val="40"/>
              <w14:ligatures w14:val="standardContextual"/>
            </w:rPr>
          </w:pPr>
          <w:hyperlink w:anchor="_Toc235917347" w:history="1">
            <w:r>
              <w:rPr>
                <w:rStyle w:val="Lienhypertexte"/>
                <w:noProof/>
                <w:sz w:val="24"/>
                <w:szCs w:val="24"/>
              </w:rPr>
              <w:t>9. Appendix C — ABB.163-Derived Utility Reference Spectrum</w:t>
            </w:r>
            <w:r>
              <w:rPr>
                <w:noProof/>
                <w:webHidden/>
                <w:sz w:val="24"/>
                <w:szCs w:val="24"/>
              </w:rPr>
              <w:tab/>
            </w:r>
            <w:r>
              <w:rPr>
                <w:noProof/>
                <w:webHidden/>
                <w:sz w:val="24"/>
                <w:szCs w:val="24"/>
              </w:rPr>
              <w:fldChar w:fldCharType="begin"/>
            </w:r>
            <w:r>
              <w:rPr>
                <w:noProof/>
                <w:webHidden/>
                <w:sz w:val="24"/>
                <w:szCs w:val="24"/>
              </w:rPr>
              <w:instrText xml:space="preserve"> PAGEREF _Toc235917347 \h </w:instrText>
            </w:r>
            <w:r>
              <w:rPr>
                <w:noProof/>
                <w:webHidden/>
                <w:sz w:val="24"/>
                <w:szCs w:val="24"/>
              </w:rPr>
            </w:r>
            <w:r>
              <w:rPr>
                <w:noProof/>
                <w:webHidden/>
                <w:sz w:val="24"/>
                <w:szCs w:val="24"/>
              </w:rPr>
              <w:fldChar w:fldCharType="separate"/>
            </w:r>
            <w:r>
              <w:rPr>
                <w:noProof/>
                <w:webHidden/>
                <w:sz w:val="24"/>
                <w:szCs w:val="24"/>
              </w:rPr>
              <w:t>23</w:t>
            </w:r>
            <w:r>
              <w:rPr>
                <w:noProof/>
                <w:webHidden/>
                <w:sz w:val="24"/>
                <w:szCs w:val="24"/>
              </w:rPr>
              <w:fldChar w:fldCharType="end"/>
            </w:r>
          </w:hyperlink>
        </w:p>
        <w:p w14:paraId="3D3053F0" w14:textId="588288D6"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48" w:history="1">
            <w:r>
              <w:rPr>
                <w:rStyle w:val="Lienhypertexte"/>
                <w:noProof/>
                <w:sz w:val="24"/>
                <w:szCs w:val="24"/>
              </w:rPr>
              <w:t>C.1 Source material and import convention</w:t>
            </w:r>
            <w:r>
              <w:rPr>
                <w:noProof/>
                <w:webHidden/>
                <w:sz w:val="24"/>
                <w:szCs w:val="24"/>
              </w:rPr>
              <w:tab/>
            </w:r>
            <w:r>
              <w:rPr>
                <w:noProof/>
                <w:webHidden/>
                <w:sz w:val="24"/>
                <w:szCs w:val="24"/>
              </w:rPr>
              <w:fldChar w:fldCharType="begin"/>
            </w:r>
            <w:r>
              <w:rPr>
                <w:noProof/>
                <w:webHidden/>
                <w:sz w:val="24"/>
                <w:szCs w:val="24"/>
              </w:rPr>
              <w:instrText xml:space="preserve"> PAGEREF _Toc235917348 \h </w:instrText>
            </w:r>
            <w:r>
              <w:rPr>
                <w:noProof/>
                <w:webHidden/>
                <w:sz w:val="24"/>
                <w:szCs w:val="24"/>
              </w:rPr>
            </w:r>
            <w:r>
              <w:rPr>
                <w:noProof/>
                <w:webHidden/>
                <w:sz w:val="24"/>
                <w:szCs w:val="24"/>
              </w:rPr>
              <w:fldChar w:fldCharType="separate"/>
            </w:r>
            <w:r>
              <w:rPr>
                <w:noProof/>
                <w:webHidden/>
                <w:sz w:val="24"/>
                <w:szCs w:val="24"/>
              </w:rPr>
              <w:t>23</w:t>
            </w:r>
            <w:r>
              <w:rPr>
                <w:noProof/>
                <w:webHidden/>
                <w:sz w:val="24"/>
                <w:szCs w:val="24"/>
              </w:rPr>
              <w:fldChar w:fldCharType="end"/>
            </w:r>
          </w:hyperlink>
        </w:p>
        <w:p w14:paraId="0210ED64" w14:textId="7A386CED"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49" w:history="1">
            <w:r>
              <w:rPr>
                <w:rStyle w:val="Lienhypertexte"/>
                <w:noProof/>
                <w:sz w:val="24"/>
                <w:szCs w:val="24"/>
              </w:rPr>
              <w:t>C.2 Load-factor class scale</w:t>
            </w:r>
            <w:r>
              <w:rPr>
                <w:noProof/>
                <w:webHidden/>
                <w:sz w:val="24"/>
                <w:szCs w:val="24"/>
              </w:rPr>
              <w:tab/>
            </w:r>
            <w:r>
              <w:rPr>
                <w:noProof/>
                <w:webHidden/>
                <w:sz w:val="24"/>
                <w:szCs w:val="24"/>
              </w:rPr>
              <w:fldChar w:fldCharType="begin"/>
            </w:r>
            <w:r>
              <w:rPr>
                <w:noProof/>
                <w:webHidden/>
                <w:sz w:val="24"/>
                <w:szCs w:val="24"/>
              </w:rPr>
              <w:instrText xml:space="preserve"> PAGEREF _Toc235917349 \h </w:instrText>
            </w:r>
            <w:r>
              <w:rPr>
                <w:noProof/>
                <w:webHidden/>
                <w:sz w:val="24"/>
                <w:szCs w:val="24"/>
              </w:rPr>
            </w:r>
            <w:r>
              <w:rPr>
                <w:noProof/>
                <w:webHidden/>
                <w:sz w:val="24"/>
                <w:szCs w:val="24"/>
              </w:rPr>
              <w:fldChar w:fldCharType="separate"/>
            </w:r>
            <w:r>
              <w:rPr>
                <w:noProof/>
                <w:webHidden/>
                <w:sz w:val="24"/>
                <w:szCs w:val="24"/>
              </w:rPr>
              <w:t>23</w:t>
            </w:r>
            <w:r>
              <w:rPr>
                <w:noProof/>
                <w:webHidden/>
                <w:sz w:val="24"/>
                <w:szCs w:val="24"/>
              </w:rPr>
              <w:fldChar w:fldCharType="end"/>
            </w:r>
          </w:hyperlink>
        </w:p>
        <w:p w14:paraId="5E6FC894" w14:textId="61E5F54E"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50" w:history="1">
            <w:r>
              <w:rPr>
                <w:rStyle w:val="Lienhypertexte"/>
                <w:noProof/>
                <w:sz w:val="24"/>
                <w:szCs w:val="24"/>
              </w:rPr>
              <w:t>C.3 Generated ABB.163 Utility reference spectrum</w:t>
            </w:r>
            <w:r>
              <w:rPr>
                <w:noProof/>
                <w:webHidden/>
                <w:sz w:val="24"/>
                <w:szCs w:val="24"/>
              </w:rPr>
              <w:tab/>
            </w:r>
            <w:r>
              <w:rPr>
                <w:noProof/>
                <w:webHidden/>
                <w:sz w:val="24"/>
                <w:szCs w:val="24"/>
              </w:rPr>
              <w:fldChar w:fldCharType="begin"/>
            </w:r>
            <w:r>
              <w:rPr>
                <w:noProof/>
                <w:webHidden/>
                <w:sz w:val="24"/>
                <w:szCs w:val="24"/>
              </w:rPr>
              <w:instrText xml:space="preserve"> PAGEREF _Toc235917350 \h </w:instrText>
            </w:r>
            <w:r>
              <w:rPr>
                <w:noProof/>
                <w:webHidden/>
                <w:sz w:val="24"/>
                <w:szCs w:val="24"/>
              </w:rPr>
            </w:r>
            <w:r>
              <w:rPr>
                <w:noProof/>
                <w:webHidden/>
                <w:sz w:val="24"/>
                <w:szCs w:val="24"/>
              </w:rPr>
              <w:fldChar w:fldCharType="separate"/>
            </w:r>
            <w:r>
              <w:rPr>
                <w:noProof/>
                <w:webHidden/>
                <w:sz w:val="24"/>
                <w:szCs w:val="24"/>
              </w:rPr>
              <w:t>24</w:t>
            </w:r>
            <w:r>
              <w:rPr>
                <w:noProof/>
                <w:webHidden/>
                <w:sz w:val="24"/>
                <w:szCs w:val="24"/>
              </w:rPr>
              <w:fldChar w:fldCharType="end"/>
            </w:r>
          </w:hyperlink>
        </w:p>
        <w:p w14:paraId="016EB8E7" w14:textId="0A127F0B"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51" w:history="1">
            <w:r>
              <w:rPr>
                <w:rStyle w:val="Lienhypertexte"/>
                <w:noProof/>
                <w:sz w:val="24"/>
                <w:szCs w:val="24"/>
              </w:rPr>
              <w:t>C.4 Validation against ABB.164 by Kossira &amp; Reinke (K&amp;R) class</w:t>
            </w:r>
            <w:r>
              <w:rPr>
                <w:noProof/>
                <w:webHidden/>
                <w:sz w:val="24"/>
                <w:szCs w:val="24"/>
              </w:rPr>
              <w:tab/>
            </w:r>
            <w:r>
              <w:rPr>
                <w:noProof/>
                <w:webHidden/>
                <w:sz w:val="24"/>
                <w:szCs w:val="24"/>
              </w:rPr>
              <w:fldChar w:fldCharType="begin"/>
            </w:r>
            <w:r>
              <w:rPr>
                <w:noProof/>
                <w:webHidden/>
                <w:sz w:val="24"/>
                <w:szCs w:val="24"/>
              </w:rPr>
              <w:instrText xml:space="preserve"> PAGEREF _Toc235917351 \h </w:instrText>
            </w:r>
            <w:r>
              <w:rPr>
                <w:noProof/>
                <w:webHidden/>
                <w:sz w:val="24"/>
                <w:szCs w:val="24"/>
              </w:rPr>
            </w:r>
            <w:r>
              <w:rPr>
                <w:noProof/>
                <w:webHidden/>
                <w:sz w:val="24"/>
                <w:szCs w:val="24"/>
              </w:rPr>
              <w:fldChar w:fldCharType="separate"/>
            </w:r>
            <w:r>
              <w:rPr>
                <w:noProof/>
                <w:webHidden/>
                <w:sz w:val="24"/>
                <w:szCs w:val="24"/>
              </w:rPr>
              <w:t>25</w:t>
            </w:r>
            <w:r>
              <w:rPr>
                <w:noProof/>
                <w:webHidden/>
                <w:sz w:val="24"/>
                <w:szCs w:val="24"/>
              </w:rPr>
              <w:fldChar w:fldCharType="end"/>
            </w:r>
          </w:hyperlink>
        </w:p>
        <w:p w14:paraId="0FB825F3" w14:textId="629A56B4" w:rsidR="00DE2DD4" w:rsidRPr="00997F2D" w:rsidRDefault="00DE2DD4">
          <w:pPr>
            <w:pStyle w:val="TM2"/>
            <w:tabs>
              <w:tab w:val="right" w:leader="dot" w:pos="9628"/>
            </w:tabs>
            <w:rPr>
              <w:rFonts w:asciiTheme="minorHAnsi" w:eastAsiaTheme="minorEastAsia" w:hAnsiTheme="minorHAnsi" w:cstheme="minorBidi"/>
              <w:noProof/>
              <w:kern w:val="2"/>
              <w:sz w:val="40"/>
              <w:szCs w:val="40"/>
              <w14:ligatures w14:val="standardContextual"/>
            </w:rPr>
          </w:pPr>
          <w:hyperlink w:anchor="_Toc235917352" w:history="1">
            <w:r>
              <w:rPr>
                <w:rStyle w:val="Lienhypertexte"/>
                <w:noProof/>
                <w:sz w:val="24"/>
                <w:szCs w:val="24"/>
              </w:rPr>
              <w:t>C.5 Conclusion</w:t>
            </w:r>
            <w:r>
              <w:rPr>
                <w:noProof/>
                <w:webHidden/>
                <w:sz w:val="24"/>
                <w:szCs w:val="24"/>
              </w:rPr>
              <w:tab/>
            </w:r>
            <w:r>
              <w:rPr>
                <w:noProof/>
                <w:webHidden/>
                <w:sz w:val="24"/>
                <w:szCs w:val="24"/>
              </w:rPr>
              <w:fldChar w:fldCharType="begin"/>
            </w:r>
            <w:r>
              <w:rPr>
                <w:noProof/>
                <w:webHidden/>
                <w:sz w:val="24"/>
                <w:szCs w:val="24"/>
              </w:rPr>
              <w:instrText xml:space="preserve"> PAGEREF _Toc235917352 \h </w:instrText>
            </w:r>
            <w:r>
              <w:rPr>
                <w:noProof/>
                <w:webHidden/>
                <w:sz w:val="24"/>
                <w:szCs w:val="24"/>
              </w:rPr>
            </w:r>
            <w:r>
              <w:rPr>
                <w:noProof/>
                <w:webHidden/>
                <w:sz w:val="24"/>
                <w:szCs w:val="24"/>
              </w:rPr>
              <w:fldChar w:fldCharType="separate"/>
            </w:r>
            <w:r>
              <w:rPr>
                <w:noProof/>
                <w:webHidden/>
                <w:sz w:val="24"/>
                <w:szCs w:val="24"/>
              </w:rPr>
              <w:t>26</w:t>
            </w:r>
            <w:r>
              <w:rPr>
                <w:noProof/>
                <w:webHidden/>
                <w:sz w:val="24"/>
                <w:szCs w:val="24"/>
              </w:rPr>
              <w:fldChar w:fldCharType="end"/>
            </w:r>
          </w:hyperlink>
        </w:p>
        <w:p w14:paraId="26949F51" w14:textId="6BDAE6F4" w:rsidR="00DE2DD4" w:rsidRPr="00997F2D" w:rsidRDefault="00DE2DD4">
          <w:pPr>
            <w:pStyle w:val="TM1"/>
            <w:tabs>
              <w:tab w:val="right" w:leader="dot" w:pos="9628"/>
            </w:tabs>
            <w:rPr>
              <w:rFonts w:asciiTheme="minorHAnsi" w:eastAsiaTheme="minorEastAsia" w:hAnsiTheme="minorHAnsi" w:cstheme="minorBidi"/>
              <w:noProof/>
              <w:kern w:val="2"/>
              <w:sz w:val="40"/>
              <w:szCs w:val="40"/>
              <w14:ligatures w14:val="standardContextual"/>
            </w:rPr>
          </w:pPr>
          <w:hyperlink w:anchor="_Toc235917353" w:history="1">
            <w:r>
              <w:rPr>
                <w:rStyle w:val="Lienhypertexte"/>
                <w:noProof/>
                <w:sz w:val="24"/>
                <w:szCs w:val="24"/>
              </w:rPr>
              <w:t>10. References</w:t>
            </w:r>
            <w:r>
              <w:rPr>
                <w:noProof/>
                <w:webHidden/>
                <w:sz w:val="24"/>
                <w:szCs w:val="24"/>
              </w:rPr>
              <w:tab/>
            </w:r>
            <w:r>
              <w:rPr>
                <w:noProof/>
                <w:webHidden/>
                <w:sz w:val="24"/>
                <w:szCs w:val="24"/>
              </w:rPr>
              <w:fldChar w:fldCharType="begin"/>
            </w:r>
            <w:r>
              <w:rPr>
                <w:noProof/>
                <w:webHidden/>
                <w:sz w:val="24"/>
                <w:szCs w:val="24"/>
              </w:rPr>
              <w:instrText xml:space="preserve"> PAGEREF _Toc235917353 \h </w:instrText>
            </w:r>
            <w:r>
              <w:rPr>
                <w:noProof/>
                <w:webHidden/>
                <w:sz w:val="24"/>
                <w:szCs w:val="24"/>
              </w:rPr>
            </w:r>
            <w:r>
              <w:rPr>
                <w:noProof/>
                <w:webHidden/>
                <w:sz w:val="24"/>
                <w:szCs w:val="24"/>
              </w:rPr>
              <w:fldChar w:fldCharType="separate"/>
            </w:r>
            <w:r>
              <w:rPr>
                <w:noProof/>
                <w:webHidden/>
                <w:sz w:val="24"/>
                <w:szCs w:val="24"/>
              </w:rPr>
              <w:t>27</w:t>
            </w:r>
            <w:r>
              <w:rPr>
                <w:noProof/>
                <w:webHidden/>
                <w:sz w:val="24"/>
                <w:szCs w:val="24"/>
              </w:rPr>
              <w:fldChar w:fldCharType="end"/>
            </w:r>
          </w:hyperlink>
        </w:p>
        <w:p w14:paraId="2EB0A2B5" w14:textId="77777777" w:rsidR="009A78D5" w:rsidRDefault="00000000">
          <w:pPr>
            <w:pStyle w:val="TM1"/>
            <w:tabs>
              <w:tab w:val="right" w:leader="dot" w:pos="9637"/>
            </w:tabs>
          </w:pPr>
          <w:r>
            <w:rPr>
              <w:rStyle w:val="IndexLink"/>
            </w:rPr>
            <w:fldChar w:fldCharType="end"/>
          </w:r>
        </w:p>
      </w:sdtContent>
    </w:sdt>
    <w:p w14:paraId="495EC565" w14:textId="77777777" w:rsidR="009A78D5" w:rsidRPr="00FC5004" w:rsidRDefault="00000000">
      <w:pPr>
        <w:pStyle w:val="Titre1"/>
        <w:pageBreakBefore/>
        <w:rPr>
          <w:lang w:val="en-US"/>
        </w:rPr>
      </w:pPr>
      <w:bookmarkStart w:id="0" w:name="_Toc235917313"/>
      <w:r>
        <w:rPr>
          <w:lang w:val="en-US"/>
        </w:rPr>
        <w:lastRenderedPageBreak/>
        <w:t>1. Purpose and Scope</w:t>
      </w:r>
      <w:bookmarkEnd w:id="0"/>
    </w:p>
    <w:p w14:paraId="53C78865" w14:textId="77777777" w:rsidR="008B2183" w:rsidRPr="00DF4621" w:rsidRDefault="00DC36FD">
      <w:pPr>
        <w:pStyle w:val="Corpsdetexte"/>
        <w:rPr>
          <w:i/>
          <w:iCs/>
          <w:lang w:val="en-US"/>
        </w:rPr>
      </w:pPr>
      <w:r>
        <w:rPr>
          <w:i/>
          <w:iCs/>
          <w:lang w:val="en-US"/>
        </w:rPr>
        <w:t>In plain terms: SLM measures, from real flight data, how gently or how severely a glider has actually been flown, and compares that with the worst-case flying pattern assumed when the glider's Service Life Limit was originally certified. If the glider has genuinely been flown more gently than that worst case, continued operation beyond the Service Life Limit may be justified.</w:t>
      </w:r>
    </w:p>
    <w:p w14:paraId="53C78866" w14:textId="77777777" w:rsidR="008B2183" w:rsidRPr="00DF4621" w:rsidRDefault="00DC36FD">
      <w:pPr>
        <w:pStyle w:val="Corpsdetexte"/>
        <w:rPr>
          <w:lang w:val="en-US"/>
        </w:rPr>
      </w:pPr>
      <w:r>
        <w:rPr>
          <w:lang w:val="en-US"/>
        </w:rPr>
        <w:t>This document describes the methodology used to assess and justify extended operational life for composite gliders using Structural Life Monitoring (SLM). The method calculates an Equivalent Fatigue Index (EFI) from onboard acceleration measurements and compares the cumulative operational EFI with the reference EFI calculated from the Kossira &amp; Reinke Utility spectrum.</w:t>
      </w:r>
    </w:p>
    <w:p w14:paraId="28C884FA" w14:textId="77777777" w:rsidR="008B2183" w:rsidRPr="00DF4621" w:rsidRDefault="00000000">
      <w:pPr>
        <w:pStyle w:val="Corpsdetexte"/>
        <w:rPr>
          <w:lang w:val="en-US"/>
        </w:rPr>
      </w:pPr>
      <w:r>
        <w:rPr>
          <w:lang w:val="en-US"/>
        </w:rPr>
        <w:t xml:space="preserve">The methodology applies to composite gliders operated within the EASA CS-22 Utility-category flight envelope and for which an approved Service Life Limit, denoted </w:t>
      </w:r>
      <m:oMath>
        <m:r>
          <w:rPr>
            <w:rFonts w:ascii="Cambria Math" w:hAnsi="Cambria Math"/>
          </w:rPr>
          <m:t>L</m:t>
        </m:r>
      </m:oMath>
      <w:r>
        <w:rPr>
          <w:lang w:val="en-US"/>
        </w:rPr>
        <w:t>, has been established. Aerobatic-category operation and operation outside Utility-category limitations are outside the initial SLM scope.</w:t>
      </w:r>
    </w:p>
    <w:p w14:paraId="2FA22F15" w14:textId="77777777" w:rsidR="008B2183" w:rsidRPr="00DF4621" w:rsidRDefault="00000000">
      <w:pPr>
        <w:pStyle w:val="Corpsdetexte"/>
        <w:rPr>
          <w:lang w:val="en-US"/>
        </w:rPr>
      </w:pPr>
      <w:r>
        <w:rPr>
          <w:lang w:val="en-US"/>
        </w:rPr>
        <w:t>The numerical Utility reference spectrum used by the EFI calculation is generated from the published ABB.163 Utility Markov matrix using the Kossira &amp; Reinke Markov-matrix-to-occurrence-spectrum transformation. ABB.164 is used as the published graphical check showing that the ABB.163-derived spectrum reproduces the original Kossira &amp; Reinke Utility curve [2] [8].</w:t>
      </w:r>
    </w:p>
    <w:p w14:paraId="7BF4FE4F" w14:textId="77777777" w:rsidR="008B2183" w:rsidRPr="00DF4621" w:rsidRDefault="00000000">
      <w:pPr>
        <w:pStyle w:val="Corpsdetexte"/>
        <w:rPr>
          <w:lang w:val="en-US"/>
        </w:rPr>
      </w:pPr>
      <w:r>
        <w:rPr>
          <w:lang w:val="en-US"/>
        </w:rPr>
        <w:t>SLM does not seek to demonstrate additional intrinsic fatigue capability beyond that accepted during Type Certification. The original structural substantiation, including its assumptions, margins, inspections and conservatism, is not reopened or reinterpreted.</w:t>
      </w:r>
    </w:p>
    <w:p w14:paraId="00CD1A0F" w14:textId="77777777" w:rsidR="00F42440" w:rsidRDefault="00000000">
      <w:pPr>
        <w:pStyle w:val="Corpsdetexte"/>
        <w:rPr>
          <w:lang w:val="en-US"/>
        </w:rPr>
      </w:pPr>
      <w:r>
        <w:rPr>
          <w:lang w:val="en-US"/>
        </w:rPr>
        <w:t xml:space="preserve">SLM compares the cumulative equivalent fatigue exposure of the aircraft, expressed as EFI, with the reference EFI associated with the approved Service Life Limit </w:t>
      </w:r>
      <m:oMath>
        <m:r>
          <w:rPr>
            <w:rFonts w:ascii="Cambria Math" w:hAnsi="Cambria Math"/>
          </w:rPr>
          <m:t>L</m:t>
        </m:r>
      </m:oMath>
      <w:r>
        <w:rPr>
          <w:lang w:val="en-US"/>
        </w:rPr>
        <w:t xml:space="preserve">. </w:t>
      </w:r>
      <w:r>
        <w:t>This reference EFI is normalized to:</w:t>
      </w:r>
    </w:p>
    <w:p w14:paraId="576D6094" w14:textId="77777777" w:rsidR="00F42440" w:rsidRDefault="00000000">
      <w:pPr>
        <w:pStyle w:val="Corpsdetexte"/>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1</m:t>
          </m:r>
        </m:oMath>
      </m:oMathPara>
    </w:p>
    <w:p w14:paraId="1A1EF146" w14:textId="77777777" w:rsidR="00F42440" w:rsidRDefault="00000000">
      <w:pPr>
        <w:pStyle w:val="Corpsdetexte"/>
        <w:rPr>
          <w:lang w:val="en-US"/>
        </w:rPr>
      </w:pPr>
      <w:r>
        <w:rPr>
          <w:lang w:val="en-US"/>
        </w:rPr>
        <w:t xml:space="preserve">Continued operation beyond </w:t>
      </w:r>
      <m:oMath>
        <m:r>
          <w:rPr>
            <w:rFonts w:ascii="Cambria Math" w:hAnsi="Cambria Math"/>
          </w:rPr>
          <m:t>L</m:t>
        </m:r>
      </m:oMath>
      <w:r>
        <w:rPr>
          <w:lang w:val="en-US"/>
        </w:rPr>
        <w:t xml:space="preserve"> may be justified while the cumulative aircraft EFI remains below this reference value and the applicable continued-airworthiness provisions are satisfied.</w:t>
      </w:r>
    </w:p>
    <w:p w14:paraId="301AD1C3" w14:textId="77777777" w:rsidR="009A78D5" w:rsidRPr="00FC5004" w:rsidRDefault="00000000">
      <w:pPr>
        <w:pStyle w:val="Titre1"/>
        <w:pageBreakBefore/>
        <w:rPr>
          <w:lang w:val="en-US"/>
        </w:rPr>
      </w:pPr>
      <w:bookmarkStart w:id="1" w:name="_Toc235917314"/>
      <w:r>
        <w:rPr>
          <w:lang w:val="en-US"/>
        </w:rPr>
        <w:lastRenderedPageBreak/>
        <w:t>2. Regulatory Basis</w:t>
      </w:r>
      <w:bookmarkEnd w:id="1"/>
    </w:p>
    <w:p w14:paraId="0FEDFCAF" w14:textId="77777777" w:rsidR="008B2183" w:rsidRPr="00DF4621" w:rsidRDefault="00DC36FD">
      <w:pPr>
        <w:pStyle w:val="Corpsdetexte"/>
        <w:rPr>
          <w:lang w:val="en-US"/>
        </w:rPr>
      </w:pPr>
      <w:r>
        <w:rPr>
          <w:lang w:val="en-US"/>
        </w:rPr>
        <w:br/>
        <w:t>The method is consistent with the following regulatory framework:</w:t>
      </w:r>
    </w:p>
    <w:p w14:paraId="38038D0E" w14:textId="77777777" w:rsidR="008B2183" w:rsidRPr="00DF4621" w:rsidRDefault="00000000">
      <w:pPr>
        <w:pStyle w:val="Corpsdetexte"/>
        <w:rPr>
          <w:lang w:val="en-US"/>
        </w:rPr>
      </w:pPr>
      <w:r>
        <w:rPr>
          <w:b/>
          <w:bCs/>
          <w:lang w:val="en-US"/>
        </w:rPr>
        <w:t>CS 22.627 (Fatigue Strength)</w:t>
      </w:r>
      <w:r>
        <w:rPr>
          <w:lang w:val="en-US"/>
        </w:rPr>
        <w:t>: requires the structure, as far as practicable, to avoid stress concentrations where variable stresses above the fatigue limit are likely to occur in normal service. It does not establish a service-life substantiation method or a universal Service Life Limit.</w:t>
      </w:r>
    </w:p>
    <w:p w14:paraId="7B4736DC" w14:textId="77777777" w:rsidR="008B2183" w:rsidRPr="00DF4621" w:rsidRDefault="00000000">
      <w:pPr>
        <w:pStyle w:val="Corpsdetexte"/>
        <w:rPr>
          <w:lang w:val="en-US"/>
        </w:rPr>
      </w:pPr>
      <w:r>
        <w:rPr>
          <w:b/>
          <w:bCs/>
          <w:lang w:val="en-US"/>
        </w:rPr>
        <w:t>EASA CM-S-006</w:t>
      </w:r>
      <w:r>
        <w:rPr>
          <w:lang w:val="en-US"/>
        </w:rPr>
        <w:t>: recognizes the use of Kossira &amp; Reinke load spectra as a reference basis for fatigue analysis and testing of sailplanes.</w:t>
      </w:r>
    </w:p>
    <w:p w14:paraId="7610A1E3" w14:textId="77777777" w:rsidR="008B2183" w:rsidRPr="00DF4621" w:rsidRDefault="00000000">
      <w:pPr>
        <w:pStyle w:val="Corpsdetexte"/>
        <w:rPr>
          <w:lang w:val="en-US"/>
        </w:rPr>
      </w:pPr>
      <w:r>
        <w:rPr>
          <w:b/>
          <w:bCs/>
          <w:lang w:val="en-US"/>
        </w:rPr>
        <w:t>CS-STAN / Part ML</w:t>
      </w:r>
      <w:r>
        <w:rPr>
          <w:lang w:val="en-US"/>
        </w:rPr>
        <w:t>: governs installation of onboard recorders and maintenance requirements.</w:t>
      </w:r>
    </w:p>
    <w:p w14:paraId="771F66FD" w14:textId="77777777" w:rsidR="008B2183" w:rsidRPr="00DF4621" w:rsidRDefault="00000000">
      <w:pPr>
        <w:pStyle w:val="Corpsdetexte"/>
        <w:rPr>
          <w:lang w:val="en-US"/>
        </w:rPr>
      </w:pPr>
      <w:r>
        <w:rPr>
          <w:b/>
          <w:bCs/>
          <w:lang w:val="en-US"/>
        </w:rPr>
        <w:t>CS 22.1529 / CS 22.1585</w:t>
      </w:r>
      <w:r>
        <w:rPr>
          <w:lang w:val="en-US"/>
        </w:rPr>
        <w:t>: Instructions for Continued Airworthiness, flight and maintenance.</w:t>
      </w:r>
      <w:r>
        <w:rPr>
          <w:lang w:val="en-US"/>
        </w:rPr>
        <w:br/>
      </w:r>
    </w:p>
    <w:p w14:paraId="0ABEFCE9" w14:textId="77777777" w:rsidR="008B2183" w:rsidRPr="00DF4621" w:rsidRDefault="00000000">
      <w:pPr>
        <w:pStyle w:val="Corpsdetexte"/>
        <w:rPr>
          <w:lang w:val="en-US"/>
        </w:rPr>
      </w:pPr>
      <w:r>
        <w:rPr>
          <w:lang w:val="en-US"/>
        </w:rPr>
        <w:t xml:space="preserve">For the SLM method, </w:t>
      </w:r>
      <m:oMath>
        <m:r>
          <w:rPr>
            <w:rFonts w:ascii="Cambria Math" w:hAnsi="Cambria Math"/>
          </w:rPr>
          <m:t>L</m:t>
        </m:r>
      </m:oMath>
      <w:r>
        <w:rPr>
          <w:lang w:val="en-US"/>
        </w:rPr>
        <w:t xml:space="preserve"> is the Service Life Limit applicable to the aircraft under the approved type-design and continued-airworthiness data. SLM does not assume that one universal numerical life limit applies to all composite gliders.</w:t>
      </w:r>
    </w:p>
    <w:p w14:paraId="5BF93A01" w14:textId="77777777" w:rsidR="008B2183" w:rsidRPr="00DF4621" w:rsidRDefault="00000000">
      <w:pPr>
        <w:pStyle w:val="Corpsdetexte"/>
        <w:rPr>
          <w:lang w:val="en-US"/>
        </w:rPr>
      </w:pPr>
      <w:r>
        <w:rPr>
          <w:lang w:val="en-US"/>
        </w:rPr>
        <w:t>Different approaches have been used for the service-life justification of composite gliders, including full-scale fatigue testing and static overload testing. SLM proposes an additional measured-usage-based approach for ageing-glider life management. Its acceptability and associated substantiation requirements remain to be agreed with the competent authority through the applicable certification process.</w:t>
      </w:r>
    </w:p>
    <w:p w14:paraId="03331D85" w14:textId="77777777" w:rsidR="008B2183" w:rsidRPr="00DF4621" w:rsidRDefault="00000000">
      <w:pPr>
        <w:pStyle w:val="Corpsdetexte"/>
        <w:rPr>
          <w:lang w:val="en-US"/>
        </w:rPr>
      </w:pPr>
      <w:r>
        <w:rPr>
          <w:lang w:val="en-US"/>
        </w:rPr>
        <w:t>Similar measured usage principles have been used in aviation within structural health and usage monitoring programmes, including Individual Aircraft Tracking, particularly in military aviation. SLM does not attempt to reproduce those approaches directly or claim that they are directly transferable to gliders. The relevant precedent is the general principle that measured usage can be compared with a reference-usage assumption, provided the method is controlled, reproducible and supported by appropriate inspections.</w:t>
      </w:r>
    </w:p>
    <w:p w14:paraId="5B003308" w14:textId="77777777" w:rsidR="009A78D5" w:rsidRPr="00FC5004" w:rsidRDefault="00000000">
      <w:pPr>
        <w:pStyle w:val="Titre1"/>
        <w:pageBreakBefore/>
        <w:rPr>
          <w:lang w:val="en-US"/>
        </w:rPr>
      </w:pPr>
      <w:bookmarkStart w:id="2" w:name="_Toc235917315"/>
      <w:r>
        <w:rPr>
          <w:lang w:val="en-US"/>
        </w:rPr>
        <w:lastRenderedPageBreak/>
        <w:t>3. Key Principles</w:t>
      </w:r>
      <w:bookmarkEnd w:id="2"/>
    </w:p>
    <w:p w14:paraId="31B2B132" w14:textId="4E880189" w:rsidR="008B2183" w:rsidRPr="00DF4621" w:rsidRDefault="00997F2D">
      <w:pPr>
        <w:pStyle w:val="Corpsdetexte"/>
        <w:rPr>
          <w:lang w:val="en-US"/>
        </w:rPr>
      </w:pPr>
      <w:r>
        <w:rPr>
          <w:b/>
          <w:bCs/>
          <w:lang w:val="en-US"/>
        </w:rPr>
        <w:t>Service Life Limit and SLM reference-exposure limit</w:t>
      </w:r>
    </w:p>
    <w:p w14:paraId="2F449C3D" w14:textId="77777777" w:rsidR="008B2183" w:rsidRPr="00DF4621" w:rsidRDefault="00000000">
      <w:pPr>
        <w:pStyle w:val="Corpsdetexte"/>
        <w:rPr>
          <w:lang w:val="en-US"/>
        </w:rPr>
      </w:pPr>
      <w:r>
        <w:rPr>
          <w:lang w:val="en-US"/>
        </w:rPr>
        <w:t xml:space="preserve">For the aircraft under consideration, let </w:t>
      </w:r>
      <m:oMath>
        <m:r>
          <w:rPr>
            <w:rFonts w:ascii="Cambria Math" w:hAnsi="Cambria Math"/>
          </w:rPr>
          <m:t>L</m:t>
        </m:r>
      </m:oMath>
      <w:r>
        <w:rPr>
          <w:lang w:val="en-US"/>
        </w:rPr>
        <w:t xml:space="preserve"> be the approved Service Life Limit. This value has already been accepted through the applicable Type Certification substantiation, using whatever combination of test, analysis, assumptions, margins, conservatism and inspections was applicable.</w:t>
      </w:r>
    </w:p>
    <w:p w14:paraId="762A982A" w14:textId="77777777" w:rsidR="008B2183" w:rsidRPr="00DF4621" w:rsidRDefault="00000000">
      <w:pPr>
        <w:pStyle w:val="Corpsdetexte"/>
        <w:rPr>
          <w:lang w:val="en-US"/>
        </w:rPr>
      </w:pPr>
      <w:r>
        <w:rPr>
          <w:lang w:val="en-US"/>
        </w:rPr>
        <w:t xml:space="preserve">SLM does not attempt to reopen or reinterpret that substantiation. The only reference level required by SLM is the fatigue exposure associated with the approved reference spectrum over </w:t>
      </w:r>
      <m:oMath>
        <m:r>
          <w:rPr>
            <w:rFonts w:ascii="Cambria Math" w:hAnsi="Cambria Math"/>
          </w:rPr>
          <m:t>L</m:t>
        </m:r>
      </m:oMath>
      <w:r>
        <w:rPr>
          <w:lang w:val="en-US"/>
        </w:rPr>
        <w:t xml:space="preserve"> flight hours.</w:t>
      </w:r>
    </w:p>
    <w:p w14:paraId="5B1C7273" w14:textId="77777777" w:rsidR="008B2183" w:rsidRPr="00DF4621" w:rsidRDefault="00000000">
      <w:pPr>
        <w:pStyle w:val="Corpsdetexte"/>
        <w:rPr>
          <w:lang w:val="en-US"/>
        </w:rPr>
      </w:pPr>
      <w:r>
        <w:rPr>
          <w:lang w:val="en-US"/>
        </w:rPr>
        <w:t xml:space="preserve">EFI is used as a relative exposure index, not as a direct estimate of physical damage. Its absolute numerical normalization is therefore arbitrary, provided the same normalization is applied consistently to the reference and measured spectra. The approved reference exposure over </w:t>
      </w:r>
      <m:oMath>
        <m:r>
          <w:rPr>
            <w:rFonts w:ascii="Cambria Math" w:hAnsi="Cambria Math"/>
          </w:rPr>
          <m:t>L</m:t>
        </m:r>
      </m:oMath>
      <w:r>
        <w:rPr>
          <w:lang w:val="en-US"/>
        </w:rPr>
        <w:t xml:space="preserve"> is assigned an EFI value of unity:</w:t>
      </w:r>
    </w:p>
    <w:p w14:paraId="6D5F94E5" w14:textId="77777777" w:rsidR="008B2183" w:rsidRDefault="00000000">
      <w:pPr>
        <w:pStyle w:val="Corpsdetexte"/>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1</m:t>
          </m:r>
        </m:oMath>
      </m:oMathPara>
    </w:p>
    <w:p w14:paraId="06DFFD58" w14:textId="77777777" w:rsidR="008B2183" w:rsidRPr="00DF4621" w:rsidRDefault="00000000">
      <w:pPr>
        <w:pStyle w:val="Corpsdetexte"/>
        <w:rPr>
          <w:lang w:val="en-US"/>
        </w:rPr>
      </w:pPr>
      <w:r>
        <w:rPr>
          <w:lang w:val="en-US"/>
        </w:rPr>
        <w:t>Operational exposure is evaluated against that same reference level. It comprises the monitored EFI calculated from valid aerodynamic data and the unmonitored EFI assigned at the reference rate for periods not supported by valid aerodynamic measurements:</w:t>
      </w:r>
    </w:p>
    <w:p w14:paraId="5A06DF07" w14:textId="77777777" w:rsidR="008B2183"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EFI</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EFI</m:t>
              </m:r>
            </m:e>
            <m:sub>
              <m:r>
                <m:rPr>
                  <m:sty m:val="p"/>
                </m:rPr>
                <w:rPr>
                  <w:rFonts w:ascii="Cambria Math" w:hAnsi="Cambria Math"/>
                </w:rPr>
                <m:t>monitored</m:t>
              </m:r>
            </m:sub>
          </m:sSub>
          <m:r>
            <m:rPr>
              <m:sty m:val="p"/>
            </m:rPr>
            <w:rPr>
              <w:rFonts w:ascii="Cambria Math" w:hAnsi="Cambria Math"/>
            </w:rPr>
            <m:t>+</m:t>
          </m:r>
          <m:sSub>
            <m:sSubPr>
              <m:ctrlPr>
                <w:rPr>
                  <w:rFonts w:ascii="Cambria Math" w:hAnsi="Cambria Math"/>
                </w:rPr>
              </m:ctrlPr>
            </m:sSubPr>
            <m:e>
              <m:r>
                <w:rPr>
                  <w:rFonts w:ascii="Cambria Math" w:hAnsi="Cambria Math"/>
                </w:rPr>
                <m:t>EFI</m:t>
              </m:r>
            </m:e>
            <m:sub>
              <m:r>
                <m:rPr>
                  <m:sty m:val="p"/>
                </m:rPr>
                <w:rPr>
                  <w:rFonts w:ascii="Cambria Math" w:hAnsi="Cambria Math"/>
                </w:rPr>
                <m:t>unmonitored</m:t>
              </m:r>
            </m:sub>
          </m:sSub>
        </m:oMath>
      </m:oMathPara>
    </w:p>
    <w:p w14:paraId="54A6E303" w14:textId="77777777" w:rsidR="008B2183" w:rsidRPr="00DF4621" w:rsidRDefault="00000000">
      <w:pPr>
        <w:pStyle w:val="Corpsdetexte"/>
        <w:rPr>
          <w:lang w:val="en-US"/>
        </w:rPr>
      </w:pPr>
      <w:r>
        <w:rPr>
          <w:lang w:val="en-US"/>
        </w:rPr>
        <w:t>The allowable reference-exposure condition is:</w:t>
      </w:r>
    </w:p>
    <w:p w14:paraId="215FD145" w14:textId="77777777" w:rsidR="008B2183"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EFI</m:t>
              </m:r>
            </m:e>
            <m:sub>
              <m:r>
                <m:rPr>
                  <m:sty m:val="p"/>
                </m:rPr>
                <w:rPr>
                  <w:rFonts w:ascii="Cambria Math" w:hAnsi="Cambria Math"/>
                </w:rPr>
                <m:t>total</m:t>
              </m:r>
            </m:sub>
          </m:sSub>
          <m:r>
            <m:rPr>
              <m:sty m:val="p"/>
            </m:rPr>
            <w:rPr>
              <w:rFonts w:ascii="Cambria Math" w:hAnsi="Cambria Math"/>
            </w:rPr>
            <m:t>&lt;</m:t>
          </m:r>
          <m:sSub>
            <m:sSubPr>
              <m:ctrlPr>
                <w:rPr>
                  <w:rFonts w:ascii="Cambria Math" w:hAnsi="Cambria Math"/>
                </w:rPr>
              </m:ctrlPr>
            </m:sSubPr>
            <m:e>
              <m:r>
                <w:rPr>
                  <w:rFonts w:ascii="Cambria Math" w:hAnsi="Cambria Math"/>
                </w:rPr>
                <m:t>EFI</m:t>
              </m:r>
            </m:e>
            <m:sub>
              <m:r>
                <m:rPr>
                  <m:sty m:val="p"/>
                </m:rPr>
                <w:rPr>
                  <w:rFonts w:ascii="Cambria Math" w:hAnsi="Cambria Math"/>
                </w:rPr>
                <m:t>ref,L</m:t>
              </m:r>
            </m:sub>
          </m:sSub>
          <m:r>
            <m:rPr>
              <m:sty m:val="p"/>
            </m:rPr>
            <w:rPr>
              <w:rFonts w:ascii="Cambria Math" w:hAnsi="Cambria Math"/>
            </w:rPr>
            <m:t>=</m:t>
          </m:r>
          <m:r>
            <w:rPr>
              <w:rFonts w:ascii="Cambria Math" w:hAnsi="Cambria Math"/>
            </w:rPr>
            <m:t>1</m:t>
          </m:r>
        </m:oMath>
      </m:oMathPara>
    </w:p>
    <w:p w14:paraId="73EBFC1C" w14:textId="77777777" w:rsidR="008B2183" w:rsidRPr="00DF4621" w:rsidRDefault="00000000">
      <w:pPr>
        <w:pStyle w:val="Corpsdetexte"/>
        <w:rPr>
          <w:lang w:val="en-US"/>
        </w:rPr>
      </w:pPr>
      <w:r>
        <w:rPr>
          <w:lang w:val="en-US"/>
        </w:rPr>
        <w:t xml:space="preserve">This does not imply that the physical structure is expected to fail when </w:t>
      </w:r>
      <m:oMath>
        <m:r>
          <w:rPr>
            <w:rFonts w:ascii="Cambria Math" w:hAnsi="Cambria Math"/>
          </w:rPr>
          <m:t>EFI</m:t>
        </m:r>
        <m:r>
          <m:rPr>
            <m:sty m:val="p"/>
          </m:rPr>
          <w:rPr>
            <w:rFonts w:ascii="Cambria Math" w:hAnsi="Cambria Math"/>
            <w:lang w:val="en-US"/>
          </w:rPr>
          <m:t>=</m:t>
        </m:r>
        <m:r>
          <w:rPr>
            <w:rFonts w:ascii="Cambria Math" w:hAnsi="Cambria Math"/>
            <w:lang w:val="en-US"/>
          </w:rPr>
          <m:t>1</m:t>
        </m:r>
      </m:oMath>
      <w:r>
        <w:rPr>
          <w:lang w:val="en-US"/>
        </w:rPr>
        <w:t xml:space="preserve">, nor that the true accumulated material damage is known. It means only that the operational exposure calculated using the same counting method and fatigue-severity assumptions has not exceeded the approved reference exposure associated with </w:t>
      </w:r>
      <m:oMath>
        <m:r>
          <w:rPr>
            <w:rFonts w:ascii="Cambria Math" w:hAnsi="Cambria Math"/>
          </w:rPr>
          <m:t>L</m:t>
        </m:r>
      </m:oMath>
      <w:r>
        <w:rPr>
          <w:lang w:val="en-US"/>
        </w:rPr>
        <w:t>.</w:t>
      </w:r>
    </w:p>
    <w:p w14:paraId="3F33B948" w14:textId="77777777" w:rsidR="008B2183" w:rsidRPr="00DF4621" w:rsidRDefault="00000000">
      <w:pPr>
        <w:pStyle w:val="Corpsdetexte"/>
        <w:rPr>
          <w:lang w:val="en-US"/>
        </w:rPr>
      </w:pPr>
      <w:r>
        <w:rPr>
          <w:lang w:val="en-US"/>
        </w:rPr>
        <w:t xml:space="preserve">Any safety margin, test factor or other conservatism used in the original certification substantiation remains embedded in the approved value of </w:t>
      </w:r>
      <m:oMath>
        <m:r>
          <w:rPr>
            <w:rFonts w:ascii="Cambria Math" w:hAnsi="Cambria Math"/>
          </w:rPr>
          <m:t>L</m:t>
        </m:r>
      </m:oMath>
      <w:r>
        <w:rPr>
          <w:lang w:val="en-US"/>
        </w:rPr>
        <w:t>. SLM neither removes nor attempts to quantify that margin.</w:t>
      </w:r>
      <w:r>
        <w:rPr>
          <w:lang w:val="en-US"/>
        </w:rPr>
        <w:br/>
      </w:r>
    </w:p>
    <w:p w14:paraId="3E57C36B" w14:textId="77777777" w:rsidR="008B2183" w:rsidRPr="00DF4621" w:rsidRDefault="00000000">
      <w:pPr>
        <w:pStyle w:val="Corpsdetexte"/>
        <w:rPr>
          <w:lang w:val="en-US"/>
        </w:rPr>
      </w:pPr>
      <w:r>
        <w:rPr>
          <w:b/>
          <w:bCs/>
          <w:lang w:val="en-US"/>
        </w:rPr>
        <w:t>SLM as a reference-spectrum comparison method</w:t>
      </w:r>
    </w:p>
    <w:p w14:paraId="47F0A58E" w14:textId="77777777" w:rsidR="008B2183" w:rsidRPr="00DF4621" w:rsidRDefault="00000000">
      <w:pPr>
        <w:pStyle w:val="Corpsdetexte"/>
        <w:rPr>
          <w:lang w:val="en-US"/>
        </w:rPr>
      </w:pPr>
      <w:r>
        <w:rPr>
          <w:lang w:val="en-US"/>
        </w:rPr>
        <w:t>SLM is not certification by analysis and does not replace the structural substantiation performed during Type Certification. It does not attempt to determine the absolute fatigue life of a composite structure, identify the critical structural location, or predict the critical composite failure mode.</w:t>
      </w:r>
    </w:p>
    <w:p w14:paraId="760C0F93" w14:textId="77777777" w:rsidR="008B2183" w:rsidRPr="00DF4621" w:rsidRDefault="00000000">
      <w:pPr>
        <w:pStyle w:val="Corpsdetexte"/>
        <w:rPr>
          <w:lang w:val="en-US"/>
        </w:rPr>
      </w:pPr>
      <w:r>
        <w:rPr>
          <w:lang w:val="en-US"/>
        </w:rPr>
        <w:t xml:space="preserve">The method has a more limited objective: it uses the already accepted reference exposure over </w:t>
      </w:r>
      <m:oMath>
        <m:r>
          <w:rPr>
            <w:rFonts w:ascii="Cambria Math" w:hAnsi="Cambria Math"/>
          </w:rPr>
          <m:t>L</m:t>
        </m:r>
      </m:oMath>
      <w:r>
        <w:rPr>
          <w:lang w:val="en-US"/>
        </w:rPr>
        <w:t xml:space="preserve"> and compares it with the operational exposure of an individual glider. The Palmgren-Miner calculation is therefore used as an Equivalent Fatigue Index, calculated consistently for the reference spectrum and for the measured spectrum.</w:t>
      </w:r>
      <w:r>
        <w:rPr>
          <w:lang w:val="en-US"/>
        </w:rPr>
        <w:br/>
      </w:r>
    </w:p>
    <w:p w14:paraId="47BE762F" w14:textId="77777777" w:rsidR="008B2183" w:rsidRPr="00DF4621" w:rsidRDefault="00000000">
      <w:pPr>
        <w:pStyle w:val="Corpsdetexte"/>
        <w:rPr>
          <w:lang w:val="en-US"/>
        </w:rPr>
      </w:pPr>
      <w:r>
        <w:rPr>
          <w:b/>
          <w:bCs/>
          <w:lang w:val="en-US"/>
        </w:rPr>
        <w:t>Relationship between measured load factor and wing fatigue loading</w:t>
      </w:r>
    </w:p>
    <w:p w14:paraId="70C8C59C" w14:textId="77777777" w:rsidR="008B2183" w:rsidRPr="00DF4621" w:rsidRDefault="00000000">
      <w:pPr>
        <w:pStyle w:val="Corpsdetexte"/>
        <w:rPr>
          <w:lang w:val="en-US"/>
        </w:rPr>
      </w:pPr>
      <w:r>
        <w:rPr>
          <w:lang w:val="en-US"/>
        </w:rPr>
        <w:t xml:space="preserve">The recorder-measured vertical load factor </w:t>
      </w:r>
      <m:oMath>
        <m:sSub>
          <m:sSubPr>
            <m:ctrlPr>
              <w:rPr>
                <w:rFonts w:ascii="Cambria Math" w:hAnsi="Cambria Math"/>
              </w:rPr>
            </m:ctrlPr>
          </m:sSubPr>
          <m:e>
            <m:r>
              <w:rPr>
                <w:rFonts w:ascii="Cambria Math" w:hAnsi="Cambria Math"/>
              </w:rPr>
              <m:t>N</m:t>
            </m:r>
          </m:e>
          <m:sub>
            <m:r>
              <w:rPr>
                <w:rFonts w:ascii="Cambria Math" w:hAnsi="Cambria Math"/>
              </w:rPr>
              <m:t>z</m:t>
            </m:r>
          </m:sub>
        </m:sSub>
      </m:oMath>
      <w:r>
        <w:rPr>
          <w:lang w:val="en-US"/>
        </w:rPr>
        <w:t xml:space="preserve"> is used as the practical first-order input for reconstructing the operational load spectrum. It is a proxy for wing fatigue loading rather than a complete measurement of structural stress or wing-root bending moment.</w:t>
      </w:r>
    </w:p>
    <w:p w14:paraId="6151D806" w14:textId="77777777" w:rsidR="008B2183" w:rsidRPr="00DF4621" w:rsidRDefault="00000000">
      <w:pPr>
        <w:pStyle w:val="Corpsdetexte"/>
        <w:rPr>
          <w:lang w:val="en-US"/>
        </w:rPr>
      </w:pPr>
      <w:r>
        <w:rPr>
          <w:lang w:val="en-US"/>
        </w:rPr>
        <w:lastRenderedPageBreak/>
        <w:t xml:space="preserve">During aerodynamic flight, normalized wing-root bending moment and aircraft vertical load factor are closely related. However, the wing lift required to produce a given aircraft load factor can also be influenced by the tail force required to balance pitching moment. Because the tail aerodynamic force is normally small relative to the main-wing lift, its effect on wing loading is expected to be of secondary order. The effect is also not unidirectional: depending on the manoeuvre and pitching-moment balance, the tail force may require the wing to produce either more or less lift than would be inferred from </w:t>
      </w:r>
      <m:oMath>
        <m:sSub>
          <m:sSubPr>
            <m:ctrlPr>
              <w:rPr>
                <w:rFonts w:ascii="Cambria Math" w:hAnsi="Cambria Math"/>
              </w:rPr>
            </m:ctrlPr>
          </m:sSubPr>
          <m:e>
            <m:r>
              <w:rPr>
                <w:rFonts w:ascii="Cambria Math" w:hAnsi="Cambria Math"/>
              </w:rPr>
              <m:t>N</m:t>
            </m:r>
          </m:e>
          <m:sub>
            <m:r>
              <w:rPr>
                <w:rFonts w:ascii="Cambria Math" w:hAnsi="Cambria Math"/>
              </w:rPr>
              <m:t>z</m:t>
            </m:r>
          </m:sub>
        </m:sSub>
      </m:oMath>
      <w:r>
        <w:rPr>
          <w:lang w:val="en-US"/>
        </w:rPr>
        <w:t xml:space="preserve"> alone.</w:t>
      </w:r>
    </w:p>
    <w:p w14:paraId="1BD93CD1" w14:textId="77777777" w:rsidR="008B2183" w:rsidRPr="00DF4621" w:rsidRDefault="00000000">
      <w:pPr>
        <w:pStyle w:val="Corpsdetexte"/>
        <w:rPr>
          <w:lang w:val="en-US"/>
        </w:rPr>
      </w:pPr>
      <w:r>
        <w:rPr>
          <w:lang w:val="en-US"/>
        </w:rPr>
        <w:t xml:space="preserve">The present SLM methodology does not correct measured </w:t>
      </w:r>
      <m:oMath>
        <m:sSub>
          <m:sSubPr>
            <m:ctrlPr>
              <w:rPr>
                <w:rFonts w:ascii="Cambria Math" w:hAnsi="Cambria Math"/>
              </w:rPr>
            </m:ctrlPr>
          </m:sSubPr>
          <m:e>
            <m:r>
              <w:rPr>
                <w:rFonts w:ascii="Cambria Math" w:hAnsi="Cambria Math"/>
              </w:rPr>
              <m:t>N</m:t>
            </m:r>
          </m:e>
          <m:sub>
            <m:r>
              <m:rPr>
                <m:sty m:val="p"/>
              </m:rPr>
              <w:rPr>
                <w:rFonts w:ascii="Cambria Math" w:hAnsi="Cambria Math"/>
                <w:lang w:val="en-US"/>
              </w:rPr>
              <m:t>z</m:t>
            </m:r>
          </m:sub>
        </m:sSub>
      </m:oMath>
      <w:r>
        <w:rPr>
          <w:lang w:val="en-US"/>
        </w:rPr>
        <w:t xml:space="preserve"> for this effect. Under the adopted first-order model, a constant proportionality between load-factor amplitude and stress amplitude is absorbed in the common reference-versus-measured calculation and cancels in the life ratio. This cancellation does not remove uncertainty caused by condition-dependent effects such as tail balancing load.</w:t>
      </w:r>
    </w:p>
    <w:p w14:paraId="77FEE135" w14:textId="77777777" w:rsidR="008B2183" w:rsidRPr="00DF4621" w:rsidRDefault="00000000">
      <w:pPr>
        <w:pStyle w:val="Corpsdetexte"/>
        <w:rPr>
          <w:lang w:val="en-US"/>
        </w:rPr>
      </w:pPr>
      <w:r>
        <w:rPr>
          <w:lang w:val="en-US"/>
        </w:rPr>
        <w:t>The first-order relationship is applicable only during aerodynamic flight. It does not hold during non-aerodynamic phases such as takeoff roll, landing roll, or winch launch. These phases shall therefore be excluded from the measured aerodynamic spectrum. The measured Kossira &amp; Reinke occurrence spectrum is generated only from valid aerodynamic recording time. Periods excluded from the measured spectrum receive no measured-usage credit and are assigned EFI at the reference rate. The same treatment applies to time accumulated before valid SLM measurements begin and to missing or invalid data sequences.</w:t>
      </w:r>
      <w:r>
        <w:rPr>
          <w:lang w:val="en-US"/>
        </w:rPr>
        <w:br/>
      </w:r>
    </w:p>
    <w:p w14:paraId="0812B2CE" w14:textId="77777777" w:rsidR="008B2183" w:rsidRPr="00DF4621" w:rsidRDefault="00000000">
      <w:pPr>
        <w:pStyle w:val="Corpsdetexte"/>
        <w:rPr>
          <w:lang w:val="en-US"/>
        </w:rPr>
      </w:pPr>
      <w:r>
        <w:rPr>
          <w:b/>
          <w:bCs/>
          <w:lang w:val="en-US"/>
        </w:rPr>
        <w:t>High Cycle Fatigue regime</w:t>
      </w:r>
    </w:p>
    <w:p w14:paraId="506248C0" w14:textId="77777777" w:rsidR="008B2183" w:rsidRPr="00DF4621" w:rsidRDefault="00000000">
      <w:pPr>
        <w:pStyle w:val="Corpsdetexte"/>
        <w:rPr>
          <w:lang w:val="en-US"/>
        </w:rPr>
      </w:pPr>
      <w:r>
        <w:rPr>
          <w:lang w:val="en-US"/>
        </w:rPr>
        <w:t>Glider structures are designed so that operational stress levels remain well within the elastic domain of materials. The structure is therefore considered to operate in the High Cycle Fatigue (HCF) regime, which justifies the use of a Basquin-type S/N curve representation for the conservative EFI calculation used in this methodology.</w:t>
      </w:r>
    </w:p>
    <w:p w14:paraId="658DC544" w14:textId="77777777" w:rsidR="009A78D5" w:rsidRPr="00FC5004" w:rsidRDefault="00000000">
      <w:pPr>
        <w:pStyle w:val="Titre1"/>
        <w:pageBreakBefore/>
        <w:rPr>
          <w:lang w:val="en-US"/>
        </w:rPr>
      </w:pPr>
      <w:bookmarkStart w:id="3" w:name="_Toc235917316"/>
      <w:r>
        <w:rPr>
          <w:lang w:val="en-US"/>
        </w:rPr>
        <w:lastRenderedPageBreak/>
        <w:t>4. Methodology</w:t>
      </w:r>
      <w:bookmarkEnd w:id="3"/>
    </w:p>
    <w:p w14:paraId="0AD5A18A" w14:textId="77777777" w:rsidR="009A78D5" w:rsidRPr="00FC5004" w:rsidRDefault="00DC36FD">
      <w:pPr>
        <w:pStyle w:val="Titre2"/>
        <w:rPr>
          <w:lang w:val="en-US"/>
        </w:rPr>
      </w:pPr>
      <w:r>
        <w:rPr>
          <w:lang w:val="en-US"/>
        </w:rPr>
        <w:br/>
      </w:r>
      <w:bookmarkStart w:id="4" w:name="_Toc235917317"/>
      <w:r>
        <w:rPr>
          <w:lang w:val="en-US"/>
        </w:rPr>
        <w:t>4.1 Reference Load Spectrum</w:t>
      </w:r>
      <w:bookmarkEnd w:id="4"/>
    </w:p>
    <w:p w14:paraId="40A2EAD2" w14:textId="77777777" w:rsidR="008B2183" w:rsidRPr="00DF4621" w:rsidRDefault="00000000">
      <w:pPr>
        <w:pStyle w:val="Corpsdetexte"/>
        <w:rPr>
          <w:lang w:val="en-US"/>
        </w:rPr>
      </w:pPr>
      <w:r>
        <w:rPr>
          <w:lang w:val="en-US"/>
        </w:rPr>
        <w:t>The reference load spectrum used by the generic SLM methodology is the Kossira &amp; Reinke Utility spectrum [2][8]. EASA CM-S-006 recognizes the Kossira &amp; Reinke spectra as a reference basis for the fatigue analysis and testing of sailplanes. Their use therefore provides a legitimate common representation of glider operational usage for the reference-versus-measured comparison performed by SLM.</w:t>
      </w:r>
    </w:p>
    <w:p w14:paraId="45176343" w14:textId="77777777" w:rsidR="008B2183" w:rsidRPr="00DF4621" w:rsidRDefault="00000000">
      <w:pPr>
        <w:pStyle w:val="Corpsdetexte"/>
        <w:rPr>
          <w:lang w:val="en-US"/>
        </w:rPr>
      </w:pPr>
      <w:r>
        <w:rPr>
          <w:lang w:val="en-US"/>
        </w:rPr>
        <w:t>In the original Kossira work, the spectrum parameter is the normalized wing-root bending moment:</w:t>
      </w:r>
    </w:p>
    <w:p w14:paraId="2D47ED8A" w14:textId="77777777" w:rsidR="008B2183" w:rsidRPr="00DF4621" w:rsidRDefault="00000000">
      <w:pPr>
        <w:pStyle w:val="Corpsdetexte"/>
        <w:jc w:val="center"/>
        <w:rPr>
          <w:lang w:val="en-US"/>
        </w:rPr>
      </w:pPr>
      <m:oMathPara>
        <m:oMathParaPr>
          <m:jc m:val="center"/>
        </m:oMathParaPr>
        <m:oMath>
          <m:r>
            <w:rPr>
              <w:rFonts w:ascii="Cambria Math" w:hAnsi="Cambria Math"/>
            </w:rPr>
            <m:t>n</m:t>
          </m:r>
          <m:r>
            <m:rPr>
              <m:sty m:val="p"/>
            </m:rP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br</m:t>
                  </m:r>
                </m:sub>
              </m:sSub>
            </m:num>
            <m:den>
              <m:sSub>
                <m:sSubPr>
                  <m:ctrlPr>
                    <w:rPr>
                      <w:rFonts w:ascii="Cambria Math" w:hAnsi="Cambria Math"/>
                    </w:rPr>
                  </m:ctrlPr>
                </m:sSubPr>
                <m:e>
                  <m:r>
                    <w:rPr>
                      <w:rFonts w:ascii="Cambria Math" w:hAnsi="Cambria Math"/>
                    </w:rPr>
                    <m:t>M</m:t>
                  </m:r>
                </m:e>
                <m:sub>
                  <m:r>
                    <w:rPr>
                      <w:rFonts w:ascii="Cambria Math" w:hAnsi="Cambria Math"/>
                    </w:rPr>
                    <m:t>br</m:t>
                  </m:r>
                  <m:r>
                    <m:rPr>
                      <m:sty m:val="p"/>
                    </m:rPr>
                    <w:rPr>
                      <w:rFonts w:ascii="Cambria Math" w:hAnsi="Cambria Math"/>
                      <w:lang w:val="en-US"/>
                    </w:rPr>
                    <m:t>,</m:t>
                  </m:r>
                  <m:r>
                    <w:rPr>
                      <w:rFonts w:ascii="Cambria Math" w:hAnsi="Cambria Math"/>
                      <w:lang w:val="en-US"/>
                    </w:rPr>
                    <m:t> 1</m:t>
                  </m:r>
                  <m:r>
                    <w:rPr>
                      <w:rFonts w:ascii="Cambria Math" w:hAnsi="Cambria Math"/>
                    </w:rPr>
                    <m:t>g</m:t>
                  </m:r>
                  <m:r>
                    <m:rPr>
                      <m:nor/>
                    </m:rPr>
                    <w:rPr>
                      <w:lang w:val="en-US"/>
                    </w:rPr>
                    <m:t>-flight</m:t>
                  </m:r>
                </m:sub>
              </m:sSub>
            </m:den>
          </m:f>
        </m:oMath>
      </m:oMathPara>
    </w:p>
    <w:p w14:paraId="3B7085B3" w14:textId="77777777" w:rsidR="008B2183" w:rsidRPr="00DF4621" w:rsidRDefault="00000000">
      <w:pPr>
        <w:pStyle w:val="Corpsdetexte"/>
        <w:rPr>
          <w:lang w:val="en-US"/>
        </w:rPr>
      </w:pPr>
      <w:r>
        <w:rPr>
          <w:lang w:val="en-US"/>
        </w:rPr>
        <w:t xml:space="preserve">where </w:t>
      </w:r>
      <m:oMath>
        <m:sSub>
          <m:sSubPr>
            <m:ctrlPr>
              <w:rPr>
                <w:rFonts w:ascii="Cambria Math" w:hAnsi="Cambria Math"/>
              </w:rPr>
            </m:ctrlPr>
          </m:sSubPr>
          <m:e>
            <m:r>
              <w:rPr>
                <w:rFonts w:ascii="Cambria Math" w:hAnsi="Cambria Math"/>
              </w:rPr>
              <m:t>M</m:t>
            </m:r>
          </m:e>
          <m:sub>
            <m:r>
              <m:rPr>
                <m:sty m:val="p"/>
              </m:rPr>
              <w:rPr>
                <w:rFonts w:ascii="Cambria Math" w:hAnsi="Cambria Math"/>
                <w:lang w:val="en-US"/>
              </w:rPr>
              <m:t>br, 1g-flight</m:t>
            </m:r>
          </m:sub>
        </m:sSub>
      </m:oMath>
      <w:r>
        <w:rPr>
          <w:lang w:val="en-US"/>
        </w:rPr>
        <w:t xml:space="preserve"> is the wing-root bending moment during steady 1g flight. During normal aerodynamic flight, this normalized bending-moment parameter is approximately represented by the aircraft vertical load factor </w:t>
      </w:r>
      <m:oMath>
        <m:sSub>
          <m:sSubPr>
            <m:ctrlPr>
              <w:rPr>
                <w:rFonts w:ascii="Cambria Math" w:hAnsi="Cambria Math"/>
              </w:rPr>
            </m:ctrlPr>
          </m:sSubPr>
          <m:e>
            <m:r>
              <w:rPr>
                <w:rFonts w:ascii="Cambria Math" w:hAnsi="Cambria Math"/>
              </w:rPr>
              <m:t>N</m:t>
            </m:r>
          </m:e>
          <m:sub>
            <m:r>
              <m:rPr>
                <m:sty m:val="p"/>
              </m:rPr>
              <w:rPr>
                <w:rFonts w:ascii="Cambria Math" w:hAnsi="Cambria Math"/>
                <w:lang w:val="en-US"/>
              </w:rPr>
              <m:t>z</m:t>
            </m:r>
          </m:sub>
        </m:sSub>
      </m:oMath>
      <w:r>
        <w:rPr>
          <w:lang w:val="en-US"/>
        </w:rPr>
        <w:t xml:space="preserve">. The SLM methodology therefore uses measured </w:t>
      </w:r>
      <m:oMath>
        <m:sSub>
          <m:sSubPr>
            <m:ctrlPr>
              <w:rPr>
                <w:rFonts w:ascii="Cambria Math" w:hAnsi="Cambria Math"/>
              </w:rPr>
            </m:ctrlPr>
          </m:sSubPr>
          <m:e>
            <m:r>
              <w:rPr>
                <w:rFonts w:ascii="Cambria Math" w:hAnsi="Cambria Math"/>
              </w:rPr>
              <m:t>N</m:t>
            </m:r>
          </m:e>
          <m:sub>
            <m:r>
              <m:rPr>
                <m:sty m:val="p"/>
              </m:rPr>
              <w:rPr>
                <w:rFonts w:ascii="Cambria Math" w:hAnsi="Cambria Math"/>
                <w:lang w:val="en-US"/>
              </w:rPr>
              <m:t>z</m:t>
            </m:r>
          </m:sub>
        </m:sSub>
      </m:oMath>
      <w:r>
        <w:rPr>
          <w:lang w:val="en-US"/>
        </w:rPr>
        <w:t xml:space="preserve"> as the practical equivalent parameter for reconstructing the operational spectrum.</w:t>
      </w:r>
    </w:p>
    <w:p w14:paraId="66C5F134" w14:textId="77777777" w:rsidR="008B2183" w:rsidRPr="00DF4621" w:rsidRDefault="00000000">
      <w:pPr>
        <w:pStyle w:val="Corpsdetexte"/>
        <w:rPr>
          <w:lang w:val="en-US"/>
        </w:rPr>
      </w:pPr>
      <w:r>
        <w:rPr>
          <w:lang w:val="en-US"/>
        </w:rPr>
        <w:t>The Kossira &amp; Reinke spectrum was derived from measured glider operations and subsequently extrapolated to establish an envelope-covering reference spectrum. Figure 12 of Kossira [2] shows that the resulting cumulative-frequency distribution is broadly comparable with the Thielemann/Franzmeyer load spectrum over most of the normalized-load range.</w:t>
      </w:r>
    </w:p>
    <w:p w14:paraId="52C3352D" w14:textId="77777777" w:rsidR="008B2183" w:rsidRPr="00DF4621" w:rsidRDefault="00000000">
      <w:pPr>
        <w:pStyle w:val="Corpsdetexte"/>
        <w:rPr>
          <w:lang w:val="en-US"/>
        </w:rPr>
      </w:pPr>
      <w:r>
        <w:rPr>
          <w:lang w:val="en-US"/>
        </w:rPr>
        <w:t xml:space="preserve">The extrapolation method nevertheless tends to slightly increase the cumulative number of occurrences in the extreme positive-load region, particularly above approximately </w:t>
      </w:r>
      <m:oMath>
        <m:r>
          <w:rPr>
            <w:rFonts w:ascii="Cambria Math" w:hAnsi="Cambria Math"/>
          </w:rPr>
          <m:t>n</m:t>
        </m:r>
        <m:r>
          <m:rPr>
            <m:sty m:val="p"/>
          </m:rPr>
          <w:rPr>
            <w:rFonts w:ascii="Cambria Math" w:hAnsi="Cambria Math"/>
            <w:lang w:val="en-US"/>
          </w:rPr>
          <m:t>=</m:t>
        </m:r>
        <m:r>
          <w:rPr>
            <w:rFonts w:ascii="Cambria Math" w:hAnsi="Cambria Math"/>
            <w:lang w:val="en-US"/>
          </w:rPr>
          <m:t>5</m:t>
        </m:r>
      </m:oMath>
      <w:r>
        <w:rPr>
          <w:lang w:val="en-US"/>
        </w:rPr>
        <w:t>, and to extend the upper end of the spectrum. The absolute occurrence counts in this region are very low. This characteristic is acknowledged as part of the construction of the Kossira &amp; Reinke reference spectrum and does not alter the rationale for its use by SLM.</w:t>
      </w:r>
    </w:p>
    <w:p w14:paraId="25DBDEA9" w14:textId="77777777" w:rsidR="008B2183" w:rsidRPr="00DF4621" w:rsidRDefault="00000000">
      <w:pPr>
        <w:pStyle w:val="Corpsdetexte"/>
        <w:rPr>
          <w:lang w:val="en-US"/>
        </w:rPr>
      </w:pPr>
      <w:r>
        <w:rPr>
          <w:lang w:val="en-US"/>
        </w:rPr>
        <w:t>The spectrum remains an EASA-recognized, documented and reproducible reference representation of glider usage. SLM therefore retains the published Utility spectrum without adjustment and applies equivalent Kossira &amp; Reinke counting rules, class definitions and Markov-matrix processing to the reference and measured operational data.</w:t>
      </w:r>
    </w:p>
    <w:p w14:paraId="7EF9AEAA" w14:textId="77777777" w:rsidR="008B2183" w:rsidRPr="00DF4621" w:rsidRDefault="00000000">
      <w:pPr>
        <w:pStyle w:val="Corpsdetexte"/>
        <w:rPr>
          <w:lang w:val="en-US"/>
        </w:rPr>
      </w:pPr>
      <w:r>
        <w:rPr>
          <w:lang w:val="en-US"/>
        </w:rPr>
        <w:t>For the approved SLM calculation package, the Utility reference occurrence table shall be generated from the published ABB.163 Utility Markov matrix using the controlled transformation defined in Appendix A.8. This ABB.163-derived occurrence table is the operational reference input for EFI.</w:t>
      </w:r>
    </w:p>
    <w:p w14:paraId="4BAEB594" w14:textId="77777777" w:rsidR="008B2183" w:rsidRPr="00DF4621" w:rsidRDefault="00000000">
      <w:pPr>
        <w:pStyle w:val="Corpsdetexte"/>
        <w:rPr>
          <w:lang w:val="en-US"/>
        </w:rPr>
      </w:pPr>
      <w:r>
        <w:rPr>
          <w:lang w:val="en-US"/>
        </w:rPr>
        <w:t>The ABB.163-derived table is verified against ABB.164, which provides the original published graphical occurrence curve. ABB.164 is not used as a digitized numerical reference table.</w:t>
      </w:r>
    </w:p>
    <w:p w14:paraId="0878D87E" w14:textId="77777777" w:rsidR="008B2183" w:rsidRPr="00DF4621" w:rsidRDefault="00000000">
      <w:pPr>
        <w:pStyle w:val="Corpsdetexte"/>
        <w:rPr>
          <w:lang w:val="en-US"/>
        </w:rPr>
      </w:pPr>
      <w:r>
        <w:rPr>
          <w:lang w:val="en-US"/>
        </w:rPr>
        <w:t xml:space="preserve">The reference occurrence table is normalized to 6,000 flight hours. For calibration of the SLM reference exposure, the reference occurrences are scaled continuously to the applicable Service Life Limit </w:t>
      </w:r>
      <m:oMath>
        <m:r>
          <w:rPr>
            <w:rFonts w:ascii="Cambria Math" w:hAnsi="Cambria Math"/>
          </w:rPr>
          <m:t>L</m:t>
        </m:r>
      </m:oMath>
      <w:r>
        <w:rPr>
          <w:lang w:val="en-US"/>
        </w:rPr>
        <w:t>.</w:t>
      </w:r>
    </w:p>
    <w:p w14:paraId="1F161891" w14:textId="77777777" w:rsidR="008B2183" w:rsidRPr="00DF4621" w:rsidRDefault="00000000">
      <w:pPr>
        <w:pStyle w:val="Corpsdetexte"/>
        <w:rPr>
          <w:lang w:val="en-US"/>
        </w:rPr>
      </w:pPr>
      <w:r>
        <w:rPr>
          <w:lang w:val="en-US"/>
        </w:rPr>
        <w:t xml:space="preserve">The ABB.163-derived Utility spectrum is used to normalize the reference exposure over </w:t>
      </w:r>
      <m:oMath>
        <m:r>
          <w:rPr>
            <w:rFonts w:ascii="Cambria Math" w:hAnsi="Cambria Math"/>
          </w:rPr>
          <m:t>L</m:t>
        </m:r>
      </m:oMath>
      <w:r>
        <w:rPr>
          <w:lang w:val="en-US"/>
        </w:rPr>
        <w:t xml:space="preserve">, to calculate the reference EFI over durations matched to the measured data, and to define the </w:t>
      </w:r>
      <w:r>
        <w:rPr>
          <w:lang w:val="en-US"/>
        </w:rPr>
        <w:lastRenderedPageBreak/>
        <w:t>reference EFI rate applied to periods not supported by valid aerodynamic measurements.</w:t>
      </w:r>
      <w:r>
        <w:rPr>
          <w:lang w:val="en-US"/>
        </w:rPr>
        <w:br/>
      </w:r>
    </w:p>
    <w:p w14:paraId="2DB92E65" w14:textId="77777777" w:rsidR="009A78D5" w:rsidRPr="00FC5004" w:rsidRDefault="00000000">
      <w:pPr>
        <w:pStyle w:val="Titre2"/>
        <w:rPr>
          <w:lang w:val="en-US"/>
        </w:rPr>
      </w:pPr>
      <w:bookmarkStart w:id="5" w:name="_Toc235917318"/>
      <w:r>
        <w:rPr>
          <w:lang w:val="en-US"/>
        </w:rPr>
        <w:t>4.2 Real Load Spectrum Acquisition</w:t>
      </w:r>
      <w:bookmarkEnd w:id="5"/>
    </w:p>
    <w:p w14:paraId="3435A99D" w14:textId="3AD9FC39" w:rsidR="009A78D5" w:rsidRPr="00FC5004" w:rsidRDefault="00DC36FD">
      <w:pPr>
        <w:rPr>
          <w:lang w:val="en-US"/>
        </w:rPr>
      </w:pPr>
      <w:r>
        <w:rPr>
          <w:lang w:val="en-US"/>
        </w:rPr>
        <w:t xml:space="preserve">The vertical load factor </w:t>
      </w:r>
      <m:oMath>
        <m:sSub>
          <m:sSubPr>
            <m:ctrlPr>
              <w:rPr>
                <w:rFonts w:ascii="Cambria Math" w:hAnsi="Cambria Math"/>
              </w:rPr>
            </m:ctrlPr>
          </m:sSubPr>
          <m:e>
            <m:r>
              <w:rPr>
                <w:rFonts w:ascii="Cambria Math" w:hAnsi="Cambria Math"/>
              </w:rPr>
              <m:t>N</m:t>
            </m:r>
          </m:e>
          <m:sub>
            <m:r>
              <w:rPr>
                <w:rFonts w:ascii="Cambria Math" w:hAnsi="Cambria Math"/>
              </w:rPr>
              <m:t>z</m:t>
            </m:r>
          </m:sub>
        </m:sSub>
      </m:oMath>
      <w:r>
        <w:rPr>
          <w:lang w:val="en-US"/>
        </w:rPr>
        <w:t xml:space="preserve"> is recorded continuously during flight using a tri-axial accelerometer located as close as possible to the Center of Gravity, in a rigid area near the wing spar. Proximity to the CG minimizes contamination from centripetal accelerations during attitude changes, while a rigid mounting area avoids local structural flexibility corrupting the measurement. Atmospheric turbulence and trajectory induce load variations at relatively low frequency, typically below 10 Hz (CS 22.341).</w:t>
      </w:r>
    </w:p>
    <w:p w14:paraId="09B8CC79" w14:textId="77777777" w:rsidR="009A78D5" w:rsidRPr="00FC5004" w:rsidRDefault="00000000">
      <w:pPr>
        <w:pStyle w:val="Corpsdetexte"/>
        <w:rPr>
          <w:lang w:val="en-US"/>
        </w:rPr>
      </w:pPr>
      <w:r>
        <w:rPr>
          <w:lang w:val="en-US"/>
        </w:rPr>
        <w:t>Accelerometer requirements:</w:t>
      </w:r>
    </w:p>
    <w:p w14:paraId="1188E8AB" w14:textId="77777777" w:rsidR="009A78D5" w:rsidRPr="00DC36FD" w:rsidRDefault="00000000" w:rsidP="00DC36FD">
      <w:pPr>
        <w:pStyle w:val="Paragraphedeliste"/>
        <w:numPr>
          <w:ilvl w:val="0"/>
          <w:numId w:val="1"/>
        </w:numPr>
        <w:rPr>
          <w:lang w:val="en-US"/>
        </w:rPr>
      </w:pPr>
      <w:r>
        <w:rPr>
          <w:lang w:val="en-US"/>
        </w:rPr>
        <w:t>Minimum sampling rate: 20 Hz</w:t>
      </w:r>
    </w:p>
    <w:p w14:paraId="4C52B020" w14:textId="77777777" w:rsidR="009A78D5" w:rsidRPr="00DC36FD" w:rsidRDefault="00000000" w:rsidP="00DC36FD">
      <w:pPr>
        <w:pStyle w:val="Paragraphedeliste"/>
        <w:numPr>
          <w:ilvl w:val="0"/>
          <w:numId w:val="1"/>
        </w:numPr>
        <w:rPr>
          <w:lang w:val="en-US"/>
        </w:rPr>
      </w:pPr>
      <w:r>
        <w:rPr>
          <w:lang w:val="en-US"/>
        </w:rPr>
        <w:t>6-face calibration (using gravity as a reference) at each annual inspection to ensure recorder performance</w:t>
      </w:r>
    </w:p>
    <w:p w14:paraId="1B3BAAD2" w14:textId="77777777" w:rsidR="009A78D5" w:rsidRPr="00DC36FD" w:rsidRDefault="00000000" w:rsidP="00DC36FD">
      <w:pPr>
        <w:pStyle w:val="Paragraphedeliste"/>
        <w:numPr>
          <w:ilvl w:val="0"/>
          <w:numId w:val="1"/>
        </w:numPr>
        <w:rPr>
          <w:lang w:val="en-US"/>
        </w:rPr>
      </w:pPr>
      <w:r>
        <w:rPr>
          <w:lang w:val="en-US"/>
        </w:rPr>
        <w:t>Installation calibration with the glider in level-flight attitude and wings level, so that the recorder-corrected vertical axis is aligned with the gravity vector in the reference flight attitude</w:t>
      </w:r>
    </w:p>
    <w:p w14:paraId="5B15030B" w14:textId="77777777" w:rsidR="009A78D5" w:rsidRPr="00DC36FD" w:rsidRDefault="00000000" w:rsidP="00DC36FD">
      <w:pPr>
        <w:pStyle w:val="Paragraphedeliste"/>
        <w:numPr>
          <w:ilvl w:val="0"/>
          <w:numId w:val="1"/>
        </w:numPr>
        <w:rPr>
          <w:lang w:val="en-US"/>
        </w:rPr>
      </w:pPr>
      <w:r>
        <w:rPr>
          <w:lang w:val="en-US"/>
        </w:rPr>
        <w:t>Data is stored on onboard electronic memory and uploaded to a central repository.</w:t>
      </w:r>
      <w:r>
        <w:rPr>
          <w:lang w:val="en-US"/>
        </w:rPr>
        <w:br/>
      </w:r>
    </w:p>
    <w:p w14:paraId="5022A525" w14:textId="77777777" w:rsidR="009A78D5" w:rsidRPr="00FC5004" w:rsidRDefault="00000000">
      <w:pPr>
        <w:pStyle w:val="Corpsdetexte"/>
        <w:rPr>
          <w:lang w:val="en-US"/>
        </w:rPr>
      </w:pPr>
      <w:r>
        <w:rPr>
          <w:b/>
          <w:lang w:val="en-US"/>
        </w:rPr>
        <w:t>Non-flight phases.</w:t>
      </w:r>
      <w:r>
        <w:rPr>
          <w:lang w:val="en-US"/>
        </w:rPr>
        <w:t xml:space="preserve"> During takeoff roll, landing roll, winch launch, and any other phase dominated by non-aerodynamic forces, the proportionality between vertical load factor and structural stress no longer holds. The accelerometer signal from these sequences shall therefore not be used to build the real aerodynamic load spectrum. These phases receive no measured-usage credit and their duration is assigned EFI at the reference rate.</w:t>
      </w:r>
      <w:r>
        <w:rPr>
          <w:lang w:val="en-US"/>
        </w:rPr>
        <w:br/>
      </w:r>
    </w:p>
    <w:p w14:paraId="5C2668B6" w14:textId="77777777" w:rsidR="009A78D5" w:rsidRPr="00FC5004" w:rsidRDefault="00000000">
      <w:pPr>
        <w:pStyle w:val="Titre2"/>
        <w:rPr>
          <w:lang w:val="en-US"/>
        </w:rPr>
      </w:pPr>
      <w:bookmarkStart w:id="6" w:name="_Toc235917319"/>
      <w:r>
        <w:rPr>
          <w:lang w:val="en-US"/>
        </w:rPr>
        <w:t>4.3 Load Spectrum Processing — Kossira &amp; Reinke Counting Method</w:t>
      </w:r>
      <w:bookmarkEnd w:id="6"/>
    </w:p>
    <w:p w14:paraId="488BFA04" w14:textId="52AFBC5C" w:rsidR="008B2183" w:rsidRPr="00DF4621" w:rsidRDefault="00A35C65">
      <w:pPr>
        <w:pStyle w:val="Corpsdetexte"/>
        <w:rPr>
          <w:lang w:val="en-US"/>
        </w:rPr>
      </w:pPr>
      <w:r>
        <w:rPr>
          <w:lang w:val="en-US"/>
        </w:rPr>
        <w:t>Real measured spectra are generated using the Kossira &amp; Reinke counting method [2][8]. The same class table, filtering rule, Markov-matrix convention, fixed reference-load convention and exceedance transformation are used for measured data and for the ABB.163-derived reference spectrum.</w:t>
      </w:r>
    </w:p>
    <w:p w14:paraId="3D033482" w14:textId="77777777" w:rsidR="008B2183" w:rsidRPr="00DF4621" w:rsidRDefault="00000000">
      <w:pPr>
        <w:pStyle w:val="Corpsdetexte"/>
        <w:rPr>
          <w:lang w:val="en-US"/>
        </w:rPr>
      </w:pPr>
      <w:r>
        <w:rPr>
          <w:lang w:val="en-US"/>
        </w:rPr>
        <w:t>The processing chain for real measured data shall be:</w:t>
      </w:r>
    </w:p>
    <w:p w14:paraId="3F023CE3" w14:textId="77777777" w:rsidR="008B2183" w:rsidRPr="00DF4621" w:rsidRDefault="00000000" w:rsidP="00A35C65">
      <w:pPr>
        <w:pStyle w:val="Corpsdetexte"/>
        <w:numPr>
          <w:ilvl w:val="0"/>
          <w:numId w:val="2"/>
        </w:numPr>
        <w:rPr>
          <w:lang w:val="en-US"/>
        </w:rPr>
      </w:pPr>
      <w:r>
        <w:rPr>
          <w:lang w:val="en-US"/>
        </w:rPr>
        <w:t>validate and select the aerodynamic flight samples to be credited by SLM;</w:t>
      </w:r>
    </w:p>
    <w:p w14:paraId="53E6AC40" w14:textId="77777777" w:rsidR="008B2183" w:rsidRPr="00DF4621" w:rsidRDefault="00000000" w:rsidP="00A35C65">
      <w:pPr>
        <w:pStyle w:val="Corpsdetexte"/>
        <w:numPr>
          <w:ilvl w:val="0"/>
          <w:numId w:val="2"/>
        </w:numPr>
        <w:rPr>
          <w:lang w:val="en-US"/>
        </w:rPr>
      </w:pPr>
      <w:r>
        <w:rPr>
          <w:lang w:val="en-US"/>
        </w:rPr>
        <w:t>convert each valid load-factor sample into a 1024-class representation;</w:t>
      </w:r>
    </w:p>
    <w:p w14:paraId="536B00A5" w14:textId="77777777" w:rsidR="008B2183" w:rsidRPr="00DF4621" w:rsidRDefault="00000000" w:rsidP="00A35C65">
      <w:pPr>
        <w:pStyle w:val="Corpsdetexte"/>
        <w:numPr>
          <w:ilvl w:val="0"/>
          <w:numId w:val="2"/>
        </w:numPr>
        <w:rPr>
          <w:lang w:val="en-US"/>
        </w:rPr>
      </w:pPr>
      <w:r>
        <w:rPr>
          <w:lang w:val="en-US"/>
        </w:rPr>
        <w:t>apply the Kossira &amp; Reinke hysteresis filter in 1024-class space (a standard filter that discards small load-factor wiggles too small to count as real fatigue cycles);</w:t>
      </w:r>
    </w:p>
    <w:p w14:paraId="4B049B46" w14:textId="77777777" w:rsidR="008B2183" w:rsidRPr="00DF4621" w:rsidRDefault="00000000" w:rsidP="00A35C65">
      <w:pPr>
        <w:pStyle w:val="Corpsdetexte"/>
        <w:numPr>
          <w:ilvl w:val="0"/>
          <w:numId w:val="2"/>
        </w:numPr>
        <w:rPr>
          <w:lang w:val="en-US"/>
        </w:rPr>
      </w:pPr>
      <w:r>
        <w:rPr>
          <w:lang w:val="en-US"/>
        </w:rPr>
        <w:t>convert the retained filtered values into 32-class load-factor values;</w:t>
      </w:r>
    </w:p>
    <w:p w14:paraId="0AC5A466" w14:textId="77777777" w:rsidR="008B2183" w:rsidRPr="00DF4621" w:rsidRDefault="00000000" w:rsidP="00A35C65">
      <w:pPr>
        <w:pStyle w:val="Corpsdetexte"/>
        <w:numPr>
          <w:ilvl w:val="0"/>
          <w:numId w:val="2"/>
        </w:numPr>
        <w:rPr>
          <w:lang w:val="en-US"/>
        </w:rPr>
      </w:pPr>
      <w:r>
        <w:rPr>
          <w:lang w:val="en-US"/>
        </w:rPr>
        <w:t>remove repeated consecutive 32-class values;</w:t>
      </w:r>
    </w:p>
    <w:p w14:paraId="5B4099F8" w14:textId="77777777" w:rsidR="008B2183" w:rsidRPr="00DF4621" w:rsidRDefault="00000000" w:rsidP="00A35C65">
      <w:pPr>
        <w:pStyle w:val="Corpsdetexte"/>
        <w:numPr>
          <w:ilvl w:val="0"/>
          <w:numId w:val="2"/>
        </w:numPr>
        <w:rPr>
          <w:lang w:val="en-US"/>
        </w:rPr>
      </w:pPr>
      <w:r>
        <w:rPr>
          <w:lang w:val="en-US"/>
        </w:rPr>
        <w:t>extract the alternating peak/valley sequence;</w:t>
      </w:r>
    </w:p>
    <w:p w14:paraId="585FB2C8" w14:textId="77777777" w:rsidR="008B2183" w:rsidRPr="00DF4621" w:rsidRDefault="00000000" w:rsidP="00A35C65">
      <w:pPr>
        <w:pStyle w:val="Corpsdetexte"/>
        <w:numPr>
          <w:ilvl w:val="0"/>
          <w:numId w:val="2"/>
        </w:numPr>
        <w:rPr>
          <w:lang w:val="en-US"/>
        </w:rPr>
      </w:pPr>
      <w:r>
        <w:rPr>
          <w:lang w:val="en-US"/>
        </w:rPr>
        <w:t>build the 32×32 raw Markov transition matrix (a table counting how often the load factor moves from each class to each other class, the standard way fatigue engineers count load-reversal cycles);</w:t>
      </w:r>
    </w:p>
    <w:p w14:paraId="6A5A8DE0" w14:textId="77777777" w:rsidR="008B2183" w:rsidRPr="00DF4621" w:rsidRDefault="00000000" w:rsidP="00A35C65">
      <w:pPr>
        <w:pStyle w:val="Corpsdetexte"/>
        <w:numPr>
          <w:ilvl w:val="0"/>
          <w:numId w:val="2"/>
        </w:numPr>
        <w:rPr>
          <w:lang w:val="en-US"/>
        </w:rPr>
      </w:pPr>
      <w:r>
        <w:rPr>
          <w:lang w:val="en-US"/>
        </w:rPr>
        <w:t xml:space="preserve">use the fixed Kossira &amp; Reinke reference level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lang w:val="en-US"/>
              </w:rPr>
              <m:t>0</m:t>
            </m:r>
          </m:sub>
        </m:sSub>
        <m:r>
          <m:rPr>
            <m:sty m:val="p"/>
          </m:rPr>
          <w:rPr>
            <w:rFonts w:ascii="Cambria Math" w:hAnsi="Cambria Math"/>
            <w:lang w:val="en-US"/>
          </w:rPr>
          <m:t>=</m:t>
        </m:r>
        <m:r>
          <w:rPr>
            <w:rFonts w:ascii="Cambria Math" w:hAnsi="Cambria Math"/>
            <w:lang w:val="en-US"/>
          </w:rPr>
          <m:t>1.0</m:t>
        </m:r>
      </m:oMath>
      <w:r>
        <w:rPr>
          <w:lang w:val="en-US"/>
        </w:rPr>
        <w:t xml:space="preserve"> and its corresponding class to split the Markov matrix into upper and lower exceedance branches;</w:t>
      </w:r>
    </w:p>
    <w:p w14:paraId="2F01C7CE" w14:textId="77777777" w:rsidR="008B2183" w:rsidRPr="00DF4621" w:rsidRDefault="00000000" w:rsidP="00A35C65">
      <w:pPr>
        <w:pStyle w:val="Corpsdetexte"/>
        <w:numPr>
          <w:ilvl w:val="0"/>
          <w:numId w:val="2"/>
        </w:numPr>
        <w:rPr>
          <w:lang w:val="en-US"/>
        </w:rPr>
      </w:pPr>
      <w:r>
        <w:rPr>
          <w:lang w:val="en-US"/>
        </w:rPr>
        <w:lastRenderedPageBreak/>
        <w:t>transform the raw Markov matrix into upper and lower exceedance occurrences;</w:t>
      </w:r>
    </w:p>
    <w:p w14:paraId="725B0638" w14:textId="77777777" w:rsidR="008B2183" w:rsidRPr="00DF4621" w:rsidRDefault="00000000" w:rsidP="00A35C65">
      <w:pPr>
        <w:pStyle w:val="Corpsdetexte"/>
        <w:numPr>
          <w:ilvl w:val="0"/>
          <w:numId w:val="2"/>
        </w:numPr>
        <w:rPr>
          <w:lang w:val="en-US"/>
        </w:rPr>
      </w:pPr>
      <w:r>
        <w:rPr>
          <w:lang w:val="en-US"/>
        </w:rPr>
        <w:t>produce the 32-class occurrence spectrum;</w:t>
      </w:r>
    </w:p>
    <w:p w14:paraId="290A9120" w14:textId="77777777" w:rsidR="008B2183" w:rsidRPr="00DF4621" w:rsidRDefault="00000000" w:rsidP="00A35C65">
      <w:pPr>
        <w:pStyle w:val="Corpsdetexte"/>
        <w:numPr>
          <w:ilvl w:val="0"/>
          <w:numId w:val="2"/>
        </w:numPr>
        <w:rPr>
          <w:lang w:val="en-US"/>
        </w:rPr>
      </w:pPr>
      <w:r>
        <w:rPr>
          <w:lang w:val="en-US"/>
        </w:rPr>
        <w:t>compute EFI using §4.4 and Appendix B.</w:t>
      </w:r>
    </w:p>
    <w:p w14:paraId="156E38FE" w14:textId="77777777" w:rsidR="008B2183" w:rsidRPr="00DF4621" w:rsidRDefault="00000000">
      <w:pPr>
        <w:pStyle w:val="Corpsdetexte"/>
        <w:rPr>
          <w:lang w:val="en-US"/>
        </w:rPr>
      </w:pPr>
      <w:r>
        <w:rPr>
          <w:lang w:val="en-US"/>
        </w:rPr>
        <w:t>Appendix A defines the Kossira &amp; Reinke software rules, Appendix B defines the EFI calculation rules, and Appendix C documents the ABB.163-derived reference spectrum and its validation against ABB.164.</w:t>
      </w:r>
      <w:r>
        <w:rPr>
          <w:lang w:val="en-US"/>
        </w:rPr>
        <w:br/>
      </w:r>
    </w:p>
    <w:p w14:paraId="408D1CE0" w14:textId="77777777" w:rsidR="009A78D5" w:rsidRPr="00FC5004" w:rsidRDefault="00000000">
      <w:pPr>
        <w:pStyle w:val="Titre2"/>
        <w:rPr>
          <w:lang w:val="en-US"/>
        </w:rPr>
      </w:pPr>
      <w:bookmarkStart w:id="7" w:name="_Toc235917320"/>
      <w:r>
        <w:rPr>
          <w:lang w:val="en-US"/>
        </w:rPr>
        <w:t>4.4 Equivalent Fatigue Index — Palmgren-Miner Rule</w:t>
      </w:r>
      <w:bookmarkEnd w:id="7"/>
    </w:p>
    <w:p w14:paraId="0099847C" w14:textId="77777777" w:rsidR="00F42440" w:rsidRDefault="00000000">
      <w:pPr>
        <w:pStyle w:val="Corpsdetexte"/>
        <w:rPr>
          <w:lang w:val="en-US"/>
        </w:rPr>
      </w:pPr>
      <w:r>
        <w:rPr>
          <w:lang w:val="en-US"/>
        </w:rPr>
        <w:t xml:space="preserve">The Palmgren-Miner rule provides a linear cumulative index for fatigue. In classical notation this value is often denoted </w:t>
      </w:r>
      <m:oMath>
        <m:r>
          <w:rPr>
            <w:rFonts w:ascii="Cambria Math" w:hAnsi="Cambria Math"/>
          </w:rPr>
          <m:t>D</m:t>
        </m:r>
      </m:oMath>
      <w:r>
        <w:rPr>
          <w:lang w:val="en-US"/>
        </w:rPr>
        <w:t xml:space="preserve">, for damage. In the present SLM method, the same mathematical quantity is denoted </w:t>
      </w:r>
      <w:r>
        <w:rPr>
          <w:b/>
          <w:bCs/>
          <w:lang w:val="en-US"/>
        </w:rPr>
        <w:t>Equivalent Fatigue Index</w:t>
      </w:r>
      <w:r>
        <w:rPr>
          <w:lang w:val="en-US"/>
        </w:rPr>
        <w:t xml:space="preserve">, </w:t>
      </w:r>
      <m:oMath>
        <m:r>
          <w:rPr>
            <w:rFonts w:ascii="Cambria Math" w:hAnsi="Cambria Math"/>
          </w:rPr>
          <m:t>EFI</m:t>
        </m:r>
      </m:oMath>
      <w:r>
        <w:rPr>
          <w:lang w:val="en-US"/>
        </w:rPr>
        <w:t>, to avoid implying that the calculation represents measured physical damage in the composite structure:</w:t>
      </w:r>
    </w:p>
    <w:p w14:paraId="1C7C4AFC" w14:textId="77777777" w:rsidR="00F42440" w:rsidRDefault="00000000">
      <w:pPr>
        <w:pStyle w:val="Corpsdetexte"/>
        <w:jc w:val="center"/>
      </w:pPr>
      <m:oMathPara>
        <m:oMathParaPr>
          <m:jc m:val="center"/>
        </m:oMathParaPr>
        <m:oMath>
          <m:r>
            <w:rPr>
              <w:rFonts w:ascii="Cambria Math" w:hAnsi="Cambria Math"/>
            </w:rPr>
            <m:t>EFI</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i</m:t>
                      </m:r>
                    </m:sub>
                  </m:sSub>
                </m:den>
              </m:f>
            </m:e>
          </m:nary>
        </m:oMath>
      </m:oMathPara>
    </w:p>
    <w:p w14:paraId="67557964" w14:textId="77777777" w:rsidR="00F42440" w:rsidRDefault="00000000">
      <w:pPr>
        <w:pStyle w:val="Corpsdetexte"/>
        <w:rPr>
          <w:lang w:val="en-US"/>
        </w:rPr>
      </w:pPr>
      <w:r>
        <w:rPr>
          <w:lang w:val="en-US"/>
        </w:rPr>
        <w:t xml:space="preserve">where </w:t>
      </w:r>
      <m:oMath>
        <m:sSub>
          <m:sSubPr>
            <m:ctrlPr>
              <w:rPr>
                <w:rFonts w:ascii="Cambria Math" w:hAnsi="Cambria Math"/>
              </w:rPr>
            </m:ctrlPr>
          </m:sSubPr>
          <m:e>
            <m:r>
              <w:rPr>
                <w:rFonts w:ascii="Cambria Math" w:hAnsi="Cambria Math"/>
              </w:rPr>
              <m:t>n</m:t>
            </m:r>
          </m:e>
          <m:sub>
            <m:r>
              <w:rPr>
                <w:rFonts w:ascii="Cambria Math" w:hAnsi="Cambria Math"/>
              </w:rPr>
              <m:t>i</m:t>
            </m:r>
          </m:sub>
        </m:sSub>
      </m:oMath>
      <w:r>
        <w:rPr>
          <w:lang w:val="en-US"/>
        </w:rPr>
        <w:t xml:space="preserve"> is the number of occurrences at load-factor level </w:t>
      </w:r>
      <m:oMath>
        <m:r>
          <w:rPr>
            <w:rFonts w:ascii="Cambria Math" w:hAnsi="Cambria Math"/>
          </w:rPr>
          <m:t>i</m:t>
        </m:r>
      </m:oMath>
      <w:r>
        <w:rPr>
          <w:lang w:val="en-US"/>
        </w:rPr>
        <w:t xml:space="preserve">, and </w:t>
      </w:r>
      <m:oMath>
        <m:sSub>
          <m:sSubPr>
            <m:ctrlPr>
              <w:rPr>
                <w:rFonts w:ascii="Cambria Math" w:hAnsi="Cambria Math"/>
              </w:rPr>
            </m:ctrlPr>
          </m:sSubPr>
          <m:e>
            <m:r>
              <w:rPr>
                <w:rFonts w:ascii="Cambria Math" w:hAnsi="Cambria Math"/>
              </w:rPr>
              <m:t>N</m:t>
            </m:r>
          </m:e>
          <m:sub>
            <m:r>
              <w:rPr>
                <w:rFonts w:ascii="Cambria Math" w:hAnsi="Cambria Math"/>
              </w:rPr>
              <m:t>i</m:t>
            </m:r>
          </m:sub>
        </m:sSub>
      </m:oMath>
      <w:r>
        <w:rPr>
          <w:lang w:val="en-US"/>
        </w:rPr>
        <w:t xml:space="preserve"> is the equivalent number of occurrences to failure associated with that level under the selected fatigue model.</w:t>
      </w:r>
    </w:p>
    <w:p w14:paraId="551EE07C" w14:textId="77777777" w:rsidR="00F42440" w:rsidRDefault="00000000">
      <w:pPr>
        <w:pStyle w:val="Corpsdetexte"/>
        <w:rPr>
          <w:lang w:val="en-US"/>
        </w:rPr>
      </w:pPr>
      <w:r>
        <w:rPr>
          <w:lang w:val="en-US"/>
        </w:rPr>
        <w:t>For SLM, the Palmgren-Miner rule is used as a consistent comparison framework between the reference and measured spectra. The absolute value of EFI shall not be interpreted as a direct measurement of physical composite damage at a specific structural location.</w:t>
      </w:r>
    </w:p>
    <w:p w14:paraId="1C96CD77" w14:textId="77777777" w:rsidR="00F42440" w:rsidRDefault="00000000">
      <w:pPr>
        <w:pStyle w:val="Corpsdetexte"/>
        <w:rPr>
          <w:lang w:val="en-US"/>
        </w:rPr>
      </w:pPr>
      <w:r>
        <w:rPr>
          <w:lang w:val="en-US"/>
        </w:rPr>
        <w:t xml:space="preserve">Application of the Palmgren-Miner rule requires an equivalent number of occurrences to failure, </w:t>
      </w:r>
      <m:oMath>
        <m:sSub>
          <m:sSubPr>
            <m:ctrlPr>
              <w:rPr>
                <w:rFonts w:ascii="Cambria Math" w:hAnsi="Cambria Math"/>
              </w:rPr>
            </m:ctrlPr>
          </m:sSubPr>
          <m:e>
            <m:r>
              <w:rPr>
                <w:rFonts w:ascii="Cambria Math" w:hAnsi="Cambria Math"/>
              </w:rPr>
              <m:t>N</m:t>
            </m:r>
          </m:e>
          <m:sub>
            <m:r>
              <w:rPr>
                <w:rFonts w:ascii="Cambria Math" w:hAnsi="Cambria Math"/>
              </w:rPr>
              <m:t>i</m:t>
            </m:r>
          </m:sub>
        </m:sSub>
      </m:oMath>
      <w:r>
        <w:rPr>
          <w:lang w:val="en-US"/>
        </w:rPr>
        <w:t>, for each load-amplitude class. In the High Cycle Fatigue regime, the Basquin model represents the relationship between stress amplitude and fatigue life using a power law:</w:t>
      </w:r>
    </w:p>
    <w:p w14:paraId="60550E98" w14:textId="77777777" w:rsidR="00F4244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a</m:t>
              </m:r>
            </m:sub>
          </m:sSub>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N</m:t>
              </m:r>
            </m:e>
            <m:sup>
              <m:r>
                <w:rPr>
                  <w:rFonts w:ascii="Cambria Math" w:hAnsi="Cambria Math"/>
                </w:rPr>
                <m:t>b</m:t>
              </m:r>
            </m:sup>
          </m:sSup>
        </m:oMath>
      </m:oMathPara>
    </w:p>
    <w:p w14:paraId="3A1DB82F" w14:textId="77777777" w:rsidR="00F42440" w:rsidRDefault="00000000">
      <w:pPr>
        <w:pStyle w:val="Corpsdetexte"/>
        <w:rPr>
          <w:lang w:val="en-US"/>
        </w:rPr>
      </w:pPr>
      <w:r>
        <w:rPr>
          <w:lang w:val="en-US"/>
        </w:rPr>
        <w:t xml:space="preserve">where </w:t>
      </w:r>
      <m:oMath>
        <m:sSub>
          <m:sSubPr>
            <m:ctrlPr>
              <w:rPr>
                <w:rFonts w:ascii="Cambria Math" w:hAnsi="Cambria Math"/>
              </w:rPr>
            </m:ctrlPr>
          </m:sSubPr>
          <m:e>
            <m:r>
              <w:rPr>
                <w:rFonts w:ascii="Cambria Math" w:hAnsi="Cambria Math"/>
              </w:rPr>
              <m:t>σ</m:t>
            </m:r>
          </m:e>
          <m:sub>
            <m:r>
              <w:rPr>
                <w:rFonts w:ascii="Cambria Math" w:hAnsi="Cambria Math"/>
              </w:rPr>
              <m:t>a</m:t>
            </m:r>
          </m:sub>
        </m:sSub>
      </m:oMath>
      <w:r>
        <w:rPr>
          <w:lang w:val="en-US"/>
        </w:rPr>
        <w:t xml:space="preserve"> is the stress amplitude, </w:t>
      </w:r>
      <m:oMath>
        <m:r>
          <w:rPr>
            <w:rFonts w:ascii="Cambria Math" w:hAnsi="Cambria Math"/>
          </w:rPr>
          <m:t>N</m:t>
        </m:r>
      </m:oMath>
      <w:r>
        <w:rPr>
          <w:lang w:val="en-US"/>
        </w:rPr>
        <w:t xml:space="preserve"> is the number of occurrences to failure, </w:t>
      </w:r>
      <m:oMath>
        <m:r>
          <w:rPr>
            <w:rFonts w:ascii="Cambria Math" w:hAnsi="Cambria Math"/>
          </w:rPr>
          <m:t>A</m:t>
        </m:r>
      </m:oMath>
      <w:r>
        <w:rPr>
          <w:lang w:val="en-US"/>
        </w:rPr>
        <w:t xml:space="preserve"> is a material-dependent constant, and </w:t>
      </w:r>
      <m:oMath>
        <m:r>
          <w:rPr>
            <w:rFonts w:ascii="Cambria Math" w:hAnsi="Cambria Math"/>
          </w:rPr>
          <m:t>b</m:t>
        </m:r>
      </m:oMath>
      <w:r>
        <w:rPr>
          <w:lang w:val="en-US"/>
        </w:rPr>
        <w:t xml:space="preserve"> is the Basquin exponent. </w:t>
      </w:r>
      <w:r>
        <w:t xml:space="preserve">Solving for </w:t>
      </w:r>
      <m:oMath>
        <m:r>
          <w:rPr>
            <w:rFonts w:ascii="Cambria Math" w:hAnsi="Cambria Math"/>
          </w:rPr>
          <m:t>N</m:t>
        </m:r>
      </m:oMath>
      <w:r>
        <w:t xml:space="preserve"> gives:</w:t>
      </w:r>
    </w:p>
    <w:p w14:paraId="212FAA2F" w14:textId="77777777" w:rsidR="00F42440" w:rsidRDefault="00000000">
      <w:pPr>
        <w:pStyle w:val="Corpsdetexte"/>
        <w:jc w:val="center"/>
      </w:pPr>
      <m:oMathPara>
        <m:oMathParaPr>
          <m:jc m:val="center"/>
        </m:oMathParaPr>
        <m:oMath>
          <m:r>
            <w:rPr>
              <w:rFonts w:ascii="Cambria Math" w:hAnsi="Cambria Math"/>
            </w:rPr>
            <m:t>N</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a</m:t>
                          </m:r>
                        </m:sub>
                      </m:sSub>
                    </m:num>
                    <m:den>
                      <m:r>
                        <w:rPr>
                          <w:rFonts w:ascii="Cambria Math" w:hAnsi="Cambria Math"/>
                        </w:rPr>
                        <m:t>A</m:t>
                      </m:r>
                    </m:den>
                  </m:f>
                </m:e>
              </m:d>
            </m:e>
            <m:sup>
              <m:r>
                <w:rPr>
                  <w:rFonts w:ascii="Cambria Math" w:hAnsi="Cambria Math"/>
                </w:rPr>
                <m:t>1</m:t>
              </m:r>
              <m:r>
                <m:rPr>
                  <m:sty m:val="p"/>
                </m:rPr>
                <w:rPr>
                  <w:rFonts w:ascii="Cambria Math" w:hAnsi="Cambria Math"/>
                </w:rPr>
                <m:t>/</m:t>
              </m:r>
              <m:r>
                <w:rPr>
                  <w:rFonts w:ascii="Cambria Math" w:hAnsi="Cambria Math"/>
                </w:rPr>
                <m:t>b</m:t>
              </m:r>
            </m:sup>
          </m:sSup>
        </m:oMath>
      </m:oMathPara>
    </w:p>
    <w:p w14:paraId="3CA08F03" w14:textId="77777777" w:rsidR="00F42440" w:rsidRDefault="00000000">
      <w:pPr>
        <w:pStyle w:val="Corpsdetexte"/>
        <w:rPr>
          <w:lang w:val="en-US"/>
        </w:rPr>
      </w:pPr>
      <w:r>
        <w:rPr>
          <w:lang w:val="en-US"/>
        </w:rPr>
        <w:t xml:space="preserve">Under the first-order SLM assumption that stress amplitude is proportional to load-factor amplitude, the equivalent number of occurrences to failure for class </w:t>
      </w:r>
      <m:oMath>
        <m:r>
          <w:rPr>
            <w:rFonts w:ascii="Cambria Math" w:hAnsi="Cambria Math"/>
          </w:rPr>
          <m:t>i</m:t>
        </m:r>
      </m:oMath>
      <w:r>
        <w:rPr>
          <w:lang w:val="en-US"/>
        </w:rPr>
        <w:t xml:space="preserve"> may be written:</w:t>
      </w:r>
    </w:p>
    <w:p w14:paraId="769B39EE" w14:textId="54AA2ECF" w:rsidR="00F4244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 xml:space="preserve">C </m:t>
          </m:r>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1</m:t>
              </m:r>
              <m:r>
                <m:rPr>
                  <m:sty m:val="p"/>
                </m:rPr>
                <w:rPr>
                  <w:rFonts w:ascii="Cambria Math" w:hAnsi="Cambria Math"/>
                </w:rPr>
                <m:t>/</m:t>
              </m:r>
              <m:r>
                <w:rPr>
                  <w:rFonts w:ascii="Cambria Math" w:hAnsi="Cambria Math"/>
                </w:rPr>
                <m:t>b</m:t>
              </m:r>
            </m:sup>
          </m:sSup>
        </m:oMath>
      </m:oMathPara>
    </w:p>
    <w:p w14:paraId="3C0A697B" w14:textId="77777777" w:rsidR="00F42440" w:rsidRDefault="00000000">
      <w:pPr>
        <w:pStyle w:val="Corpsdetexte"/>
        <w:rPr>
          <w:lang w:val="en-US"/>
        </w:rPr>
      </w:pPr>
      <w:r>
        <w:rPr>
          <w:lang w:val="en-US"/>
        </w:rPr>
        <w:t xml:space="preserve">where </w:t>
      </w:r>
      <m:oMath>
        <m:r>
          <w:rPr>
            <w:rFonts w:ascii="Cambria Math" w:hAnsi="Cambria Math"/>
          </w:rPr>
          <m:t>C</m:t>
        </m:r>
      </m:oMath>
      <w:r>
        <w:rPr>
          <w:lang w:val="en-US"/>
        </w:rPr>
        <w:t xml:space="preserve"> combines the Basquin constant and the proportionality between stress amplitude and load-factor amplitude.</w:t>
      </w:r>
    </w:p>
    <w:p w14:paraId="767D5DA3" w14:textId="77777777" w:rsidR="00F42440" w:rsidRDefault="00000000">
      <w:pPr>
        <w:pStyle w:val="Corpsdetexte"/>
        <w:rPr>
          <w:lang w:val="en-US"/>
        </w:rPr>
      </w:pPr>
      <w:r>
        <w:rPr>
          <w:lang w:val="en-US"/>
        </w:rPr>
        <w:t>To simplify the notation, the positive EFI exponent is defined as:</w:t>
      </w:r>
    </w:p>
    <w:p w14:paraId="427E1AC5" w14:textId="77777777" w:rsidR="00F42440" w:rsidRDefault="00000000">
      <w:pPr>
        <w:pStyle w:val="Corpsdetexte"/>
        <w:jc w:val="center"/>
      </w:pPr>
      <m:oMathPara>
        <m:oMathParaPr>
          <m:jc m:val="center"/>
        </m:oMathParaP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oMath>
      </m:oMathPara>
    </w:p>
    <w:p w14:paraId="524FDBFA" w14:textId="77777777" w:rsidR="00F42440" w:rsidRDefault="00000000">
      <w:pPr>
        <w:pStyle w:val="Corpsdetexte"/>
        <w:rPr>
          <w:lang w:val="en-US"/>
        </w:rPr>
      </w:pPr>
      <w:r>
        <w:t>With this notation:</w:t>
      </w:r>
    </w:p>
    <w:p w14:paraId="5CB6DFCF" w14:textId="751C2AFD" w:rsidR="00F4244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 xml:space="preserve"> </m:t>
              </m:r>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m:rPr>
                  <m:sty m:val="p"/>
                </m:rPr>
                <w:rPr>
                  <w:rFonts w:ascii="Cambria Math" w:hAnsi="Cambria Math"/>
                </w:rPr>
                <m:t>-</m:t>
              </m:r>
              <m:r>
                <w:rPr>
                  <w:rFonts w:ascii="Cambria Math" w:hAnsi="Cambria Math"/>
                </w:rPr>
                <m:t>k</m:t>
              </m:r>
            </m:sup>
          </m:sSup>
        </m:oMath>
      </m:oMathPara>
    </w:p>
    <w:p w14:paraId="4F5F4261" w14:textId="05F0BEF2" w:rsidR="00F42440" w:rsidRDefault="00926B66">
      <w:pPr>
        <w:pStyle w:val="Corpsdetexte"/>
        <w:rPr>
          <w:lang w:val="en-US"/>
        </w:rPr>
      </w:pPr>
      <w:r>
        <w:rPr>
          <w:lang w:val="en-US"/>
        </w:rPr>
        <w:br/>
        <w:t xml:space="preserve">Let </w:t>
      </w:r>
      <m:oMath>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lang w:val="en-US"/>
              </w:rPr>
              <m:t>,</m:t>
            </m:r>
            <m:r>
              <w:rPr>
                <w:rFonts w:ascii="Cambria Math" w:hAnsi="Cambria Math"/>
              </w:rPr>
              <m:t>ref</m:t>
            </m:r>
            <m:r>
              <m:rPr>
                <m:sty m:val="p"/>
              </m:rPr>
              <w:rPr>
                <w:rFonts w:ascii="Cambria Math" w:hAnsi="Cambria Math"/>
                <w:lang w:val="en-US"/>
              </w:rPr>
              <m:t>,</m:t>
            </m:r>
            <m:r>
              <w:rPr>
                <w:rFonts w:ascii="Cambria Math" w:hAnsi="Cambria Math"/>
              </w:rPr>
              <m:t>L</m:t>
            </m:r>
          </m:sub>
        </m:sSub>
      </m:oMath>
      <w:r>
        <w:rPr>
          <w:lang w:val="en-US"/>
        </w:rPr>
        <w:t xml:space="preserve"> be the number of occurrences at class </w:t>
      </w:r>
      <m:oMath>
        <m:r>
          <w:rPr>
            <w:rFonts w:ascii="Cambria Math" w:hAnsi="Cambria Math"/>
          </w:rPr>
          <m:t>j</m:t>
        </m:r>
      </m:oMath>
      <w:r>
        <w:rPr>
          <w:lang w:val="en-US"/>
        </w:rPr>
        <w:t xml:space="preserve"> in the reference spectrum scaled to </w:t>
      </w:r>
      <m:oMath>
        <m:r>
          <w:rPr>
            <w:rFonts w:ascii="Cambria Math" w:hAnsi="Cambria Math"/>
          </w:rPr>
          <m:t>L</m:t>
        </m:r>
      </m:oMath>
      <w:r>
        <w:rPr>
          <w:lang w:val="en-US"/>
        </w:rPr>
        <w:t xml:space="preserve"> flight hours, and let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lang w:val="en-US"/>
              </w:rPr>
              <m:t>0</m:t>
            </m:r>
          </m:sub>
        </m:sSub>
        <m:r>
          <m:rPr>
            <m:sty m:val="p"/>
          </m:rPr>
          <w:rPr>
            <w:rFonts w:ascii="Cambria Math" w:hAnsi="Cambria Math"/>
            <w:lang w:val="en-US"/>
          </w:rPr>
          <m:t>=</m:t>
        </m:r>
        <m:r>
          <w:rPr>
            <w:rFonts w:ascii="Cambria Math" w:hAnsi="Cambria Math"/>
            <w:lang w:val="en-US"/>
          </w:rPr>
          <m:t>1.0</m:t>
        </m:r>
      </m:oMath>
      <w:r>
        <w:rPr>
          <w:lang w:val="en-US"/>
        </w:rPr>
        <w:t xml:space="preserve"> be the fixed Kossira &amp; Reinke reference level. The SLM calculation is normalized by assigning an EFI value of unity to the reference exposure over </w:t>
      </w:r>
      <m:oMath>
        <m:r>
          <w:rPr>
            <w:rFonts w:ascii="Cambria Math" w:hAnsi="Cambria Math"/>
          </w:rPr>
          <m:t>L</m:t>
        </m:r>
      </m:oMath>
      <w:r>
        <w:rPr>
          <w:lang w:val="en-US"/>
        </w:rPr>
        <w:t>:</w:t>
      </w:r>
    </w:p>
    <w:p w14:paraId="14827548" w14:textId="77777777" w:rsidR="00F42440" w:rsidRDefault="00000000">
      <w:pPr>
        <w:pStyle w:val="Corpsdetexte"/>
        <w:jc w:val="center"/>
      </w:pPr>
      <m:oMathPara>
        <m:oMathParaPr>
          <m:jc m:val="center"/>
        </m:oMathParaPr>
        <m:oMath>
          <m:r>
            <w:rPr>
              <w:rFonts w:ascii="Cambria Math" w:hAnsi="Cambria Math"/>
            </w:rPr>
            <w:lastRenderedPageBreak/>
            <m:t>1</m:t>
          </m:r>
          <m:r>
            <m:rPr>
              <m:sty m:val="p"/>
            </m:rPr>
            <w:rPr>
              <w:rFonts w:ascii="Cambria Math" w:hAnsi="Cambria Math"/>
            </w:rPr>
            <m:t>=</m:t>
          </m:r>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L</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den>
              </m:f>
            </m:e>
          </m:nary>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oMath>
      </m:oMathPara>
    </w:p>
    <w:p w14:paraId="6BDA102A" w14:textId="77777777" w:rsidR="00F42440" w:rsidRDefault="00000000">
      <w:pPr>
        <w:pStyle w:val="Corpsdetexte"/>
        <w:rPr>
          <w:lang w:val="en-US"/>
        </w:rPr>
      </w:pPr>
      <w:r>
        <w:rPr>
          <w:lang w:val="en-US"/>
        </w:rPr>
        <w:t xml:space="preserve">The normalization therefore determines </w:t>
      </w:r>
      <m:oMath>
        <m:r>
          <w:rPr>
            <w:rFonts w:ascii="Cambria Math" w:hAnsi="Cambria Math"/>
          </w:rPr>
          <m:t>C</m:t>
        </m:r>
      </m:oMath>
      <w:r>
        <w:rPr>
          <w:lang w:val="en-US"/>
        </w:rPr>
        <w:t xml:space="preserve"> directly:</w:t>
      </w:r>
    </w:p>
    <w:p w14:paraId="27AB0043" w14:textId="77777777" w:rsidR="00F42440" w:rsidRDefault="00000000">
      <w:pPr>
        <w:pStyle w:val="Corpsdetexte"/>
        <w:jc w:val="center"/>
      </w:pPr>
      <m:oMathPara>
        <m:oMathParaPr>
          <m:jc m:val="center"/>
        </m:oMathParaPr>
        <m:oMath>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oMath>
      </m:oMathPara>
    </w:p>
    <w:p w14:paraId="3BA51436" w14:textId="69423258" w:rsidR="00F42440" w:rsidRPr="00AE6C6B" w:rsidRDefault="00000000" w:rsidP="00926B66">
      <w:pPr>
        <w:pStyle w:val="Corpsdetexte"/>
        <w:rPr>
          <w:lang w:val="en-US"/>
        </w:rPr>
      </w:pPr>
      <w:r>
        <w:rPr>
          <w:lang w:val="en-US"/>
        </w:rPr>
        <w:t xml:space="preserve">The constant </w:t>
      </w:r>
      <m:oMath>
        <m:r>
          <w:rPr>
            <w:rFonts w:ascii="Cambria Math" w:hAnsi="Cambria Math"/>
          </w:rPr>
          <m:t>C</m:t>
        </m:r>
      </m:oMath>
      <w:r>
        <w:rPr>
          <w:lang w:val="en-US"/>
        </w:rPr>
        <w:t xml:space="preserve"> is not an independently selected material parameter. It is fixed by the reference spectrum, the selected exponent and the normalization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lang w:val="en-US"/>
              </w:rPr>
              <m:t>,</m:t>
            </m:r>
            <m:r>
              <w:rPr>
                <w:rFonts w:ascii="Cambria Math" w:hAnsi="Cambria Math"/>
              </w:rPr>
              <m:t>L</m:t>
            </m:r>
          </m:sub>
        </m:sSub>
        <m:r>
          <m:rPr>
            <m:sty m:val="p"/>
          </m:rPr>
          <w:rPr>
            <w:rFonts w:ascii="Cambria Math" w:hAnsi="Cambria Math"/>
            <w:lang w:val="en-US"/>
          </w:rPr>
          <m:t>=</m:t>
        </m:r>
        <m:r>
          <w:rPr>
            <w:rFonts w:ascii="Cambria Math" w:hAnsi="Cambria Math"/>
            <w:lang w:val="en-US"/>
          </w:rPr>
          <m:t>1</m:t>
        </m:r>
      </m:oMath>
      <w:r>
        <w:rPr>
          <w:lang w:val="en-US"/>
        </w:rPr>
        <w:t xml:space="preserve">. </w:t>
      </w:r>
      <w:r>
        <w:rPr>
          <w:lang w:val="en-US"/>
        </w:rPr>
        <w:br/>
      </w:r>
    </w:p>
    <w:p w14:paraId="47053B4D" w14:textId="77777777" w:rsidR="00F42440" w:rsidRDefault="00000000">
      <w:pPr>
        <w:pStyle w:val="Corpsdetexte"/>
        <w:rPr>
          <w:lang w:val="en-US"/>
        </w:rPr>
      </w:pPr>
      <w:r>
        <w:rPr>
          <w:lang w:val="en-US"/>
        </w:rPr>
        <w:t xml:space="preserve">For any spectrum </w:t>
      </w:r>
      <m:oMath>
        <m:r>
          <w:rPr>
            <w:rFonts w:ascii="Cambria Math" w:hAnsi="Cambria Math"/>
          </w:rPr>
          <m:t>x</m:t>
        </m:r>
      </m:oMath>
      <w:r>
        <w:rPr>
          <w:lang w:val="en-US"/>
        </w:rPr>
        <w:t>, reference or measured, the corresponding EFI is:</w:t>
      </w:r>
    </w:p>
    <w:p w14:paraId="2EC0D117" w14:textId="77777777" w:rsidR="00F42440" w:rsidRDefault="00000000">
      <w:pPr>
        <w:pStyle w:val="Corpsdetexte"/>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x</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oMath>
      </m:oMathPara>
    </w:p>
    <w:p w14:paraId="409CD710" w14:textId="4C03360D" w:rsidR="00926B66" w:rsidRDefault="00000000" w:rsidP="00926B66">
      <w:pPr>
        <w:pStyle w:val="Corpsdetexte"/>
        <w:rPr>
          <w:lang w:val="en-US"/>
        </w:rPr>
      </w:pPr>
      <w:r>
        <w:rPr>
          <w:lang w:val="en-US"/>
        </w:rPr>
        <w:t xml:space="preserve">This formulation gives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lang w:val="en-US"/>
              </w:rPr>
              <m:t>,</m:t>
            </m:r>
            <m:r>
              <w:rPr>
                <w:rFonts w:ascii="Cambria Math" w:hAnsi="Cambria Math"/>
              </w:rPr>
              <m:t>L</m:t>
            </m:r>
          </m:sub>
        </m:sSub>
        <m:r>
          <m:rPr>
            <m:sty m:val="p"/>
          </m:rPr>
          <w:rPr>
            <w:rFonts w:ascii="Cambria Math" w:hAnsi="Cambria Math"/>
            <w:lang w:val="en-US"/>
          </w:rPr>
          <m:t>=</m:t>
        </m:r>
        <m:r>
          <w:rPr>
            <w:rFonts w:ascii="Cambria Math" w:hAnsi="Cambria Math"/>
            <w:lang w:val="en-US"/>
          </w:rPr>
          <m:t>1</m:t>
        </m:r>
      </m:oMath>
      <w:r>
        <w:rPr>
          <w:lang w:val="en-US"/>
        </w:rPr>
        <w:t xml:space="preserve"> by construction, uses the same fixed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lang w:val="en-US"/>
              </w:rPr>
              <m:t>0</m:t>
            </m:r>
          </m:sub>
        </m:sSub>
      </m:oMath>
      <w:r>
        <w:rPr>
          <w:lang w:val="en-US"/>
        </w:rPr>
        <w:t xml:space="preserve"> for both the reference and measured spectra.</w:t>
      </w:r>
      <w:r>
        <w:rPr>
          <w:lang w:val="en-US"/>
        </w:rPr>
        <w:br/>
      </w:r>
      <w:r>
        <w:rPr>
          <w:lang w:val="en-US"/>
        </w:rPr>
        <w:br/>
        <w:t>For the generic SLM methodology, the proposed Basquin parameter is:</w:t>
      </w:r>
    </w:p>
    <w:p w14:paraId="5BF34F7C" w14:textId="77777777" w:rsidR="00926B66" w:rsidRDefault="00926B66" w:rsidP="00926B66">
      <w:pPr>
        <w:pStyle w:val="Corpsdetexte"/>
        <w:jc w:val="center"/>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0.16</m:t>
          </m:r>
        </m:oMath>
      </m:oMathPara>
    </w:p>
    <w:p w14:paraId="203D3D9D" w14:textId="77777777" w:rsidR="00926B66" w:rsidRDefault="00926B66" w:rsidP="00926B66">
      <w:pPr>
        <w:pStyle w:val="Corpsdetexte"/>
        <w:rPr>
          <w:lang w:val="en-US"/>
        </w:rPr>
      </w:pPr>
      <w:r>
        <w:t>and therefore:</w:t>
      </w:r>
    </w:p>
    <w:p w14:paraId="68716349" w14:textId="77777777" w:rsidR="00926B66" w:rsidRDefault="00926B66" w:rsidP="00926B66">
      <w:pPr>
        <w:pStyle w:val="Corpsdetexte"/>
        <w:jc w:val="center"/>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6.25</m:t>
          </m:r>
        </m:oMath>
      </m:oMathPara>
    </w:p>
    <w:p w14:paraId="1536948E" w14:textId="62D0560F" w:rsidR="00926B66" w:rsidRDefault="00926B66" w:rsidP="00926B66">
      <w:pPr>
        <w:pStyle w:val="Corpsdetexte"/>
        <w:rPr>
          <w:lang w:val="en-US"/>
        </w:rPr>
      </w:pPr>
      <w:r>
        <w:rPr>
          <w:lang w:val="en-US"/>
        </w:rPr>
        <w:t>The selected value is derived from published fatigue data for composite material systems [9] [10] [11] [12] [13]. Although the supporting data are not specific to glider wing, they cover GFRP/CFRP epoxy systems representative of materials commonly used in glider primary structures. The resulting load-amplitude weighting is therefore considered a reasonable conservative lower-bound representation for typical composite glider structures.</w:t>
      </w:r>
    </w:p>
    <w:p w14:paraId="69EDBB8A" w14:textId="77777777" w:rsidR="00926B66" w:rsidRDefault="00926B66" w:rsidP="00926B66">
      <w:pPr>
        <w:pStyle w:val="Corpsdetexte"/>
        <w:rPr>
          <w:lang w:val="en-US"/>
        </w:rPr>
      </w:pPr>
      <w:r>
        <w:rPr>
          <w:lang w:val="en-US"/>
        </w:rPr>
        <w:t>The selected exponent is not intended to reproduce the precise S/N curve, stress ratio, material system or failure mode of a particular wing spar. It is applied consistently to the reference and measured spectra as part of a relative exposure comparison, rather than an absolute fatigue-life prediction. Additional representative glider-structure data may be used to confirm or refine the generic value if such data become available.</w:t>
      </w:r>
    </w:p>
    <w:p w14:paraId="36222A36" w14:textId="60408090" w:rsidR="00F42440" w:rsidRDefault="00F42440">
      <w:pPr>
        <w:pStyle w:val="Corpsdetexte"/>
        <w:rPr>
          <w:lang w:val="en-US"/>
        </w:rPr>
      </w:pPr>
    </w:p>
    <w:p w14:paraId="57BA1EB3" w14:textId="77777777" w:rsidR="009A78D5" w:rsidRPr="00FC5004" w:rsidRDefault="00000000">
      <w:pPr>
        <w:pStyle w:val="Titre2"/>
        <w:rPr>
          <w:lang w:val="en-US"/>
        </w:rPr>
      </w:pPr>
      <w:bookmarkStart w:id="8" w:name="_Toc235917321"/>
      <w:r>
        <w:rPr>
          <w:lang w:val="en-US"/>
        </w:rPr>
        <w:t>4.5 Life Extension Assessment</w:t>
      </w:r>
      <w:bookmarkEnd w:id="8"/>
    </w:p>
    <w:p w14:paraId="1A38A500" w14:textId="57ADF8A3" w:rsidR="008B2183" w:rsidRPr="00DF4621" w:rsidRDefault="00A35C65">
      <w:pPr>
        <w:pStyle w:val="Corpsdetexte"/>
        <w:rPr>
          <w:lang w:val="en-US"/>
        </w:rPr>
      </w:pPr>
      <w:r>
        <w:rPr>
          <w:lang w:val="en-US"/>
        </w:rPr>
        <w:t xml:space="preserve">The Life Ratio </w:t>
      </w:r>
      <m:oMath>
        <m:r>
          <w:rPr>
            <w:rFonts w:ascii="Cambria Math" w:hAnsi="Cambria Math"/>
          </w:rPr>
          <m:t>LR</m:t>
        </m:r>
      </m:oMath>
      <w:r>
        <w:rPr>
          <w:lang w:val="en-US"/>
        </w:rPr>
        <w:t xml:space="preserve"> quantifies how much faster or slower the measured operation consumes the approved reference exposure:</w:t>
      </w:r>
    </w:p>
    <w:p w14:paraId="0A1EC107" w14:textId="77777777" w:rsidR="008B2183" w:rsidRDefault="00000000">
      <w:pPr>
        <w:pStyle w:val="Corpsdetexte"/>
        <w:jc w:val="center"/>
      </w:pPr>
      <m:oMathPara>
        <m:oMathParaPr>
          <m:jc m:val="center"/>
        </m:oMathParaPr>
        <m:oMath>
          <m:r>
            <w:rPr>
              <w:rFonts w:ascii="Cambria Math" w:hAnsi="Cambria Math"/>
            </w:rPr>
            <m:t>LR</m:t>
          </m:r>
          <m:r>
            <m:rPr>
              <m:sty m:val="p"/>
            </m:rPr>
            <w:rPr>
              <w:rFonts w:ascii="Cambria Math" w:hAnsi="Cambria Math"/>
            </w:rPr>
            <m:t>=</m:t>
          </m:r>
          <m:f>
            <m:fPr>
              <m:ctrlPr>
                <w:rPr>
                  <w:rFonts w:ascii="Cambria Math" w:hAnsi="Cambria Math"/>
                </w:rPr>
              </m:ctrlPr>
            </m:fPr>
            <m:num>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t</m:t>
                  </m:r>
                </m:sub>
              </m:sSub>
            </m:num>
            <m:den>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real</m:t>
                  </m:r>
                  <m:r>
                    <m:rPr>
                      <m:sty m:val="p"/>
                    </m:rPr>
                    <w:rPr>
                      <w:rFonts w:ascii="Cambria Math" w:hAnsi="Cambria Math"/>
                    </w:rPr>
                    <m:t>,</m:t>
                  </m:r>
                  <m:r>
                    <w:rPr>
                      <w:rFonts w:ascii="Cambria Math" w:hAnsi="Cambria Math"/>
                    </w:rPr>
                    <m:t>t</m:t>
                  </m:r>
                </m:sub>
              </m:sSub>
            </m:den>
          </m:f>
        </m:oMath>
      </m:oMathPara>
    </w:p>
    <w:p w14:paraId="58DFDCB8" w14:textId="77777777" w:rsidR="008B2183" w:rsidRPr="00DF4621" w:rsidRDefault="00000000">
      <w:pPr>
        <w:pStyle w:val="Corpsdetexte"/>
        <w:rPr>
          <w:lang w:val="en-US"/>
        </w:rPr>
      </w:pPr>
      <w:r>
        <w:rPr>
          <w:lang w:val="en-US"/>
        </w:rPr>
        <w:t xml:space="preserve">where both values are computed over the same observed valid aerodynamic duration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rPr>
          <w:lang w:val="en-US"/>
        </w:rPr>
        <w:t xml:space="preserve">. Here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lang w:val="en-US"/>
              </w:rPr>
              <m:t>,</m:t>
            </m:r>
            <m:r>
              <w:rPr>
                <w:rFonts w:ascii="Cambria Math" w:hAnsi="Cambria Math"/>
              </w:rPr>
              <m:t>t</m:t>
            </m:r>
          </m:sub>
        </m:sSub>
      </m:oMath>
      <w:r>
        <w:rPr>
          <w:lang w:val="en-US"/>
        </w:rPr>
        <w:t xml:space="preserve"> is the reference-spectrum EFI normalized to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rPr>
          <w:lang w:val="en-US"/>
        </w:rPr>
        <w:t xml:space="preserve"> and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real</m:t>
            </m:r>
            <m:r>
              <m:rPr>
                <m:sty m:val="p"/>
              </m:rPr>
              <w:rPr>
                <w:rFonts w:ascii="Cambria Math" w:hAnsi="Cambria Math"/>
                <w:lang w:val="en-US"/>
              </w:rPr>
              <m:t>,</m:t>
            </m:r>
            <m:r>
              <w:rPr>
                <w:rFonts w:ascii="Cambria Math" w:hAnsi="Cambria Math"/>
              </w:rPr>
              <m:t>t</m:t>
            </m:r>
          </m:sub>
        </m:sSub>
      </m:oMath>
      <w:r>
        <w:rPr>
          <w:lang w:val="en-US"/>
        </w:rPr>
        <w:t xml:space="preserve"> is the measured EFI over the same duration.</w:t>
      </w:r>
    </w:p>
    <w:p w14:paraId="1F235B02" w14:textId="77777777" w:rsidR="008B2183" w:rsidRPr="00DF4621" w:rsidRDefault="00000000">
      <w:pPr>
        <w:pStyle w:val="Corpsdetexte"/>
        <w:rPr>
          <w:lang w:val="en-US"/>
        </w:rPr>
      </w:pPr>
      <w:r>
        <w:rPr>
          <w:lang w:val="en-US"/>
        </w:rPr>
        <w:t xml:space="preserve">To evaluate </w:t>
      </w:r>
      <m:oMath>
        <m:r>
          <w:rPr>
            <w:rFonts w:ascii="Cambria Math" w:hAnsi="Cambria Math"/>
          </w:rPr>
          <m:t>LR</m:t>
        </m:r>
      </m:oMath>
      <w:r>
        <w:rPr>
          <w:lang w:val="en-US"/>
        </w:rPr>
        <w:t xml:space="preserve"> in practice, the reference and measured spectra must cover the same exposure time. The published reference spectrum, normalized to 6,000 flight hours, is scaled down to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rPr>
          <w:lang w:val="en-US"/>
        </w:rPr>
        <w:t xml:space="preserve">. The conservative integer-floor convention may be applied to the scaled reference occurrences because the real observation period is much shorter than 6,000 hours. Using the common fixed reference level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lang w:val="en-US"/>
              </w:rPr>
              <m:t>0</m:t>
            </m:r>
          </m:sub>
        </m:sSub>
      </m:oMath>
      <w:r>
        <w:rPr>
          <w:lang w:val="en-US"/>
        </w:rPr>
        <w:t xml:space="preserve"> and exponent </w:t>
      </w:r>
      <m:oMath>
        <m:r>
          <w:rPr>
            <w:rFonts w:ascii="Cambria Math" w:hAnsi="Cambria Math"/>
          </w:rPr>
          <m:t>k</m:t>
        </m:r>
      </m:oMath>
      <w:r>
        <w:rPr>
          <w:lang w:val="en-US"/>
        </w:rPr>
        <w:t>:</w:t>
      </w:r>
    </w:p>
    <w:p w14:paraId="2A671F3D" w14:textId="61EFEF64" w:rsidR="008B2183" w:rsidRDefault="00000000">
      <w:pPr>
        <w:pStyle w:val="Corpsdetexte"/>
        <w:jc w:val="center"/>
      </w:pPr>
      <m:oMathPara>
        <m:oMathParaPr>
          <m:jc m:val="center"/>
        </m:oMathParaPr>
        <m:oMath>
          <m:r>
            <w:rPr>
              <w:rFonts w:ascii="Cambria Math" w:hAnsi="Cambria Math"/>
            </w:rPr>
            <w:lastRenderedPageBreak/>
            <m:t>LR</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 xml:space="preserve">6000 </m:t>
                          </m:r>
                        </m:sub>
                      </m:sSub>
                      <m:sSub>
                        <m:sSubPr>
                          <m:ctrlPr>
                            <w:rPr>
                              <w:rFonts w:ascii="Cambria Math" w:hAnsi="Cambria Math"/>
                            </w:rPr>
                          </m:ctrlPr>
                        </m:sSubPr>
                        <m:e>
                          <m:r>
                            <w:rPr>
                              <w:rFonts w:ascii="Cambria Math" w:hAnsi="Cambria Math"/>
                            </w:rPr>
                            <m:t>t</m:t>
                          </m:r>
                        </m:e>
                        <m:sub>
                          <m:r>
                            <w:rPr>
                              <w:rFonts w:ascii="Cambria Math" w:hAnsi="Cambria Math"/>
                            </w:rPr>
                            <m:t>real</m:t>
                          </m:r>
                        </m:sub>
                      </m:sSub>
                    </m:num>
                    <m:den>
                      <m:r>
                        <w:rPr>
                          <w:rFonts w:ascii="Cambria Math" w:hAnsi="Cambria Math"/>
                        </w:rPr>
                        <m:t>6000</m:t>
                      </m:r>
                    </m:den>
                  </m:f>
                  <m:r>
                    <w:rPr>
                      <w:rFonts w:ascii="Cambria Math" w:hAnsi="Cambria Math"/>
                    </w:rPr>
                    <m:t>⌋</m:t>
                  </m:r>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real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den>
          </m:f>
        </m:oMath>
      </m:oMathPara>
    </w:p>
    <w:p w14:paraId="512633E3" w14:textId="77777777" w:rsidR="008B2183" w:rsidRPr="00DF4621" w:rsidRDefault="00000000">
      <w:pPr>
        <w:pStyle w:val="Corpsdetexte"/>
        <w:rPr>
          <w:lang w:val="en-US"/>
        </w:rPr>
      </w:pPr>
      <w:r>
        <w:rPr>
          <w:lang w:val="en-US"/>
        </w:rPr>
        <w:t>The same normalization constant C applies to both spectra and cancels from the ratio. The ratio is therefore independent of the arbitrary EFI normalization.</w:t>
      </w:r>
    </w:p>
    <w:p w14:paraId="41A1654E" w14:textId="77777777" w:rsidR="008B2183" w:rsidRPr="00DF4621" w:rsidRDefault="00000000">
      <w:pPr>
        <w:pStyle w:val="Corpsdetexte"/>
        <w:rPr>
          <w:lang w:val="en-US"/>
        </w:rPr>
      </w:pPr>
      <w:r>
        <w:rPr>
          <w:lang w:val="en-US"/>
        </w:rPr>
        <w:t>The estimated additional life beyond the approved Service Life Limit is:</w:t>
      </w:r>
    </w:p>
    <w:p w14:paraId="67B83301" w14:textId="4CBFCCAF" w:rsidR="008B2183"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extension</m:t>
              </m:r>
            </m:sub>
          </m:sSub>
          <m:r>
            <m:rPr>
              <m:sty m:val="p"/>
            </m:rPr>
            <w:rPr>
              <w:rFonts w:ascii="Cambria Math" w:hAnsi="Cambria Math"/>
            </w:rPr>
            <m:t>=</m:t>
          </m:r>
          <m:d>
            <m:dPr>
              <m:ctrlPr>
                <w:rPr>
                  <w:rFonts w:ascii="Cambria Math" w:hAnsi="Cambria Math"/>
                </w:rPr>
              </m:ctrlPr>
            </m:dPr>
            <m:e>
              <m:r>
                <w:rPr>
                  <w:rFonts w:ascii="Cambria Math" w:hAnsi="Cambria Math"/>
                </w:rPr>
                <m:t>LR</m:t>
              </m:r>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 xml:space="preserve"> t</m:t>
              </m:r>
            </m:e>
            <m:sub>
              <m:r>
                <w:rPr>
                  <w:rFonts w:ascii="Cambria Math" w:hAnsi="Cambria Math"/>
                </w:rPr>
                <m:t>remaining</m:t>
              </m:r>
              <m:r>
                <m:rPr>
                  <m:sty m:val="p"/>
                </m:rPr>
                <w:rPr>
                  <w:rFonts w:ascii="Cambria Math" w:hAnsi="Cambria Math"/>
                </w:rPr>
                <m:t>,</m:t>
              </m:r>
              <m:r>
                <w:rPr>
                  <w:rFonts w:ascii="Cambria Math" w:hAnsi="Cambria Math"/>
                </w:rPr>
                <m:t>ref</m:t>
              </m:r>
            </m:sub>
          </m:sSub>
        </m:oMath>
      </m:oMathPara>
    </w:p>
    <w:p w14:paraId="2089AD1E" w14:textId="77777777" w:rsidR="008B2183" w:rsidRPr="00DF4621" w:rsidRDefault="00000000">
      <w:pPr>
        <w:pStyle w:val="Corpsdetexte"/>
        <w:rPr>
          <w:lang w:val="en-US"/>
        </w:rPr>
      </w:pPr>
      <w:r>
        <w:rPr>
          <w:lang w:val="en-US"/>
        </w:rPr>
        <w:t xml:space="preserve">where </w:t>
      </w:r>
      <m:oMath>
        <m:sSub>
          <m:sSubPr>
            <m:ctrlPr>
              <w:rPr>
                <w:rFonts w:ascii="Cambria Math" w:hAnsi="Cambria Math"/>
              </w:rPr>
            </m:ctrlPr>
          </m:sSubPr>
          <m:e>
            <m:r>
              <w:rPr>
                <w:rFonts w:ascii="Cambria Math" w:hAnsi="Cambria Math"/>
              </w:rPr>
              <m:t>t</m:t>
            </m:r>
          </m:e>
          <m:sub>
            <m:r>
              <w:rPr>
                <w:rFonts w:ascii="Cambria Math" w:hAnsi="Cambria Math"/>
              </w:rPr>
              <m:t>remaining</m:t>
            </m:r>
            <m:r>
              <m:rPr>
                <m:sty m:val="p"/>
              </m:rPr>
              <w:rPr>
                <w:rFonts w:ascii="Cambria Math" w:hAnsi="Cambria Math"/>
                <w:lang w:val="en-US"/>
              </w:rPr>
              <m:t>,</m:t>
            </m:r>
            <m:r>
              <w:rPr>
                <w:rFonts w:ascii="Cambria Math" w:hAnsi="Cambria Math"/>
              </w:rPr>
              <m:t>ref</m:t>
            </m:r>
          </m:sub>
        </m:sSub>
      </m:oMath>
      <w:r>
        <w:rPr>
          <w:lang w:val="en-US"/>
        </w:rPr>
        <w:t xml:space="preserve"> is the flight time remaining until </w:t>
      </w:r>
      <m:oMath>
        <m:r>
          <w:rPr>
            <w:rFonts w:ascii="Cambria Math" w:hAnsi="Cambria Math"/>
          </w:rPr>
          <m:t>L</m:t>
        </m:r>
      </m:oMath>
      <w:r>
        <w:rPr>
          <w:lang w:val="en-US"/>
        </w:rPr>
        <w:t xml:space="preserve"> under reference-spectrum assumptions.</w:t>
      </w:r>
    </w:p>
    <w:p w14:paraId="5CC3261F" w14:textId="77777777" w:rsidR="008B2183" w:rsidRPr="00DF4621" w:rsidRDefault="00000000">
      <w:pPr>
        <w:pStyle w:val="Corpsdetexte"/>
        <w:rPr>
          <w:lang w:val="en-US"/>
        </w:rPr>
      </w:pPr>
      <w:r>
        <w:rPr>
          <w:lang w:val="en-US"/>
        </w:rPr>
        <w:t xml:space="preserve">The projected life extension assumes that future operation remains reasonably consistent with the accumulated measured usage. </w:t>
      </w:r>
      <m:oMath>
        <m:r>
          <w:rPr>
            <w:rFonts w:ascii="Cambria Math" w:hAnsi="Cambria Math"/>
          </w:rPr>
          <m:t>LR</m:t>
        </m:r>
      </m:oMath>
      <w:r>
        <w:rPr>
          <w:lang w:val="en-US"/>
        </w:rPr>
        <w:t>, cumulative EFI and projected EFI are therefore recalculated at each approved review point using the accumulated valid data. The Life Ratio is highly sensitive to occasional high-load manoeuvres; consistently severe operation may yield little or no life extension. Favourable results observed during the experimental programme do not constitute a guarantee for all aircraft or usage profiles.</w:t>
      </w:r>
    </w:p>
    <w:p w14:paraId="459A6561" w14:textId="77777777" w:rsidR="009A78D5" w:rsidRDefault="00000000">
      <w:pPr>
        <w:pStyle w:val="Titre1"/>
        <w:pageBreakBefore/>
        <w:rPr>
          <w:lang w:val="en-US"/>
        </w:rPr>
      </w:pPr>
      <w:bookmarkStart w:id="9" w:name="_Toc235917322"/>
      <w:r>
        <w:rPr>
          <w:lang w:val="en-US"/>
        </w:rPr>
        <w:lastRenderedPageBreak/>
        <w:t>5. Applicability and Limitations</w:t>
      </w:r>
      <w:bookmarkEnd w:id="9"/>
    </w:p>
    <w:p w14:paraId="4F300637" w14:textId="77777777" w:rsidR="004F2580" w:rsidRPr="004F2580" w:rsidRDefault="004F2580" w:rsidP="004F2580">
      <w:pPr>
        <w:rPr>
          <w:lang w:val="en-US"/>
        </w:rPr>
      </w:pPr>
    </w:p>
    <w:p w14:paraId="006B4CDE" w14:textId="77777777" w:rsidR="008B2183" w:rsidRPr="00DF4621" w:rsidRDefault="00000000" w:rsidP="004F2580">
      <w:pPr>
        <w:pStyle w:val="Corpsdetexte"/>
        <w:numPr>
          <w:ilvl w:val="0"/>
          <w:numId w:val="3"/>
        </w:numPr>
        <w:rPr>
          <w:lang w:val="en-US"/>
        </w:rPr>
      </w:pPr>
      <w:r>
        <w:rPr>
          <w:lang w:val="en-US"/>
        </w:rPr>
        <w:t>The method applies to composite gliders operated within their certified Utility-category flight envelope. Aerobatic-category operation and operation outside Utility-category limitations are not credited under the initial SLM scope.</w:t>
      </w:r>
    </w:p>
    <w:p w14:paraId="2F708ECE" w14:textId="77777777" w:rsidR="008B2183" w:rsidRPr="00DF4621" w:rsidRDefault="00000000" w:rsidP="004F2580">
      <w:pPr>
        <w:pStyle w:val="Corpsdetexte"/>
        <w:numPr>
          <w:ilvl w:val="0"/>
          <w:numId w:val="3"/>
        </w:numPr>
        <w:rPr>
          <w:lang w:val="en-US"/>
        </w:rPr>
      </w:pPr>
      <w:r>
        <w:rPr>
          <w:lang w:val="en-US"/>
        </w:rPr>
        <w:t xml:space="preserve">The Kossira &amp; Reinke Utility spectrum is used as the common EASA-recognized reference representation of glider usage. It is an extrapolated, envelope-covering spectrum. Its extrapolation slightly increases the low-frequency extreme positive-load tail, particularly above approximately </w:t>
      </w:r>
      <m:oMath>
        <m:r>
          <w:rPr>
            <w:rFonts w:ascii="Cambria Math" w:hAnsi="Cambria Math"/>
          </w:rPr>
          <m:t>n</m:t>
        </m:r>
        <m:r>
          <m:rPr>
            <m:sty m:val="p"/>
          </m:rPr>
          <w:rPr>
            <w:rFonts w:ascii="Cambria Math" w:hAnsi="Cambria Math"/>
            <w:lang w:val="en-US"/>
          </w:rPr>
          <m:t>=</m:t>
        </m:r>
        <m:r>
          <w:rPr>
            <w:rFonts w:ascii="Cambria Math" w:hAnsi="Cambria Math"/>
            <w:lang w:val="en-US"/>
          </w:rPr>
          <m:t>5</m:t>
        </m:r>
      </m:oMath>
      <w:r>
        <w:rPr>
          <w:lang w:val="en-US"/>
        </w:rPr>
        <w:t>, but the resulting distribution remains broadly comparable with other published glider spectra and is retained without adjustment.</w:t>
      </w:r>
    </w:p>
    <w:p w14:paraId="0C234A7C" w14:textId="77777777" w:rsidR="008B2183" w:rsidRPr="00DF4621" w:rsidRDefault="00000000" w:rsidP="004F2580">
      <w:pPr>
        <w:pStyle w:val="Corpsdetexte"/>
        <w:numPr>
          <w:ilvl w:val="0"/>
          <w:numId w:val="3"/>
        </w:numPr>
        <w:rPr>
          <w:lang w:val="en-US"/>
        </w:rPr>
      </w:pPr>
      <w:r>
        <w:rPr>
          <w:lang w:val="en-US"/>
        </w:rPr>
        <w:t xml:space="preserve">Measured </w:t>
      </w:r>
      <m:oMath>
        <m:sSub>
          <m:sSubPr>
            <m:ctrlPr>
              <w:rPr>
                <w:rFonts w:ascii="Cambria Math" w:hAnsi="Cambria Math"/>
              </w:rPr>
            </m:ctrlPr>
          </m:sSubPr>
          <m:e>
            <m:r>
              <w:rPr>
                <w:rFonts w:ascii="Cambria Math" w:hAnsi="Cambria Math"/>
              </w:rPr>
              <m:t>N</m:t>
            </m:r>
          </m:e>
          <m:sub>
            <m:r>
              <w:rPr>
                <w:rFonts w:ascii="Cambria Math" w:hAnsi="Cambria Math"/>
              </w:rPr>
              <m:t>z</m:t>
            </m:r>
          </m:sub>
        </m:sSub>
      </m:oMath>
      <w:r>
        <w:rPr>
          <w:lang w:val="en-US"/>
        </w:rPr>
        <w:t xml:space="preserve"> is a first-order proxy for normalized wing-root bending moment and wing fatigue loading, not a direct structural-stress measurement. The effect of tail balancing load is not explicitly corrected. It is expected to be secondary because the tail force is small relative to main-wing lift and may either increase or reduce wing loading, depending on the manoeuvre and pitching-moment balance.</w:t>
      </w:r>
    </w:p>
    <w:p w14:paraId="40ED2743" w14:textId="77777777" w:rsidR="008B2183" w:rsidRPr="00DF4621" w:rsidRDefault="00000000" w:rsidP="004F2580">
      <w:pPr>
        <w:pStyle w:val="Corpsdetexte"/>
        <w:numPr>
          <w:ilvl w:val="0"/>
          <w:numId w:val="3"/>
        </w:numPr>
        <w:rPr>
          <w:lang w:val="en-US"/>
        </w:rPr>
      </w:pPr>
      <w:r>
        <w:rPr>
          <w:lang w:val="en-US"/>
        </w:rPr>
        <w:t xml:space="preserve">The Basquin parameter </w:t>
      </w:r>
      <m:oMath>
        <m:r>
          <w:rPr>
            <w:rFonts w:ascii="Cambria Math" w:hAnsi="Cambria Math"/>
          </w:rPr>
          <m:t>b</m:t>
        </m:r>
        <m:r>
          <m:rPr>
            <m:sty m:val="p"/>
          </m:rPr>
          <w:rPr>
            <w:rFonts w:ascii="Cambria Math" w:hAnsi="Cambria Math"/>
            <w:lang w:val="en-US"/>
          </w:rPr>
          <m:t>=-</m:t>
        </m:r>
        <m:r>
          <w:rPr>
            <w:rFonts w:ascii="Cambria Math" w:hAnsi="Cambria Math"/>
            <w:lang w:val="en-US"/>
          </w:rPr>
          <m:t>0.16</m:t>
        </m:r>
      </m:oMath>
      <w:r>
        <w:rPr>
          <w:lang w:val="en-US"/>
        </w:rPr>
        <w:t xml:space="preserve"> is a generic conservative lower-bound severity-weighting parameter for typical GFRP/CFRP epoxy glider structures. It is applied consistently to the reference and measured spectra and is not presented as the exact fatigue property of a particular wing spar.</w:t>
      </w:r>
    </w:p>
    <w:p w14:paraId="65081DFA" w14:textId="77777777" w:rsidR="008B2183" w:rsidRPr="00DF4621" w:rsidRDefault="00000000" w:rsidP="004F2580">
      <w:pPr>
        <w:pStyle w:val="Corpsdetexte"/>
        <w:numPr>
          <w:ilvl w:val="0"/>
          <w:numId w:val="3"/>
        </w:numPr>
        <w:rPr>
          <w:lang w:val="en-US"/>
        </w:rPr>
      </w:pPr>
      <w:r>
        <w:rPr>
          <w:lang w:val="en-US"/>
        </w:rPr>
        <w:t>All operational time not supported by valid aerodynamic SLM measurements is assigned EFI at the reference rate. This includes time accumulated before valid SLM monitoring begins, excluded non-aerodynamic phases, and missing or invalid data sequences.</w:t>
      </w:r>
    </w:p>
    <w:p w14:paraId="0372DFE2" w14:textId="77777777" w:rsidR="008B2183" w:rsidRPr="00DF4621" w:rsidRDefault="00000000" w:rsidP="004F2580">
      <w:pPr>
        <w:pStyle w:val="Corpsdetexte"/>
        <w:numPr>
          <w:ilvl w:val="0"/>
          <w:numId w:val="3"/>
        </w:numPr>
        <w:rPr>
          <w:lang w:val="en-US"/>
        </w:rPr>
      </w:pPr>
      <w:r>
        <w:rPr>
          <w:lang w:val="en-US"/>
        </w:rPr>
        <w:t>A favourable Life Ratio is not guaranteed. Severe operation or repeated high-load manoeuvres may result in little or no life extension.</w:t>
      </w:r>
    </w:p>
    <w:p w14:paraId="69038F55" w14:textId="77777777" w:rsidR="004F2580" w:rsidRDefault="00000000" w:rsidP="004F2580">
      <w:pPr>
        <w:pStyle w:val="Corpsdetexte"/>
        <w:numPr>
          <w:ilvl w:val="0"/>
          <w:numId w:val="3"/>
        </w:numPr>
        <w:rPr>
          <w:lang w:val="en-US"/>
        </w:rPr>
      </w:pPr>
      <w:r>
        <w:rPr>
          <w:lang w:val="en-US"/>
        </w:rPr>
        <w:t xml:space="preserve">SLM does not assess or claim additional intrinsic material capability beyond the approved Service Life Limit. </w:t>
      </w:r>
    </w:p>
    <w:p w14:paraId="489E8C7D" w14:textId="77777777" w:rsidR="008B2183" w:rsidRPr="00DF4621" w:rsidRDefault="00000000" w:rsidP="004F2580">
      <w:pPr>
        <w:pStyle w:val="Corpsdetexte"/>
        <w:numPr>
          <w:ilvl w:val="0"/>
          <w:numId w:val="3"/>
        </w:numPr>
        <w:rPr>
          <w:lang w:val="en-US"/>
        </w:rPr>
      </w:pPr>
      <w:r>
        <w:rPr>
          <w:lang w:val="en-US"/>
        </w:rPr>
        <w:t>Continued operation remains subject to the Instructions for Continued Airworthiness defined in the approved AFMS-AMMS (Aircraft Flight Manual Supplement / Aircraft Maintenance Manual Supplement), including recorder calibration, data validation, inspections and all other continued-airworthiness requirements.</w:t>
      </w:r>
    </w:p>
    <w:p w14:paraId="058084BC" w14:textId="77777777" w:rsidR="009A78D5" w:rsidRPr="00FC5004" w:rsidRDefault="00000000">
      <w:pPr>
        <w:pStyle w:val="Titre1"/>
        <w:pageBreakBefore/>
        <w:rPr>
          <w:lang w:val="en-US"/>
        </w:rPr>
      </w:pPr>
      <w:bookmarkStart w:id="10" w:name="_Toc235917323"/>
      <w:r>
        <w:rPr>
          <w:lang w:val="en-US"/>
        </w:rPr>
        <w:lastRenderedPageBreak/>
        <w:t>6. Concept of Operation associated with methodology</w:t>
      </w:r>
      <w:bookmarkEnd w:id="10"/>
    </w:p>
    <w:p w14:paraId="2E70D44C" w14:textId="77777777" w:rsidR="008B2183" w:rsidRPr="00DF4621" w:rsidRDefault="00A35C65">
      <w:pPr>
        <w:pStyle w:val="Corpsdetexte"/>
        <w:rPr>
          <w:lang w:val="en-US"/>
        </w:rPr>
      </w:pPr>
      <w:r>
        <w:rPr>
          <w:lang w:val="en-US"/>
        </w:rPr>
        <w:br/>
        <w:t>This section provides the methodology-level Concept of Operation (CONOPS). Practical installation, calibration, data acquisition, data validation, processing, maintenance, inspection, reporting, and airworthiness decision rules are controlled by the certification package, including the Certification Programme and the AFMS-AMMS.</w:t>
      </w:r>
      <w:r>
        <w:rPr>
          <w:lang w:val="en-US"/>
        </w:rPr>
        <w:br/>
      </w:r>
    </w:p>
    <w:p w14:paraId="398D43B2" w14:textId="77777777" w:rsidR="008B2183" w:rsidRPr="00DF4621" w:rsidRDefault="00000000">
      <w:pPr>
        <w:pStyle w:val="Corpsdetexte"/>
        <w:rPr>
          <w:lang w:val="en-US"/>
        </w:rPr>
      </w:pPr>
      <w:r>
        <w:rPr>
          <w:b/>
          <w:lang w:val="en-US"/>
        </w:rPr>
        <w:t xml:space="preserve">Phase 1 — Instrumentation and Data Collection (below the approved Service Life Limit) </w:t>
      </w:r>
      <w:r>
        <w:rPr>
          <w:lang w:val="en-US"/>
        </w:rPr>
        <w:t>The SLM recorder is installed in accordance with the approved installation basis. Installation calibration and annual 6-face calibration are recorded in the aircraft logbook. Flight data are uploaded to the controlled SLM repository and processed using the approved toolset. Reference-rate substitution is applied to all operational time not supported by valid aerodynamic SLM measurements, including time accumulated before valid SLM monitoring begins, excluded non-aerodynamic phases, and missing or invalid data sequences. No measured-usage credit is granted for these periods.</w:t>
      </w:r>
      <w:r>
        <w:rPr>
          <w:lang w:val="en-US"/>
        </w:rPr>
        <w:br/>
      </w:r>
    </w:p>
    <w:p w14:paraId="7B6AE691" w14:textId="77777777" w:rsidR="008B2183" w:rsidRPr="00DF4621" w:rsidRDefault="00000000">
      <w:pPr>
        <w:pStyle w:val="Corpsdetexte"/>
        <w:rPr>
          <w:lang w:val="en-US"/>
        </w:rPr>
      </w:pPr>
      <w:r>
        <w:rPr>
          <w:b/>
          <w:bCs/>
          <w:lang w:val="en-US"/>
        </w:rPr>
        <w:t>Phase 2 — EFI Evaluation at the Approved Service Life Limit</w:t>
      </w:r>
      <w:r>
        <w:rPr>
          <w:lang w:val="en-US"/>
        </w:rPr>
        <w:t xml:space="preserve"> When the aircraft reaches </w:t>
      </w:r>
      <m:oMath>
        <m:r>
          <w:rPr>
            <w:rFonts w:ascii="Cambria Math" w:hAnsi="Cambria Math"/>
          </w:rPr>
          <m:t>L</m:t>
        </m:r>
      </m:oMath>
      <w:r>
        <w:rPr>
          <w:lang w:val="en-US"/>
        </w:rPr>
        <w:t>, a structural inspection is performed in accordance with the approved AFMS-AMMS. Continued operation may be authorized when the inspection result is acceptable and the approved EFI assessment shows:</w:t>
      </w:r>
    </w:p>
    <w:p w14:paraId="4F1C3FE3" w14:textId="77777777" w:rsidR="008B2183" w:rsidRDefault="00000000">
      <w:pPr>
        <w:pStyle w:val="Corpsdetexte"/>
        <w:jc w:val="center"/>
      </w:pPr>
      <m:oMathPara>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total</m:t>
              </m:r>
            </m:sub>
          </m:sSub>
          <m:r>
            <m:rPr>
              <m:sty m:val="p"/>
            </m:rPr>
            <w:rPr>
              <w:rFonts w:ascii="Cambria Math" w:hAnsi="Cambria Math"/>
            </w:rPr>
            <m:t>&lt;</m:t>
          </m:r>
          <m:r>
            <w:rPr>
              <w:rFonts w:ascii="Cambria Math" w:hAnsi="Cambria Math"/>
            </w:rPr>
            <m:t>1</m:t>
          </m:r>
          <m:r>
            <m:rPr>
              <m:sty m:val="p"/>
            </m:rPr>
            <w:br/>
          </m:r>
        </m:oMath>
      </m:oMathPara>
    </w:p>
    <w:p w14:paraId="09CBC102" w14:textId="77777777" w:rsidR="008B2183" w:rsidRPr="00DF4621" w:rsidRDefault="00000000">
      <w:pPr>
        <w:pStyle w:val="Corpsdetexte"/>
        <w:rPr>
          <w:lang w:val="en-US"/>
        </w:rPr>
      </w:pPr>
      <w:r>
        <w:rPr>
          <w:b/>
          <w:bCs/>
          <w:lang w:val="en-US"/>
        </w:rPr>
        <w:t>Phase 3 — Operation Beyond the Approved Service Life Limit</w:t>
      </w:r>
      <w:r>
        <w:rPr>
          <w:lang w:val="en-US"/>
        </w:rPr>
        <w:t xml:space="preserve"> Operation beyond </w:t>
      </w:r>
      <m:oMath>
        <m:r>
          <w:rPr>
            <w:rFonts w:ascii="Cambria Math" w:hAnsi="Cambria Math"/>
          </w:rPr>
          <m:t>L</m:t>
        </m:r>
      </m:oMath>
      <w:r>
        <w:rPr>
          <w:lang w:val="en-US"/>
        </w:rPr>
        <w:t xml:space="preserve"> continues with SLM monitoring and the approved continued-airworthiness controls. A Go/No-Go decision is made at each annual visit, ARC (Airworthiness Review Certificate) renewal, or other approved review point using the validated SLM EFI status report. The Go criterion includes both the current cumulative EFI and the projected EFI consumption before the next approved review point:</w:t>
      </w:r>
    </w:p>
    <w:p w14:paraId="68B81F86" w14:textId="77777777" w:rsidR="008B2183" w:rsidRDefault="00000000">
      <w:pPr>
        <w:pStyle w:val="Corpsdetexte"/>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total</m:t>
              </m:r>
              <m:r>
                <m:rPr>
                  <m:sty m:val="p"/>
                </m:rPr>
                <w:rPr>
                  <w:rFonts w:ascii="Cambria Math" w:hAnsi="Cambria Math"/>
                </w:rPr>
                <m:t>,</m:t>
              </m:r>
              <m:r>
                <w:rPr>
                  <w:rFonts w:ascii="Cambria Math" w:hAnsi="Cambria Math"/>
                </w:rPr>
                <m:t>projected</m:t>
              </m:r>
            </m:sub>
          </m:sSub>
          <m:r>
            <m:rPr>
              <m:sty m:val="p"/>
            </m:rPr>
            <w:rPr>
              <w:rFonts w:ascii="Cambria Math" w:hAnsi="Cambria Math"/>
            </w:rPr>
            <m:t>&lt;</m:t>
          </m:r>
          <m:r>
            <w:rPr>
              <w:rFonts w:ascii="Cambria Math" w:hAnsi="Cambria Math"/>
            </w:rPr>
            <m:t>1</m:t>
          </m:r>
        </m:oMath>
      </m:oMathPara>
    </w:p>
    <w:p w14:paraId="7A9E418D" w14:textId="77777777" w:rsidR="008B2183" w:rsidRPr="00DF4621" w:rsidRDefault="00000000">
      <w:pPr>
        <w:pStyle w:val="Corpsdetexte"/>
        <w:rPr>
          <w:lang w:val="en-US"/>
        </w:rPr>
      </w:pPr>
      <w:r>
        <w:rPr>
          <w:lang w:val="en-US"/>
        </w:rPr>
        <w:t>Recurring structural inspections continue at the interval defined in the approved AFMS-AMMS. Any existing approved type-specific inspection requirements remain applicable unless explicitly superseded by the approved SLM programme.</w:t>
      </w:r>
    </w:p>
    <w:p w14:paraId="2445B151" w14:textId="77777777" w:rsidR="009A78D5" w:rsidRPr="00FC5004" w:rsidRDefault="00000000">
      <w:pPr>
        <w:pStyle w:val="Titre1"/>
        <w:pageBreakBefore/>
        <w:rPr>
          <w:lang w:val="en-US"/>
        </w:rPr>
      </w:pPr>
      <w:bookmarkStart w:id="11" w:name="_Toc235917324"/>
      <w:r>
        <w:rPr>
          <w:lang w:val="en-US"/>
        </w:rPr>
        <w:lastRenderedPageBreak/>
        <w:t>7. Appendix A — Kossira &amp; Reinke Processing Rules for Software Implementation</w:t>
      </w:r>
      <w:bookmarkEnd w:id="11"/>
    </w:p>
    <w:p w14:paraId="20B023E7" w14:textId="730C96EF" w:rsidR="009A78D5" w:rsidRPr="00FC5004" w:rsidRDefault="00000000">
      <w:pPr>
        <w:rPr>
          <w:lang w:val="en-US"/>
        </w:rPr>
      </w:pPr>
      <w:r>
        <w:rPr>
          <w:lang w:val="en-US"/>
        </w:rPr>
        <w:t>This appendix defines the deterministic software rules used to generate a 32-class occurrence spectrum from valid aerodynamic load-factor data using the Kossira &amp; Reinke method.</w:t>
      </w:r>
      <w:r>
        <w:rPr>
          <w:lang w:val="en-US"/>
        </w:rPr>
        <w:br/>
      </w:r>
    </w:p>
    <w:p w14:paraId="205E2698" w14:textId="77777777" w:rsidR="009A78D5" w:rsidRPr="00FC5004" w:rsidRDefault="00000000">
      <w:pPr>
        <w:pStyle w:val="Titre2"/>
        <w:rPr>
          <w:lang w:val="en-US"/>
        </w:rPr>
      </w:pPr>
      <w:bookmarkStart w:id="12" w:name="_Toc235917325"/>
      <w:bookmarkStart w:id="13" w:name="X0112d35c5ed4ef1db71d342222baad03e6fee04"/>
      <w:r>
        <w:rPr>
          <w:lang w:val="en-US"/>
        </w:rPr>
        <w:t>A.1 Constants, class convention, and notation</w:t>
      </w:r>
      <w:bookmarkEnd w:id="12"/>
    </w:p>
    <w:p w14:paraId="56FB483E" w14:textId="77777777" w:rsidR="009A78D5" w:rsidRPr="00FC5004" w:rsidRDefault="00000000">
      <w:pPr>
        <w:rPr>
          <w:lang w:val="en-US"/>
        </w:rPr>
      </w:pPr>
      <w:r>
        <w:rPr>
          <w:lang w:val="en-US"/>
        </w:rPr>
        <w:t>The Kossira &amp; Reinke processing chain uses 1024 fine classes and 32 coarse classes:</w:t>
      </w:r>
    </w:p>
    <w:p w14:paraId="010F671E" w14:textId="77777777" w:rsidR="009A78D5"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fine</m:t>
              </m:r>
            </m:sub>
          </m:sSub>
          <m:r>
            <w:rPr>
              <w:rFonts w:ascii="Cambria Math" w:hAnsi="Cambria Math"/>
            </w:rPr>
            <m:t>=1024</m:t>
          </m:r>
        </m:oMath>
      </m:oMathPara>
    </w:p>
    <w:p w14:paraId="46F38F4A" w14:textId="77777777" w:rsidR="009A78D5" w:rsidRDefault="00000000">
      <w:pPr>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coarse</m:t>
              </m:r>
            </m:sub>
          </m:sSub>
          <m:r>
            <w:rPr>
              <w:rFonts w:ascii="Cambria Math" w:hAnsi="Cambria Math"/>
            </w:rPr>
            <m:t>=32</m:t>
          </m:r>
        </m:oMath>
      </m:oMathPara>
    </w:p>
    <w:p w14:paraId="08CCD5DD" w14:textId="77777777" w:rsidR="009A78D5" w:rsidRPr="00FC5004" w:rsidRDefault="00000000">
      <w:pPr>
        <w:rPr>
          <w:lang w:val="en-US"/>
        </w:rPr>
      </w:pPr>
      <w:r>
        <w:rPr>
          <w:lang w:val="en-US"/>
        </w:rPr>
        <w:t>For the Utility reference reconstruction, the load-factor range is taken from the ABB.164 axis:</w:t>
      </w:r>
    </w:p>
    <w:p w14:paraId="35354545" w14:textId="77777777" w:rsidR="009A78D5" w:rsidRDefault="00000000">
      <w:pPr>
        <w:pStyle w:val="Corpsdetexte"/>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=-4g</m:t>
          </m:r>
        </m:oMath>
      </m:oMathPara>
    </w:p>
    <w:p w14:paraId="57AF3491" w14:textId="77777777" w:rsidR="009A78D5" w:rsidRDefault="00000000">
      <w:pPr>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max</m:t>
              </m:r>
            </m:sub>
          </m:sSub>
          <m:r>
            <w:rPr>
              <w:rFonts w:ascii="Cambria Math" w:hAnsi="Cambria Math"/>
            </w:rPr>
            <m:t>=+7g</m:t>
          </m:r>
        </m:oMath>
      </m:oMathPara>
    </w:p>
    <w:p w14:paraId="778089F8" w14:textId="77777777" w:rsidR="009A78D5" w:rsidRDefault="00000000">
      <w:r>
        <w:t>The resulting range is:</w:t>
      </w:r>
    </w:p>
    <w:p w14:paraId="1939F37F" w14:textId="77777777" w:rsidR="009A78D5" w:rsidRDefault="00000000">
      <w:pPr>
        <w:pStyle w:val="Corpsdetexte"/>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range</m:t>
              </m:r>
            </m:sub>
          </m:sSub>
          <m:r>
            <w:rPr>
              <w:rFonts w:ascii="Cambria Math" w:hAnsi="Cambria Math"/>
            </w:rPr>
            <m:t>=11g</m:t>
          </m:r>
        </m:oMath>
      </m:oMathPara>
    </w:p>
    <w:p w14:paraId="5F3F011D" w14:textId="77777777" w:rsidR="009A78D5" w:rsidRDefault="00000000">
      <w:r>
        <w:rPr>
          <w:lang w:val="en-US"/>
        </w:rPr>
        <w:t xml:space="preserve">This is consistent with a 10-bit acquisition or digitization hypothesis: the 11 g range is divided into 1024 fine classes. </w:t>
      </w:r>
      <w:r>
        <w:t>Therefore:</w:t>
      </w:r>
    </w:p>
    <w:p w14:paraId="0F1A954C" w14:textId="77777777" w:rsidR="009A78D5" w:rsidRDefault="00000000">
      <w:pPr>
        <w:pStyle w:val="Corpsdetexte"/>
        <w:jc w:val="center"/>
      </w:pPr>
      <m:oMathPara>
        <m:oMathParaPr>
          <m:jc m:val="center"/>
        </m:oMathParaPr>
        <m:oMath>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1024</m:t>
              </m:r>
            </m:den>
          </m:f>
          <m:r>
            <w:rPr>
              <w:rFonts w:ascii="Cambria Math" w:hAnsi="Cambria Math"/>
            </w:rPr>
            <m:t>=0.0107421875g</m:t>
          </m:r>
        </m:oMath>
      </m:oMathPara>
    </w:p>
    <w:p w14:paraId="09DE3D55" w14:textId="77777777" w:rsidR="009A78D5" w:rsidRPr="00FC5004" w:rsidRDefault="00000000">
      <w:pPr>
        <w:rPr>
          <w:lang w:val="en-US"/>
        </w:rPr>
      </w:pPr>
      <w:r>
        <w:rPr>
          <w:lang w:val="en-US"/>
        </w:rPr>
        <w:t>Grouping 32 fine classes into one coarse Kossira &amp; Reinke class gives:</w:t>
      </w:r>
    </w:p>
    <w:p w14:paraId="2DE3AC9D" w14:textId="77777777" w:rsidR="009A78D5" w:rsidRDefault="00000000">
      <w:pPr>
        <w:pStyle w:val="Corpsdetexte"/>
        <w:jc w:val="center"/>
      </w:pPr>
      <m:oMathPara>
        <m:oMathParaPr>
          <m:jc m:val="center"/>
        </m:oMathParaPr>
        <m:oMath>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r>
            <w:rPr>
              <w:rFonts w:ascii="Cambria Math" w:hAnsi="Cambria Math"/>
            </w:rPr>
            <m:t>=32ΔL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32</m:t>
              </m:r>
            </m:den>
          </m:f>
          <m:r>
            <w:rPr>
              <w:rFonts w:ascii="Cambria Math" w:hAnsi="Cambria Math"/>
            </w:rPr>
            <m:t>=0.34375g</m:t>
          </m:r>
        </m:oMath>
      </m:oMathPara>
    </w:p>
    <w:p w14:paraId="1261C87F" w14:textId="77777777" w:rsidR="009A78D5" w:rsidRPr="00FC5004" w:rsidRDefault="00000000">
      <w:pPr>
        <w:rPr>
          <w:lang w:val="en-US"/>
        </w:rPr>
      </w:pPr>
      <w:r>
        <w:rPr>
          <w:lang w:val="en-US"/>
        </w:rPr>
        <w:t>The Kossira &amp; Reinke hysteresis threshold is:</w:t>
      </w:r>
    </w:p>
    <w:p w14:paraId="4C557239" w14:textId="77777777" w:rsidR="009A78D5" w:rsidRDefault="00000000">
      <w:pPr>
        <w:pStyle w:val="Corpsdetexte"/>
        <w:jc w:val="center"/>
      </w:pPr>
      <m:oMathPara>
        <m:oMathParaPr>
          <m:jc m:val="center"/>
        </m:oMathParaPr>
        <m:oMath>
          <m:r>
            <w:rPr>
              <w:rFonts w:ascii="Cambria Math" w:hAnsi="Cambria Math"/>
            </w:rPr>
            <m:t>DX=10</m:t>
          </m:r>
        </m:oMath>
      </m:oMathPara>
    </w:p>
    <w:p w14:paraId="050BD67E" w14:textId="77777777" w:rsidR="009A78D5" w:rsidRDefault="00000000">
      <w:r>
        <w:t>therefore:</w:t>
      </w:r>
    </w:p>
    <w:p w14:paraId="323054D3" w14:textId="77777777" w:rsidR="009A78D5" w:rsidRDefault="00000000">
      <w:pPr>
        <w:pStyle w:val="Corpsdetexte"/>
        <w:jc w:val="center"/>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g</m:t>
              </m:r>
            </m:sub>
          </m:sSub>
          <m:r>
            <w:rPr>
              <w:rFonts w:ascii="Cambria Math" w:hAnsi="Cambria Math"/>
            </w:rPr>
            <m:t>=10ΔL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=0.107421875g</m:t>
          </m:r>
        </m:oMath>
      </m:oMathPara>
    </w:p>
    <w:p w14:paraId="0332ED36" w14:textId="77777777" w:rsidR="009A78D5" w:rsidRPr="00FC5004" w:rsidRDefault="00000000">
      <w:pPr>
        <w:rPr>
          <w:lang w:val="en-US"/>
        </w:rPr>
      </w:pPr>
      <w:r>
        <w:rPr>
          <w:lang w:val="en-US"/>
        </w:rPr>
        <w:t xml:space="preserve">The approved Utility class table shall be included in the calculation package. In zero-based notation, coarse class </w:t>
      </w:r>
      <m:oMath>
        <m:r>
          <w:rPr>
            <w:rFonts w:ascii="Cambria Math" w:hAnsi="Cambria Math"/>
          </w:rPr>
          <m:t>c</m:t>
        </m:r>
      </m:oMath>
      <w:r>
        <w:rPr>
          <w:lang w:val="en-US"/>
        </w:rPr>
        <w:t xml:space="preserve"> covers the interval:</w:t>
      </w:r>
    </w:p>
    <w:p w14:paraId="53C2D9D4" w14:textId="77777777" w:rsidR="009A78D5" w:rsidRDefault="00000000">
      <w:pPr>
        <w:pStyle w:val="Corpsdetexte"/>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+cΔL</m:t>
          </m:r>
          <m:sSub>
            <m:sSubPr>
              <m:ctrlPr>
                <w:rPr>
                  <w:rFonts w:ascii="Cambria Math" w:hAnsi="Cambria Math"/>
                </w:rPr>
              </m:ctrlPr>
            </m:sSubPr>
            <m:e>
              <m:r>
                <w:rPr>
                  <w:rFonts w:ascii="Cambria Math" w:hAnsi="Cambria Math"/>
                </w:rPr>
                <m:t>F</m:t>
              </m:r>
            </m:e>
            <m:sub>
              <m:r>
                <w:rPr>
                  <w:rFonts w:ascii="Cambria Math" w:hAnsi="Cambria Math"/>
                </w:rPr>
                <m:t>coarse</m:t>
              </m:r>
            </m:sub>
          </m:sSub>
          <m:r>
            <w:rPr>
              <w:rFonts w:ascii="Cambria Math" w:hAnsi="Cambria Math"/>
            </w:rPr>
            <m:t>≤LF&lt;L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r>
                <w:rPr>
                  <w:rFonts w:ascii="Cambria Math" w:hAnsi="Cambria Math"/>
                </w:rPr>
                <m:t>c+1</m:t>
              </m:r>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oMath>
      </m:oMathPara>
    </w:p>
    <w:p w14:paraId="752B701C" w14:textId="77777777" w:rsidR="009A78D5" w:rsidRDefault="00000000">
      <w:r>
        <w:t>with:</w:t>
      </w:r>
    </w:p>
    <w:p w14:paraId="1E78C7B4" w14:textId="77777777" w:rsidR="009A78D5" w:rsidRDefault="00000000">
      <w:pPr>
        <w:pStyle w:val="Corpsdetexte"/>
        <w:jc w:val="center"/>
      </w:pPr>
      <m:oMathPara>
        <m:oMathParaPr>
          <m:jc m:val="center"/>
        </m:oMathParaPr>
        <m:oMath>
          <m:r>
            <w:rPr>
              <w:rFonts w:ascii="Cambria Math" w:hAnsi="Cambria Math"/>
            </w:rPr>
            <m:t>c=0…31</m:t>
          </m:r>
        </m:oMath>
      </m:oMathPara>
    </w:p>
    <w:p w14:paraId="1A91FCAA" w14:textId="77777777" w:rsidR="009A78D5" w:rsidRPr="00FC5004" w:rsidRDefault="00000000">
      <w:pPr>
        <w:rPr>
          <w:lang w:val="en-US"/>
        </w:rPr>
      </w:pPr>
      <w:r>
        <w:rPr>
          <w:lang w:val="en-US"/>
        </w:rPr>
        <w:t>For EFI calculation, the class representative value is the class center:</w:t>
      </w:r>
    </w:p>
    <w:p w14:paraId="6D96C90A" w14:textId="77777777" w:rsidR="009A78D5" w:rsidRDefault="00000000">
      <w:pPr>
        <w:pStyle w:val="Corpsdetexte"/>
        <w:jc w:val="center"/>
      </w:pPr>
      <m:oMathPara>
        <m:oMathParaPr>
          <m:jc m:val="center"/>
        </m:oMathParaPr>
        <m:oMath>
          <m:r>
            <w:rPr>
              <w:rFonts w:ascii="Cambria Math" w:hAnsi="Cambria Math"/>
            </w:rPr>
            <m:t>LF</m:t>
          </m:r>
          <m:d>
            <m:dPr>
              <m:ctrlPr>
                <w:rPr>
                  <w:rFonts w:ascii="Cambria Math" w:hAnsi="Cambria Math"/>
                </w:rPr>
              </m:ctrlPr>
            </m:dPr>
            <m:e>
              <m:r>
                <w:rPr>
                  <w:rFonts w:ascii="Cambria Math" w:hAnsi="Cambria Math"/>
                </w:rPr>
                <m:t>c</m:t>
              </m:r>
            </m:e>
          </m:d>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r>
                <w:rPr>
                  <w:rFonts w:ascii="Cambria Math" w:hAnsi="Cambria Math"/>
                </w:rPr>
                <m:t>c+</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oMath>
      </m:oMathPara>
    </w:p>
    <w:p w14:paraId="4CAB892E" w14:textId="77777777" w:rsidR="009A78D5" w:rsidRPr="00FC5004" w:rsidRDefault="00000000">
      <w:pPr>
        <w:rPr>
          <w:lang w:val="en-US"/>
        </w:rPr>
      </w:pPr>
      <w:r>
        <w:rPr>
          <w:lang w:val="en-US"/>
        </w:rPr>
        <w:t>Equivalently, in one-based notation:</w:t>
      </w:r>
    </w:p>
    <w:p w14:paraId="6BBA8FFC" w14:textId="77777777" w:rsidR="009A78D5" w:rsidRDefault="00000000">
      <w:pPr>
        <w:pStyle w:val="Corpsdetexte"/>
        <w:jc w:val="center"/>
      </w:pPr>
      <m:oMathPara>
        <m:oMathParaPr>
          <m:jc m:val="center"/>
        </m:oMathParaPr>
        <m:oMath>
          <m:r>
            <w:rPr>
              <w:rFonts w:ascii="Cambria Math" w:hAnsi="Cambria Math"/>
            </w:rPr>
            <m:t>LF</m:t>
          </m:r>
          <m:d>
            <m:dPr>
              <m:ctrlPr>
                <w:rPr>
                  <w:rFonts w:ascii="Cambria Math" w:hAnsi="Cambria Math"/>
                </w:rPr>
              </m:ctrlPr>
            </m:dPr>
            <m:e>
              <m:r>
                <w:rPr>
                  <w:rFonts w:ascii="Cambria Math" w:hAnsi="Cambria Math"/>
                </w:rPr>
                <m:t>q</m:t>
              </m:r>
            </m:e>
          </m:d>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r>
                <w:rPr>
                  <w:rFonts w:ascii="Cambria Math" w:hAnsi="Cambria Math"/>
                </w:rPr>
                <m:t>q-</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oMath>
      </m:oMathPara>
    </w:p>
    <w:p w14:paraId="6F32B46D" w14:textId="77777777" w:rsidR="009A78D5" w:rsidRDefault="00000000">
      <w:r>
        <w:t>with:</w:t>
      </w:r>
    </w:p>
    <w:p w14:paraId="0740996F" w14:textId="77777777" w:rsidR="009A78D5" w:rsidRDefault="00000000">
      <w:pPr>
        <w:pStyle w:val="Corpsdetexte"/>
        <w:jc w:val="center"/>
      </w:pPr>
      <m:oMathPara>
        <m:oMathParaPr>
          <m:jc m:val="center"/>
        </m:oMathParaPr>
        <m:oMath>
          <m:r>
            <w:rPr>
              <w:rFonts w:ascii="Cambria Math" w:hAnsi="Cambria Math"/>
            </w:rPr>
            <m:t>q=1…32</m:t>
          </m:r>
        </m:oMath>
      </m:oMathPara>
    </w:p>
    <w:p w14:paraId="544AF716" w14:textId="77777777" w:rsidR="009A78D5" w:rsidRPr="00FC5004" w:rsidRDefault="00000000">
      <w:pPr>
        <w:rPr>
          <w:lang w:val="en-US"/>
        </w:rPr>
      </w:pPr>
      <w:r>
        <w:rPr>
          <w:lang w:val="en-US"/>
        </w:rPr>
        <w:t xml:space="preserve">where </w:t>
      </w:r>
      <m:oMath>
        <m:r>
          <w:rPr>
            <w:rFonts w:ascii="Cambria Math" w:hAnsi="Cambria Math"/>
          </w:rPr>
          <m:t>q</m:t>
        </m:r>
        <m:r>
          <w:rPr>
            <w:rFonts w:ascii="Cambria Math" w:hAnsi="Cambria Math"/>
            <w:lang w:val="en-US"/>
          </w:rPr>
          <m:t>=1</m:t>
        </m:r>
      </m:oMath>
      <w:r>
        <w:rPr>
          <w:lang w:val="en-US"/>
        </w:rPr>
        <w:t xml:space="preserve"> is the lowest load-factor class and </w:t>
      </w:r>
      <m:oMath>
        <m:r>
          <w:rPr>
            <w:rFonts w:ascii="Cambria Math" w:hAnsi="Cambria Math"/>
          </w:rPr>
          <m:t>q</m:t>
        </m:r>
        <m:r>
          <w:rPr>
            <w:rFonts w:ascii="Cambria Math" w:hAnsi="Cambria Math"/>
            <w:lang w:val="en-US"/>
          </w:rPr>
          <m:t>=32</m:t>
        </m:r>
      </m:oMath>
      <w:r>
        <w:rPr>
          <w:lang w:val="en-US"/>
        </w:rPr>
        <w:t xml:space="preserve"> is the highest load-factor class.</w:t>
      </w:r>
    </w:p>
    <w:p w14:paraId="5AF5F6EF" w14:textId="77777777" w:rsidR="009A78D5" w:rsidRPr="00FC5004" w:rsidRDefault="00000000">
      <w:pPr>
        <w:pStyle w:val="Corpsdetexte"/>
        <w:rPr>
          <w:lang w:val="en-US"/>
        </w:rPr>
      </w:pPr>
      <w:r>
        <w:rPr>
          <w:lang w:val="en-US"/>
        </w:rPr>
        <w:t>Software shall use zero-based class numbering internally unless otherwise specified:</w:t>
      </w:r>
    </w:p>
    <w:p w14:paraId="290F16E7" w14:textId="77777777" w:rsidR="009A78D5" w:rsidRPr="00FC5004" w:rsidRDefault="00000000">
      <w:pPr>
        <w:rPr>
          <w:lang w:val="en-US"/>
        </w:rPr>
      </w:pPr>
      <w:r>
        <w:rPr>
          <w:lang w:val="en-US"/>
        </w:rPr>
        <w:lastRenderedPageBreak/>
        <w:t xml:space="preserve">fine classes: </w:t>
      </w:r>
      <m:oMath>
        <m:r>
          <w:rPr>
            <w:rFonts w:ascii="Cambria Math" w:hAnsi="Cambria Math"/>
            <w:lang w:val="en-US"/>
          </w:rPr>
          <m:t>0…1023</m:t>
        </m:r>
      </m:oMath>
      <w:r>
        <w:rPr>
          <w:lang w:val="en-US"/>
        </w:rPr>
        <w:t>;</w:t>
      </w:r>
    </w:p>
    <w:p w14:paraId="42EE5ADC" w14:textId="450737B9" w:rsidR="009A78D5" w:rsidRPr="00FC5004" w:rsidRDefault="00000000">
      <w:pPr>
        <w:rPr>
          <w:lang w:val="en-US"/>
        </w:rPr>
      </w:pPr>
      <w:r>
        <w:rPr>
          <w:lang w:val="en-US"/>
        </w:rPr>
        <w:t xml:space="preserve">coarse classes: </w:t>
      </w:r>
      <m:oMath>
        <m:r>
          <w:rPr>
            <w:rFonts w:ascii="Cambria Math" w:hAnsi="Cambria Math"/>
            <w:lang w:val="en-US"/>
          </w:rPr>
          <m:t>0…31</m:t>
        </m:r>
      </m:oMath>
      <w:r>
        <w:rPr>
          <w:lang w:val="en-US"/>
        </w:rPr>
        <w:t>.</w:t>
      </w:r>
      <w:bookmarkEnd w:id="13"/>
      <w:r>
        <w:rPr>
          <w:lang w:val="en-US"/>
        </w:rPr>
        <w:br/>
      </w:r>
    </w:p>
    <w:p w14:paraId="4D207393" w14:textId="77777777" w:rsidR="009A78D5" w:rsidRPr="00FC5004" w:rsidRDefault="00000000">
      <w:pPr>
        <w:pStyle w:val="Titre2"/>
        <w:rPr>
          <w:lang w:val="en-US"/>
        </w:rPr>
      </w:pPr>
      <w:bookmarkStart w:id="14" w:name="_Toc235917326"/>
      <w:r>
        <w:rPr>
          <w:lang w:val="en-US"/>
        </w:rPr>
        <w:t>A.2 Load factor to 1024-class conversion</w:t>
      </w:r>
      <w:bookmarkEnd w:id="14"/>
    </w:p>
    <w:p w14:paraId="70FEBD72" w14:textId="77777777" w:rsidR="009A78D5" w:rsidRPr="00FC5004" w:rsidRDefault="00000000">
      <w:pPr>
        <w:rPr>
          <w:lang w:val="en-US"/>
        </w:rPr>
      </w:pPr>
      <w:r>
        <w:rPr>
          <w:lang w:val="en-US"/>
        </w:rPr>
        <w:t xml:space="preserve">For each valid load-factor sample </w:t>
      </w:r>
      <m:oMath>
        <m:r>
          <w:rPr>
            <w:rFonts w:ascii="Cambria Math" w:hAnsi="Cambria Math"/>
          </w:rPr>
          <m:t>LF</m:t>
        </m:r>
      </m:oMath>
      <w:r>
        <w:rPr>
          <w:lang w:val="en-US"/>
        </w:rPr>
        <w:t>, the corresponding 1024-class value shall be:</w:t>
      </w:r>
    </w:p>
    <w:p w14:paraId="77B69F98" w14:textId="77777777" w:rsidR="009A78D5"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1024</m:t>
              </m:r>
            </m:sub>
          </m:sSub>
          <m:r>
            <w:rPr>
              <w:rFonts w:ascii="Cambria Math" w:hAnsi="Cambria Math"/>
            </w:rPr>
            <m:t>=clip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LF-L</m:t>
                  </m:r>
                  <m:sSub>
                    <m:sSubPr>
                      <m:ctrlPr>
                        <w:rPr>
                          <w:rFonts w:ascii="Cambria Math" w:hAnsi="Cambria Math"/>
                        </w:rPr>
                      </m:ctrlPr>
                    </m:sSubPr>
                    <m:e>
                      <m:r>
                        <w:rPr>
                          <w:rFonts w:ascii="Cambria Math" w:hAnsi="Cambria Math"/>
                        </w:rPr>
                        <m:t>F</m:t>
                      </m:r>
                    </m:e>
                    <m:sub>
                      <m:r>
                        <w:rPr>
                          <w:rFonts w:ascii="Cambria Math" w:hAnsi="Cambria Math"/>
                        </w:rPr>
                        <m:t>min</m:t>
                      </m:r>
                    </m:sub>
                  </m:sSub>
                </m:num>
                <m:den>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fine</m:t>
                      </m:r>
                    </m:sub>
                  </m:sSub>
                </m:den>
              </m:f>
              <m:r>
                <w:rPr>
                  <w:rFonts w:ascii="Cambria Math" w:hAnsi="Cambria Math"/>
                </w:rPr>
                <m:t>⌋,0,1023</m:t>
              </m:r>
            </m:e>
          </m:d>
        </m:oMath>
      </m:oMathPara>
    </w:p>
    <w:p w14:paraId="34157AB0" w14:textId="77777777" w:rsidR="009A78D5" w:rsidRPr="00FC5004" w:rsidRDefault="00000000">
      <w:pPr>
        <w:rPr>
          <w:lang w:val="en-US"/>
        </w:rPr>
      </w:pPr>
      <w:r>
        <w:rPr>
          <w:lang w:val="en-US"/>
        </w:rPr>
        <w:t xml:space="preserve">where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lang w:val="en-US"/>
          </w:rPr>
          <m:t>=-4</m:t>
        </m:r>
        <m:r>
          <w:rPr>
            <w:rFonts w:ascii="Cambria Math" w:hAnsi="Cambria Math"/>
          </w:rPr>
          <m:t>g</m:t>
        </m:r>
      </m:oMath>
      <w:r>
        <w:rPr>
          <w:lang w:val="en-US"/>
        </w:rPr>
        <w:t xml:space="preserve"> and </w:t>
      </w:r>
      <m:oMath>
        <m:r>
          <w:rPr>
            <w:rFonts w:ascii="Cambria Math" w:hAnsi="Cambria Math"/>
          </w:rPr>
          <m:t>clip</m:t>
        </m:r>
        <m:d>
          <m:dPr>
            <m:ctrlPr>
              <w:rPr>
                <w:rFonts w:ascii="Cambria Math" w:hAnsi="Cambria Math"/>
              </w:rPr>
            </m:ctrlPr>
          </m:dPr>
          <m:e>
            <m:r>
              <w:rPr>
                <w:rFonts w:ascii="Cambria Math" w:hAnsi="Cambria Math"/>
              </w:rPr>
              <m:t>x</m:t>
            </m:r>
            <m:r>
              <w:rPr>
                <w:rFonts w:ascii="Cambria Math" w:hAnsi="Cambria Math"/>
                <w:lang w:val="en-US"/>
              </w:rPr>
              <m:t>,0,1023</m:t>
            </m:r>
          </m:e>
        </m:d>
      </m:oMath>
      <w:r>
        <w:rPr>
          <w:lang w:val="en-US"/>
        </w:rPr>
        <w:t xml:space="preserve"> limits the value to the valid range.</w:t>
      </w:r>
    </w:p>
    <w:p w14:paraId="37107E24" w14:textId="77777777" w:rsidR="009A78D5" w:rsidRPr="00FC5004" w:rsidRDefault="00000000">
      <w:pPr>
        <w:pStyle w:val="Corpsdetexte"/>
        <w:rPr>
          <w:lang w:val="en-US"/>
        </w:rPr>
      </w:pPr>
      <w:r>
        <w:rPr>
          <w:lang w:val="en-US"/>
        </w:rPr>
        <w:t>The load-factor value associated with a fine class may be represented by the class center:</w:t>
      </w:r>
    </w:p>
    <w:p w14:paraId="0EC3FA81" w14:textId="77777777" w:rsidR="009A78D5" w:rsidRDefault="00000000">
      <w:pPr>
        <w:pStyle w:val="Corpsdetexte"/>
        <w:jc w:val="center"/>
      </w:pPr>
      <m:oMathPara>
        <m:oMathParaPr>
          <m:jc m:val="center"/>
        </m:oMathParaPr>
        <m:oMath>
          <m:r>
            <w:rPr>
              <w:rFonts w:ascii="Cambria Math" w:hAnsi="Cambria Math"/>
            </w:rPr>
            <m:t>LF</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1024</m:t>
                  </m:r>
                </m:sub>
              </m:sSub>
            </m:e>
          </m:d>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1024</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fine</m:t>
              </m:r>
            </m:sub>
          </m:sSub>
        </m:oMath>
      </m:oMathPara>
    </w:p>
    <w:p w14:paraId="0F6DEF06" w14:textId="40F1996F" w:rsidR="009A78D5" w:rsidRPr="00FC5004" w:rsidRDefault="00000000">
      <w:pPr>
        <w:rPr>
          <w:lang w:val="en-US"/>
        </w:rPr>
      </w:pPr>
      <w:bookmarkStart w:id="15" w:name="a.2-load-factor-to-1024-class-conversion"/>
      <w:r>
        <w:rPr>
          <w:lang w:val="en-US"/>
        </w:rPr>
        <w:t>Samples clipped to the first or last fine class shall be retained according to the normal processing rules. Clipping events shall be counted and reported when detailed data-quality reporting is required.</w:t>
      </w:r>
      <w:bookmarkEnd w:id="15"/>
      <w:r>
        <w:rPr>
          <w:lang w:val="en-US"/>
        </w:rPr>
        <w:br/>
      </w:r>
    </w:p>
    <w:p w14:paraId="07776996" w14:textId="77777777" w:rsidR="009A78D5" w:rsidRPr="00FC5004" w:rsidRDefault="00000000">
      <w:pPr>
        <w:pStyle w:val="Titre2"/>
        <w:rPr>
          <w:lang w:val="en-US"/>
        </w:rPr>
      </w:pPr>
      <w:bookmarkStart w:id="16" w:name="_Toc235917327"/>
      <w:r>
        <w:rPr>
          <w:lang w:val="en-US"/>
        </w:rPr>
        <w:t>A.3 Hysteresis filtering in 1024-class space</w:t>
      </w:r>
      <w:bookmarkEnd w:id="16"/>
    </w:p>
    <w:p w14:paraId="0B1A6002" w14:textId="77777777" w:rsidR="009A78D5" w:rsidRPr="00FC5004" w:rsidRDefault="00000000">
      <w:pPr>
        <w:rPr>
          <w:lang w:val="en-US"/>
        </w:rPr>
      </w:pPr>
      <w:r>
        <w:rPr>
          <w:lang w:val="en-US"/>
        </w:rPr>
        <w:t>The Kossira &amp; Reinke filter shall be applied before reduction to 32 classes.</w:t>
      </w:r>
    </w:p>
    <w:p w14:paraId="0DE1EF44" w14:textId="77777777" w:rsidR="009A78D5" w:rsidRPr="00FC5004" w:rsidRDefault="00000000">
      <w:pPr>
        <w:pStyle w:val="Corpsdetexte"/>
        <w:rPr>
          <w:lang w:val="en-US"/>
        </w:rPr>
      </w:pPr>
      <w:r>
        <w:rPr>
          <w:lang w:val="en-US"/>
        </w:rPr>
        <w:t>The first valid sample shall be retained as the first filtered value.</w:t>
      </w:r>
    </w:p>
    <w:p w14:paraId="2FA4C292" w14:textId="77777777" w:rsidR="009A78D5" w:rsidRPr="00FC5004" w:rsidRDefault="00000000">
      <w:pPr>
        <w:pStyle w:val="Corpsdetexte"/>
        <w:rPr>
          <w:lang w:val="en-US"/>
        </w:rPr>
      </w:pPr>
      <w:r>
        <w:rPr>
          <w:lang w:val="en-US"/>
        </w:rPr>
        <w:t xml:space="preserve">For each subsequent sample </w:t>
      </w:r>
      <m:oMath>
        <m:sSub>
          <m:sSubPr>
            <m:ctrlPr>
              <w:rPr>
                <w:rFonts w:ascii="Cambria Math" w:hAnsi="Cambria Math"/>
              </w:rPr>
            </m:ctrlPr>
          </m:sSubPr>
          <m:e>
            <m:r>
              <w:rPr>
                <w:rFonts w:ascii="Cambria Math" w:hAnsi="Cambria Math"/>
              </w:rPr>
              <m:t>q</m:t>
            </m:r>
          </m:e>
          <m:sub>
            <m:r>
              <w:rPr>
                <w:rFonts w:ascii="Cambria Math" w:hAnsi="Cambria Math"/>
                <w:lang w:val="en-US"/>
              </w:rPr>
              <m:t>1024</m:t>
            </m:r>
          </m:sub>
        </m:sSub>
        <m:d>
          <m:dPr>
            <m:ctrlPr>
              <w:rPr>
                <w:rFonts w:ascii="Cambria Math" w:hAnsi="Cambria Math"/>
              </w:rPr>
            </m:ctrlPr>
          </m:dPr>
          <m:e>
            <m:r>
              <w:rPr>
                <w:rFonts w:ascii="Cambria Math" w:hAnsi="Cambria Math"/>
              </w:rPr>
              <m:t>n</m:t>
            </m:r>
          </m:e>
        </m:d>
      </m:oMath>
      <w:r>
        <w:rPr>
          <w:lang w:val="en-US"/>
        </w:rPr>
        <w:t>, the sample shall be retained only if:</w:t>
      </w:r>
    </w:p>
    <w:p w14:paraId="5EC91DB9" w14:textId="77777777" w:rsidR="009A78D5" w:rsidRDefault="00000000">
      <w:pPr>
        <w:pStyle w:val="Corpsdetexte"/>
        <w:jc w:val="cente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1024</m:t>
                  </m:r>
                </m:sub>
              </m:sSub>
              <m:d>
                <m:dPr>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1024,las</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etained</m:t>
                  </m:r>
                </m:sub>
              </m:sSub>
            </m:e>
          </m:d>
          <m:r>
            <w:rPr>
              <w:rFonts w:ascii="Cambria Math" w:hAnsi="Cambria Math"/>
            </w:rPr>
            <m:t>&gt;DX</m:t>
          </m:r>
        </m:oMath>
      </m:oMathPara>
    </w:p>
    <w:p w14:paraId="6486355F" w14:textId="77777777" w:rsidR="009A78D5" w:rsidRPr="00FC5004" w:rsidRDefault="00000000">
      <w:pPr>
        <w:rPr>
          <w:lang w:val="en-US"/>
        </w:rPr>
      </w:pPr>
      <w:r>
        <w:rPr>
          <w:lang w:val="en-US"/>
        </w:rPr>
        <w:t xml:space="preserve">where </w:t>
      </w:r>
      <m:oMath>
        <m:sSub>
          <m:sSubPr>
            <m:ctrlPr>
              <w:rPr>
                <w:rFonts w:ascii="Cambria Math" w:hAnsi="Cambria Math"/>
              </w:rPr>
            </m:ctrlPr>
          </m:sSubPr>
          <m:e>
            <m:r>
              <w:rPr>
                <w:rFonts w:ascii="Cambria Math" w:hAnsi="Cambria Math"/>
              </w:rPr>
              <m:t>q</m:t>
            </m:r>
          </m:e>
          <m:sub>
            <m:r>
              <w:rPr>
                <w:rFonts w:ascii="Cambria Math" w:hAnsi="Cambria Math"/>
                <w:lang w:val="en-US"/>
              </w:rPr>
              <m:t>1024,</m:t>
            </m:r>
            <m:r>
              <w:rPr>
                <w:rFonts w:ascii="Cambria Math" w:hAnsi="Cambria Math"/>
              </w:rPr>
              <m:t>las</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etained</m:t>
            </m:r>
          </m:sub>
        </m:sSub>
      </m:oMath>
      <w:r>
        <w:rPr>
          <w:lang w:val="en-US"/>
        </w:rPr>
        <w:t xml:space="preserve"> is the last retained filtered value.</w:t>
      </w:r>
    </w:p>
    <w:p w14:paraId="0BBA5E53" w14:textId="77777777" w:rsidR="009A78D5" w:rsidRDefault="00000000">
      <w:pPr>
        <w:pStyle w:val="Corpsdetexte"/>
      </w:pPr>
      <w:r>
        <w:t>Samples for which:</w:t>
      </w:r>
    </w:p>
    <w:p w14:paraId="07C13D58" w14:textId="77777777" w:rsidR="009A78D5" w:rsidRDefault="00000000">
      <w:pPr>
        <w:pStyle w:val="Corpsdetexte"/>
        <w:jc w:val="cente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1024</m:t>
                  </m:r>
                </m:sub>
              </m:sSub>
              <m:d>
                <m:dPr>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1024,las</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etained</m:t>
                  </m:r>
                </m:sub>
              </m:sSub>
            </m:e>
          </m:d>
          <m:r>
            <w:rPr>
              <w:rFonts w:ascii="Cambria Math" w:hAnsi="Cambria Math"/>
            </w:rPr>
            <m:t>≤DX</m:t>
          </m:r>
        </m:oMath>
      </m:oMathPara>
    </w:p>
    <w:p w14:paraId="1B5B0C5F" w14:textId="77777777" w:rsidR="009A78D5" w:rsidRPr="00FC5004" w:rsidRDefault="00000000">
      <w:pPr>
        <w:rPr>
          <w:lang w:val="en-US"/>
        </w:rPr>
      </w:pPr>
      <w:r>
        <w:rPr>
          <w:lang w:val="en-US"/>
        </w:rPr>
        <w:t>shall be rejected as low-amplitude variation/noise for Kossira &amp; Reinke counting.</w:t>
      </w:r>
    </w:p>
    <w:p w14:paraId="0EF66338" w14:textId="0F982061" w:rsidR="009A78D5" w:rsidRPr="00FC5004" w:rsidRDefault="00000000">
      <w:pPr>
        <w:pStyle w:val="Corpsdetexte"/>
        <w:rPr>
          <w:lang w:val="en-US"/>
        </w:rPr>
      </w:pPr>
      <w:bookmarkStart w:id="17" w:name="X195dbd6f7d53347ec78424c3c38978bbd434147"/>
      <w:r>
        <w:rPr>
          <w:lang w:val="en-US"/>
        </w:rPr>
        <w:t>The retained filtered sequence shall be stored as an auditable intermediate output when detailed processing evidence is required.</w:t>
      </w:r>
      <w:bookmarkEnd w:id="17"/>
      <w:r>
        <w:rPr>
          <w:lang w:val="en-US"/>
        </w:rPr>
        <w:br/>
      </w:r>
    </w:p>
    <w:p w14:paraId="1D49127E" w14:textId="77777777" w:rsidR="009A78D5" w:rsidRPr="00FC5004" w:rsidRDefault="00000000">
      <w:pPr>
        <w:pStyle w:val="Titre2"/>
        <w:rPr>
          <w:lang w:val="en-US"/>
        </w:rPr>
      </w:pPr>
      <w:bookmarkStart w:id="18" w:name="_Toc235917328"/>
      <w:r>
        <w:rPr>
          <w:lang w:val="en-US"/>
        </w:rPr>
        <w:t>A.4 Reduction from 1024 classes to 32 classes</w:t>
      </w:r>
      <w:bookmarkEnd w:id="18"/>
    </w:p>
    <w:p w14:paraId="175739A0" w14:textId="77777777" w:rsidR="009A78D5" w:rsidRPr="00FC5004" w:rsidRDefault="00000000">
      <w:pPr>
        <w:rPr>
          <w:lang w:val="en-US"/>
        </w:rPr>
      </w:pPr>
      <w:r>
        <w:rPr>
          <w:lang w:val="en-US"/>
        </w:rPr>
        <w:t>Each retained 1024-class value shall be converted to a 32-class value using integer division:</w:t>
      </w:r>
    </w:p>
    <w:p w14:paraId="084A7E67" w14:textId="77777777" w:rsidR="009A78D5"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32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1024</m:t>
                  </m:r>
                </m:sub>
              </m:sSub>
            </m:num>
            <m:den>
              <m:r>
                <w:rPr>
                  <w:rFonts w:ascii="Cambria Math" w:hAnsi="Cambria Math"/>
                </w:rPr>
                <m:t>32</m:t>
              </m:r>
            </m:den>
          </m:f>
          <m:r>
            <w:rPr>
              <w:rFonts w:ascii="Cambria Math" w:hAnsi="Cambria Math"/>
            </w:rPr>
            <m:t>⌋</m:t>
          </m:r>
        </m:oMath>
      </m:oMathPara>
    </w:p>
    <w:p w14:paraId="2CDFEFA4" w14:textId="77777777" w:rsidR="009A78D5" w:rsidRPr="00FC5004" w:rsidRDefault="00000000">
      <w:pPr>
        <w:rPr>
          <w:lang w:val="en-US"/>
        </w:rPr>
      </w:pPr>
      <w:r>
        <w:rPr>
          <w:lang w:val="en-US"/>
        </w:rPr>
        <w:t>The load-factor value associated with a coarse class is the class center:</w:t>
      </w:r>
    </w:p>
    <w:p w14:paraId="25F91F3A" w14:textId="77777777" w:rsidR="009A78D5" w:rsidRDefault="00000000">
      <w:pPr>
        <w:pStyle w:val="Corpsdetexte"/>
        <w:jc w:val="center"/>
      </w:pPr>
      <m:oMathPara>
        <m:oMathParaPr>
          <m:jc m:val="center"/>
        </m:oMathParaPr>
        <m:oMath>
          <m:r>
            <w:rPr>
              <w:rFonts w:ascii="Cambria Math" w:hAnsi="Cambria Math"/>
            </w:rPr>
            <m:t>LF</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32</m:t>
                  </m:r>
                </m:sub>
              </m:sSub>
            </m:e>
          </m:d>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oMath>
      </m:oMathPara>
    </w:p>
    <w:p w14:paraId="612FB3D5" w14:textId="5A1ECFAD" w:rsidR="009A78D5" w:rsidRPr="00FC5004" w:rsidRDefault="00000000">
      <w:pPr>
        <w:rPr>
          <w:lang w:val="en-US"/>
        </w:rPr>
      </w:pPr>
      <w:bookmarkStart w:id="19" w:name="Xaea807fd4a2c344a29fc0c80074ece33eafddb4"/>
      <w:r>
        <w:rPr>
          <w:lang w:val="en-US"/>
        </w:rPr>
        <w:t>Repeated consecutive 32-class values shall be removed before peak/valley extraction, because they do not define a transition between different load-factor classes.</w:t>
      </w:r>
      <w:bookmarkEnd w:id="19"/>
      <w:r>
        <w:rPr>
          <w:lang w:val="en-US"/>
        </w:rPr>
        <w:br/>
      </w:r>
    </w:p>
    <w:p w14:paraId="7E12E251" w14:textId="77777777" w:rsidR="009A78D5" w:rsidRPr="00FC5004" w:rsidRDefault="00000000">
      <w:pPr>
        <w:pStyle w:val="Titre2"/>
        <w:rPr>
          <w:lang w:val="en-US"/>
        </w:rPr>
      </w:pPr>
      <w:bookmarkStart w:id="20" w:name="_Toc235917329"/>
      <w:r>
        <w:rPr>
          <w:lang w:val="en-US"/>
        </w:rPr>
        <w:t>A.5 Peak and valley extraction</w:t>
      </w:r>
      <w:bookmarkEnd w:id="20"/>
    </w:p>
    <w:p w14:paraId="35814BDE" w14:textId="77777777" w:rsidR="009A78D5" w:rsidRPr="00FC5004" w:rsidRDefault="00000000">
      <w:pPr>
        <w:rPr>
          <w:lang w:val="en-US"/>
        </w:rPr>
      </w:pPr>
      <w:r>
        <w:rPr>
          <w:lang w:val="en-US"/>
        </w:rPr>
        <w:t>The input to peak/valley extraction shall be the filtered 32-class sequence after removal of repeated consecutive values.</w:t>
      </w:r>
    </w:p>
    <w:p w14:paraId="3C4842AA" w14:textId="77777777" w:rsidR="009A78D5" w:rsidRPr="00FC5004" w:rsidRDefault="00000000">
      <w:pPr>
        <w:pStyle w:val="Corpsdetexte"/>
        <w:rPr>
          <w:lang w:val="en-US"/>
        </w:rPr>
      </w:pPr>
      <w:r>
        <w:rPr>
          <w:lang w:val="en-US"/>
        </w:rPr>
        <w:t xml:space="preserve">For three consecutive retained 32-class values </w:t>
      </w:r>
      <m:oMath>
        <m:r>
          <w:rPr>
            <w:rFonts w:ascii="Cambria Math" w:hAnsi="Cambria Math"/>
          </w:rPr>
          <m:t>a</m:t>
        </m:r>
      </m:oMath>
      <w:r>
        <w:rPr>
          <w:lang w:val="en-US"/>
        </w:rPr>
        <w:t xml:space="preserve">, </w:t>
      </w:r>
      <m:oMath>
        <m:r>
          <w:rPr>
            <w:rFonts w:ascii="Cambria Math" w:hAnsi="Cambria Math"/>
          </w:rPr>
          <m:t>b</m:t>
        </m:r>
      </m:oMath>
      <w:r>
        <w:rPr>
          <w:lang w:val="en-US"/>
        </w:rPr>
        <w:t xml:space="preserve">, and </w:t>
      </w:r>
      <m:oMath>
        <m:r>
          <w:rPr>
            <w:rFonts w:ascii="Cambria Math" w:hAnsi="Cambria Math"/>
          </w:rPr>
          <m:t>c</m:t>
        </m:r>
      </m:oMath>
      <w:r>
        <w:rPr>
          <w:lang w:val="en-US"/>
        </w:rPr>
        <w:t>:</w:t>
      </w:r>
    </w:p>
    <w:p w14:paraId="3B324462" w14:textId="77777777" w:rsidR="009A78D5" w:rsidRPr="00FC5004" w:rsidRDefault="00000000">
      <w:pPr>
        <w:rPr>
          <w:lang w:val="en-US"/>
        </w:rPr>
      </w:pPr>
      <m:oMath>
        <m:r>
          <w:rPr>
            <w:rFonts w:ascii="Cambria Math" w:hAnsi="Cambria Math"/>
          </w:rPr>
          <w:lastRenderedPageBreak/>
          <m:t>b</m:t>
        </m:r>
      </m:oMath>
      <w:r>
        <w:rPr>
          <w:lang w:val="en-US"/>
        </w:rPr>
        <w:t xml:space="preserve"> is a peak if </w:t>
      </w:r>
      <m:oMath>
        <m:r>
          <w:rPr>
            <w:rFonts w:ascii="Cambria Math" w:hAnsi="Cambria Math"/>
          </w:rPr>
          <m:t>b</m:t>
        </m:r>
        <m:r>
          <w:rPr>
            <w:rFonts w:ascii="Cambria Math" w:hAnsi="Cambria Math"/>
            <w:lang w:val="en-US"/>
          </w:rPr>
          <m:t>&gt;</m:t>
        </m:r>
        <m:r>
          <w:rPr>
            <w:rFonts w:ascii="Cambria Math" w:hAnsi="Cambria Math"/>
          </w:rPr>
          <m:t>a</m:t>
        </m:r>
      </m:oMath>
      <w:r>
        <w:rPr>
          <w:lang w:val="en-US"/>
        </w:rPr>
        <w:t xml:space="preserve"> and </w:t>
      </w:r>
      <m:oMath>
        <m:r>
          <w:rPr>
            <w:rFonts w:ascii="Cambria Math" w:hAnsi="Cambria Math"/>
          </w:rPr>
          <m:t>b</m:t>
        </m:r>
        <m:r>
          <w:rPr>
            <w:rFonts w:ascii="Cambria Math" w:hAnsi="Cambria Math"/>
            <w:lang w:val="en-US"/>
          </w:rPr>
          <m:t>&gt;</m:t>
        </m:r>
        <m:r>
          <w:rPr>
            <w:rFonts w:ascii="Cambria Math" w:hAnsi="Cambria Math"/>
          </w:rPr>
          <m:t>c</m:t>
        </m:r>
      </m:oMath>
      <w:r>
        <w:rPr>
          <w:lang w:val="en-US"/>
        </w:rPr>
        <w:t>;</w:t>
      </w:r>
    </w:p>
    <w:p w14:paraId="1276282A" w14:textId="77777777" w:rsidR="009A78D5" w:rsidRPr="00FC5004" w:rsidRDefault="00000000">
      <w:pPr>
        <w:rPr>
          <w:lang w:val="en-US"/>
        </w:rPr>
      </w:pPr>
      <m:oMath>
        <m:r>
          <w:rPr>
            <w:rFonts w:ascii="Cambria Math" w:hAnsi="Cambria Math"/>
          </w:rPr>
          <m:t>b</m:t>
        </m:r>
      </m:oMath>
      <w:r>
        <w:rPr>
          <w:lang w:val="en-US"/>
        </w:rPr>
        <w:t xml:space="preserve"> is a valley if </w:t>
      </w:r>
      <m:oMath>
        <m:r>
          <w:rPr>
            <w:rFonts w:ascii="Cambria Math" w:hAnsi="Cambria Math"/>
          </w:rPr>
          <m:t>b</m:t>
        </m:r>
        <m:r>
          <w:rPr>
            <w:rFonts w:ascii="Cambria Math" w:hAnsi="Cambria Math"/>
            <w:lang w:val="en-US"/>
          </w:rPr>
          <m:t>&lt;</m:t>
        </m:r>
        <m:r>
          <w:rPr>
            <w:rFonts w:ascii="Cambria Math" w:hAnsi="Cambria Math"/>
          </w:rPr>
          <m:t>a</m:t>
        </m:r>
      </m:oMath>
      <w:r>
        <w:rPr>
          <w:lang w:val="en-US"/>
        </w:rPr>
        <w:t xml:space="preserve"> and </w:t>
      </w:r>
      <m:oMath>
        <m:r>
          <w:rPr>
            <w:rFonts w:ascii="Cambria Math" w:hAnsi="Cambria Math"/>
          </w:rPr>
          <m:t>b</m:t>
        </m:r>
        <m:r>
          <w:rPr>
            <w:rFonts w:ascii="Cambria Math" w:hAnsi="Cambria Math"/>
            <w:lang w:val="en-US"/>
          </w:rPr>
          <m:t>&lt;</m:t>
        </m:r>
        <m:r>
          <w:rPr>
            <w:rFonts w:ascii="Cambria Math" w:hAnsi="Cambria Math"/>
          </w:rPr>
          <m:t>c</m:t>
        </m:r>
      </m:oMath>
      <w:r>
        <w:rPr>
          <w:lang w:val="en-US"/>
        </w:rPr>
        <w:t>.</w:t>
      </w:r>
    </w:p>
    <w:p w14:paraId="59EF8E73" w14:textId="77777777" w:rsidR="009A78D5" w:rsidRPr="00FC5004" w:rsidRDefault="00000000">
      <w:pPr>
        <w:rPr>
          <w:lang w:val="en-US"/>
        </w:rPr>
      </w:pPr>
      <w:r>
        <w:rPr>
          <w:lang w:val="en-US"/>
        </w:rPr>
        <w:t>The first and last values of the filtered 32-class sequence shall be retained when required to define the first or last transition of the processed segment.</w:t>
      </w:r>
    </w:p>
    <w:p w14:paraId="5638BEA6" w14:textId="77777777" w:rsidR="009A78D5" w:rsidRPr="00FC5004" w:rsidRDefault="00000000">
      <w:pPr>
        <w:pStyle w:val="Corpsdetexte"/>
        <w:rPr>
          <w:lang w:val="en-US"/>
        </w:rPr>
      </w:pPr>
      <w:r>
        <w:rPr>
          <w:lang w:val="en-US"/>
        </w:rPr>
        <w:t>The approved implementation shall define endpoint and plateau handling deterministically. The final peak/valley sequence shall not contain duplicate consecutive values. If the processed segment contains fewer than two peak/valley values, no Markov transition shall be generated.</w:t>
      </w:r>
    </w:p>
    <w:p w14:paraId="59F6BD38" w14:textId="6B1200A7" w:rsidR="009A78D5" w:rsidRPr="00FC5004" w:rsidRDefault="00000000">
      <w:pPr>
        <w:pStyle w:val="Corpsdetexte"/>
        <w:rPr>
          <w:lang w:val="en-US"/>
        </w:rPr>
      </w:pPr>
      <w:bookmarkStart w:id="21" w:name="a.5-peak-and-valley-extraction"/>
      <w:r>
        <w:rPr>
          <w:lang w:val="en-US"/>
        </w:rPr>
        <w:t>The peak/valley sequence shall be stored as an auditable intermediate output when detailed processing evidence is required.</w:t>
      </w:r>
      <w:bookmarkEnd w:id="21"/>
      <w:r>
        <w:rPr>
          <w:lang w:val="en-US"/>
        </w:rPr>
        <w:br/>
      </w:r>
    </w:p>
    <w:p w14:paraId="69C60228" w14:textId="77777777" w:rsidR="009A78D5" w:rsidRPr="00FC5004" w:rsidRDefault="00000000">
      <w:pPr>
        <w:pStyle w:val="Titre2"/>
        <w:rPr>
          <w:lang w:val="en-US"/>
        </w:rPr>
      </w:pPr>
      <w:bookmarkStart w:id="22" w:name="_Toc235917330"/>
      <w:r>
        <w:rPr>
          <w:lang w:val="en-US"/>
        </w:rPr>
        <w:t>A.6 Raw Markov transition matrix</w:t>
      </w:r>
      <w:bookmarkEnd w:id="22"/>
    </w:p>
    <w:p w14:paraId="6C4D9930" w14:textId="77777777" w:rsidR="009A78D5" w:rsidRPr="00FC5004" w:rsidRDefault="00000000">
      <w:pPr>
        <w:rPr>
          <w:lang w:val="en-US"/>
        </w:rPr>
      </w:pPr>
      <w:r>
        <w:rPr>
          <w:lang w:val="en-US"/>
        </w:rPr>
        <w:t xml:space="preserve">The raw Markov transition matrix shall be a 32×32 integer matrix </w:t>
      </w:r>
      <m:oMath>
        <m:r>
          <w:rPr>
            <w:rFonts w:ascii="Cambria Math" w:hAnsi="Cambria Math"/>
          </w:rPr>
          <m:t>M</m:t>
        </m:r>
      </m:oMath>
      <w:r>
        <w:rPr>
          <w:lang w:val="en-US"/>
        </w:rPr>
        <w:t>.</w:t>
      </w:r>
    </w:p>
    <w:p w14:paraId="77FAAC69" w14:textId="77777777" w:rsidR="009A78D5" w:rsidRPr="00FC5004" w:rsidRDefault="00000000">
      <w:pPr>
        <w:pStyle w:val="Corpsdetexte"/>
        <w:rPr>
          <w:lang w:val="en-US"/>
        </w:rPr>
      </w:pPr>
      <w:r>
        <w:rPr>
          <w:lang w:val="en-US"/>
        </w:rPr>
        <w:t>The matrix convention shall be:</w:t>
      </w:r>
    </w:p>
    <w:p w14:paraId="66B54096" w14:textId="77777777" w:rsidR="009A78D5" w:rsidRPr="00FC5004" w:rsidRDefault="00000000">
      <w:pPr>
        <w:pStyle w:val="Corpsdetexte"/>
        <w:jc w:val="center"/>
        <w:rPr>
          <w:lang w:val="en-US"/>
        </w:rPr>
      </w:pPr>
      <m:oMathPara>
        <m:oMathParaPr>
          <m:jc m:val="center"/>
        </m:oMathParaPr>
        <m:oMath>
          <m:r>
            <w:rPr>
              <w:rFonts w:ascii="Cambria Math" w:hAnsi="Cambria Math"/>
            </w:rPr>
            <m:t>M</m:t>
          </m:r>
          <m:d>
            <m:dPr>
              <m:ctrlPr>
                <w:rPr>
                  <w:rFonts w:ascii="Cambria Math" w:hAnsi="Cambria Math"/>
                </w:rPr>
              </m:ctrlPr>
            </m:dPr>
            <m:e>
              <m:r>
                <w:rPr>
                  <w:rFonts w:ascii="Cambria Math" w:hAnsi="Cambria Math"/>
                </w:rPr>
                <m:t>i</m:t>
              </m:r>
              <m:r>
                <w:rPr>
                  <w:rFonts w:ascii="Cambria Math" w:hAnsi="Cambria Math"/>
                  <w:lang w:val="en-US"/>
                </w:rPr>
                <m:t>,</m:t>
              </m:r>
              <m:r>
                <w:rPr>
                  <w:rFonts w:ascii="Cambria Math" w:hAnsi="Cambria Math"/>
                </w:rPr>
                <m:t>j</m:t>
              </m:r>
            </m:e>
          </m:d>
          <m:r>
            <w:rPr>
              <w:rFonts w:ascii="Cambria Math" w:hAnsi="Cambria Math"/>
              <w:lang w:val="en-US"/>
            </w:rPr>
            <m:t>=</m:t>
          </m:r>
          <m:r>
            <m:rPr>
              <m:lit/>
              <m:nor/>
            </m:rPr>
            <w:rPr>
              <w:lang w:val="en-US"/>
            </w:rPr>
            <m:t>number of transitions from class</m:t>
          </m:r>
          <m:r>
            <w:rPr>
              <w:rFonts w:ascii="Cambria Math" w:hAnsi="Cambria Math"/>
            </w:rPr>
            <m:t>j</m:t>
          </m:r>
          <m:r>
            <m:rPr>
              <m:lit/>
              <m:nor/>
            </m:rPr>
            <w:rPr>
              <w:lang w:val="en-US"/>
            </w:rPr>
            <m:t>to class</m:t>
          </m:r>
          <m:r>
            <w:rPr>
              <w:rFonts w:ascii="Cambria Math" w:hAnsi="Cambria Math"/>
            </w:rPr>
            <m:t>i</m:t>
          </m:r>
        </m:oMath>
      </m:oMathPara>
    </w:p>
    <w:p w14:paraId="527BB1DA" w14:textId="77777777" w:rsidR="009A78D5" w:rsidRPr="00FC5004" w:rsidRDefault="00000000">
      <w:pPr>
        <w:rPr>
          <w:lang w:val="en-US"/>
        </w:rPr>
      </w:pPr>
      <w:r>
        <w:rPr>
          <w:lang w:val="en-US"/>
        </w:rPr>
        <w:t>where:</w:t>
      </w:r>
    </w:p>
    <w:p w14:paraId="6E62DF98" w14:textId="77777777" w:rsidR="009A78D5" w:rsidRPr="00FC5004" w:rsidRDefault="00000000">
      <w:pPr>
        <w:rPr>
          <w:lang w:val="en-US"/>
        </w:rPr>
      </w:pPr>
      <w:r>
        <w:rPr>
          <w:lang w:val="en-US"/>
        </w:rPr>
        <w:t xml:space="preserve">column </w:t>
      </w:r>
      <m:oMath>
        <m:r>
          <w:rPr>
            <w:rFonts w:ascii="Cambria Math" w:hAnsi="Cambria Math"/>
          </w:rPr>
          <m:t>j</m:t>
        </m:r>
      </m:oMath>
      <w:r>
        <w:rPr>
          <w:lang w:val="en-US"/>
        </w:rPr>
        <w:t xml:space="preserve"> is the “from” class;</w:t>
      </w:r>
    </w:p>
    <w:p w14:paraId="6228BD88" w14:textId="77777777" w:rsidR="009A78D5" w:rsidRPr="00FC5004" w:rsidRDefault="00000000">
      <w:pPr>
        <w:rPr>
          <w:lang w:val="en-US"/>
        </w:rPr>
      </w:pPr>
      <w:r>
        <w:rPr>
          <w:lang w:val="en-US"/>
        </w:rPr>
        <w:t xml:space="preserve">row </w:t>
      </w:r>
      <m:oMath>
        <m:r>
          <w:rPr>
            <w:rFonts w:ascii="Cambria Math" w:hAnsi="Cambria Math"/>
          </w:rPr>
          <m:t>i</m:t>
        </m:r>
      </m:oMath>
      <w:r>
        <w:rPr>
          <w:lang w:val="en-US"/>
        </w:rPr>
        <w:t xml:space="preserve"> is the “to” class.</w:t>
      </w:r>
    </w:p>
    <w:p w14:paraId="4FFBF939" w14:textId="77777777" w:rsidR="009A78D5" w:rsidRPr="00FC5004" w:rsidRDefault="00000000">
      <w:pPr>
        <w:rPr>
          <w:lang w:val="en-US"/>
        </w:rPr>
      </w:pPr>
      <w:r>
        <w:rPr>
          <w:lang w:val="en-US"/>
        </w:rPr>
        <w:t>For each consecutive pair in the peak/valley sequence:</w:t>
      </w:r>
    </w:p>
    <w:p w14:paraId="1094F25A" w14:textId="77777777" w:rsidR="009A78D5"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n+1</m:t>
              </m:r>
            </m:sub>
          </m:sSub>
        </m:oMath>
      </m:oMathPara>
    </w:p>
    <w:p w14:paraId="3D2216BA" w14:textId="77777777" w:rsidR="009A78D5" w:rsidRPr="00FC5004" w:rsidRDefault="00000000">
      <w:pPr>
        <w:rPr>
          <w:lang w:val="en-US"/>
        </w:rPr>
      </w:pPr>
      <w:r>
        <w:rPr>
          <w:lang w:val="en-US"/>
        </w:rPr>
        <w:t>the matrix cell shall be incremented as follows:</w:t>
      </w:r>
    </w:p>
    <w:p w14:paraId="5FCEA19B" w14:textId="77777777" w:rsidR="009A78D5" w:rsidRDefault="00000000">
      <w:pPr>
        <w:pStyle w:val="Corpsdetexte"/>
        <w:jc w:val="center"/>
      </w:pPr>
      <m:oMathPara>
        <m:oMathParaPr>
          <m:jc m:val="center"/>
        </m:oMathParaP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r>
            <w:rPr>
              <w:rFonts w:ascii="Cambria Math" w:hAnsi="Cambria Math"/>
            </w:rPr>
            <m:t>+1</m:t>
          </m:r>
        </m:oMath>
      </m:oMathPara>
    </w:p>
    <w:p w14:paraId="151A8E74" w14:textId="77777777" w:rsidR="009A78D5" w:rsidRPr="00FC5004" w:rsidRDefault="00000000">
      <w:pPr>
        <w:rPr>
          <w:lang w:val="en-US"/>
        </w:rPr>
      </w:pPr>
      <w:r>
        <w:rPr>
          <w:lang w:val="en-US"/>
        </w:rPr>
        <w:t xml:space="preserve">Diagonal transitions </w:t>
      </w:r>
      <m:oMath>
        <m:r>
          <w:rPr>
            <w:rFonts w:ascii="Cambria Math" w:hAnsi="Cambria Math"/>
          </w:rPr>
          <m:t>M</m:t>
        </m:r>
        <m:d>
          <m:dPr>
            <m:ctrlPr>
              <w:rPr>
                <w:rFonts w:ascii="Cambria Math" w:hAnsi="Cambria Math"/>
              </w:rPr>
            </m:ctrlPr>
          </m:dPr>
          <m:e>
            <m:r>
              <w:rPr>
                <w:rFonts w:ascii="Cambria Math" w:hAnsi="Cambria Math"/>
              </w:rPr>
              <m:t>k</m:t>
            </m:r>
            <m:r>
              <w:rPr>
                <w:rFonts w:ascii="Cambria Math" w:hAnsi="Cambria Math"/>
                <w:lang w:val="en-US"/>
              </w:rPr>
              <m:t>,</m:t>
            </m:r>
            <m:r>
              <w:rPr>
                <w:rFonts w:ascii="Cambria Math" w:hAnsi="Cambria Math"/>
              </w:rPr>
              <m:t>k</m:t>
            </m:r>
          </m:e>
        </m:d>
      </m:oMath>
      <w:r>
        <w:rPr>
          <w:lang w:val="en-US"/>
        </w:rPr>
        <w:t xml:space="preserve"> shall be zero because repeated consecutive 32-class values are removed before peak/valley extraction and because a transition from a class to itself is not a peak/valley transition.</w:t>
      </w:r>
    </w:p>
    <w:p w14:paraId="36D7B522" w14:textId="77777777" w:rsidR="009A78D5" w:rsidRPr="00FC5004" w:rsidRDefault="00000000">
      <w:pPr>
        <w:pStyle w:val="Corpsdetexte"/>
        <w:rPr>
          <w:lang w:val="en-US"/>
        </w:rPr>
      </w:pPr>
      <w:r>
        <w:rPr>
          <w:lang w:val="en-US"/>
        </w:rPr>
        <w:t>The total number of Markov transitions shall satisfy:</w:t>
      </w:r>
    </w:p>
    <w:p w14:paraId="0C4CADA6" w14:textId="77777777" w:rsidR="009A78D5" w:rsidRDefault="00000000">
      <w:pPr>
        <w:pStyle w:val="Corpsdetexte"/>
        <w:jc w:val="center"/>
      </w:pPr>
      <m:oMathPara>
        <m:oMathParaPr>
          <m:jc m:val="center"/>
        </m:oMathParaPr>
        <m:oMath>
          <m:nary>
            <m:naryPr>
              <m:chr m:val="∑"/>
              <m:supHide m:val="1"/>
              <m:ctrlPr>
                <w:rPr>
                  <w:rFonts w:ascii="Cambria Math" w:hAnsi="Cambria Math"/>
                </w:rPr>
              </m:ctrlPr>
            </m:naryPr>
            <m:sub>
              <m:r>
                <w:rPr>
                  <w:rFonts w:ascii="Cambria Math" w:hAnsi="Cambria Math"/>
                </w:rPr>
                <m:t>i</m:t>
              </m:r>
            </m:sub>
            <m:sup/>
            <m:e>
              <m:nary>
                <m:naryPr>
                  <m:chr m:val="∑"/>
                  <m:supHide m:val="1"/>
                  <m:ctrlPr>
                    <w:rPr>
                      <w:rFonts w:ascii="Cambria Math" w:hAnsi="Cambria Math"/>
                    </w:rPr>
                  </m:ctrlPr>
                </m:naryPr>
                <m:sub>
                  <m:r>
                    <w:rPr>
                      <w:rFonts w:ascii="Cambria Math" w:hAnsi="Cambria Math"/>
                    </w:rPr>
                    <m:t>j</m:t>
                  </m:r>
                </m:sub>
                <m:sup/>
                <m:e>
                  <m:r>
                    <w:rPr>
                      <w:rFonts w:ascii="Cambria Math" w:hAnsi="Cambria Math"/>
                    </w:rPr>
                    <m:t>M</m:t>
                  </m:r>
                </m:e>
              </m:nary>
            </m:e>
          </m:nary>
          <m:d>
            <m:dPr>
              <m:ctrlPr>
                <w:rPr>
                  <w:rFonts w:ascii="Cambria Math" w:hAnsi="Cambria Math"/>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PV</m:t>
              </m:r>
            </m:sub>
          </m:sSub>
          <m:r>
            <w:rPr>
              <w:rFonts w:ascii="Cambria Math" w:hAnsi="Cambria Math"/>
            </w:rPr>
            <m:t>-1</m:t>
          </m:r>
        </m:oMath>
      </m:oMathPara>
    </w:p>
    <w:p w14:paraId="74AE7A0A" w14:textId="77777777" w:rsidR="009A78D5" w:rsidRPr="00FC5004" w:rsidRDefault="00000000">
      <w:pPr>
        <w:rPr>
          <w:lang w:val="en-US"/>
        </w:rPr>
      </w:pPr>
      <w:r>
        <w:rPr>
          <w:lang w:val="en-US"/>
        </w:rPr>
        <w:t xml:space="preserve">where </w:t>
      </w:r>
      <m:oMath>
        <m:sSub>
          <m:sSubPr>
            <m:ctrlPr>
              <w:rPr>
                <w:rFonts w:ascii="Cambria Math" w:hAnsi="Cambria Math"/>
              </w:rPr>
            </m:ctrlPr>
          </m:sSubPr>
          <m:e>
            <m:r>
              <w:rPr>
                <w:rFonts w:ascii="Cambria Math" w:hAnsi="Cambria Math"/>
              </w:rPr>
              <m:t>N</m:t>
            </m:r>
          </m:e>
          <m:sub>
            <m:r>
              <w:rPr>
                <w:rFonts w:ascii="Cambria Math" w:hAnsi="Cambria Math"/>
              </w:rPr>
              <m:t>PV</m:t>
            </m:r>
          </m:sub>
        </m:sSub>
      </m:oMath>
      <w:r>
        <w:rPr>
          <w:lang w:val="en-US"/>
        </w:rPr>
        <w:t xml:space="preserve"> is the number of values in the peak/valley sequence.</w:t>
      </w:r>
    </w:p>
    <w:p w14:paraId="648CCF6F" w14:textId="77777777" w:rsidR="009A78D5" w:rsidRPr="00FC5004" w:rsidRDefault="00000000">
      <w:pPr>
        <w:pStyle w:val="Corpsdetexte"/>
        <w:rPr>
          <w:lang w:val="en-US"/>
        </w:rPr>
      </w:pPr>
      <w:r>
        <w:rPr>
          <w:lang w:val="en-US"/>
        </w:rPr>
        <w:t>For a closed sequence, each class shall have equal arrivals and departures:</w:t>
      </w:r>
    </w:p>
    <w:p w14:paraId="08FED4A2" w14:textId="77777777" w:rsidR="009A78D5" w:rsidRDefault="00000000">
      <w:pPr>
        <w:pStyle w:val="Corpsdetexte"/>
        <w:jc w:val="center"/>
      </w:pPr>
      <m:oMathPara>
        <m:oMathParaPr>
          <m:jc m:val="center"/>
        </m:oMathParaPr>
        <m:oMath>
          <m:nary>
            <m:naryPr>
              <m:chr m:val="∑"/>
              <m:supHide m:val="1"/>
              <m:ctrlPr>
                <w:rPr>
                  <w:rFonts w:ascii="Cambria Math" w:hAnsi="Cambria Math"/>
                </w:rPr>
              </m:ctrlPr>
            </m:naryPr>
            <m:sub>
              <m:r>
                <w:rPr>
                  <w:rFonts w:ascii="Cambria Math" w:hAnsi="Cambria Math"/>
                </w:rPr>
                <m:t>j</m:t>
              </m:r>
            </m:sub>
            <m:sup/>
            <m:e>
              <m:r>
                <w:rPr>
                  <w:rFonts w:ascii="Cambria Math" w:hAnsi="Cambria Math"/>
                </w:rPr>
                <m:t>M</m:t>
              </m:r>
            </m:e>
          </m:nary>
          <m:d>
            <m:dPr>
              <m:ctrlPr>
                <w:rPr>
                  <w:rFonts w:ascii="Cambria Math" w:hAnsi="Cambria Math"/>
                </w:rPr>
              </m:ctrlPr>
            </m:dPr>
            <m:e>
              <m:r>
                <w:rPr>
                  <w:rFonts w:ascii="Cambria Math" w:hAnsi="Cambria Math"/>
                </w:rPr>
                <m:t>k,j</m:t>
              </m:r>
            </m:e>
          </m:d>
          <m:r>
            <w:rPr>
              <w:rFonts w:ascii="Cambria Math" w:hAnsi="Cambria Math"/>
            </w:rPr>
            <m:t>=</m:t>
          </m:r>
          <m:nary>
            <m:naryPr>
              <m:chr m:val="∑"/>
              <m:supHide m:val="1"/>
              <m:ctrlPr>
                <w:rPr>
                  <w:rFonts w:ascii="Cambria Math" w:hAnsi="Cambria Math"/>
                </w:rPr>
              </m:ctrlPr>
            </m:naryPr>
            <m:sub>
              <m:r>
                <w:rPr>
                  <w:rFonts w:ascii="Cambria Math" w:hAnsi="Cambria Math"/>
                </w:rPr>
                <m:t>i</m:t>
              </m:r>
            </m:sub>
            <m:sup/>
            <m:e>
              <m:r>
                <w:rPr>
                  <w:rFonts w:ascii="Cambria Math" w:hAnsi="Cambria Math"/>
                </w:rPr>
                <m:t>M</m:t>
              </m:r>
            </m:e>
          </m:nary>
          <m:d>
            <m:dPr>
              <m:ctrlPr>
                <w:rPr>
                  <w:rFonts w:ascii="Cambria Math" w:hAnsi="Cambria Math"/>
                </w:rPr>
              </m:ctrlPr>
            </m:dPr>
            <m:e>
              <m:r>
                <w:rPr>
                  <w:rFonts w:ascii="Cambria Math" w:hAnsi="Cambria Math"/>
                </w:rPr>
                <m:t>i,k</m:t>
              </m:r>
            </m:e>
          </m:d>
        </m:oMath>
      </m:oMathPara>
    </w:p>
    <w:p w14:paraId="332FEF45" w14:textId="2CAFFA95" w:rsidR="009A78D5" w:rsidRPr="00FC5004" w:rsidRDefault="00000000">
      <w:pPr>
        <w:rPr>
          <w:lang w:val="en-US"/>
        </w:rPr>
      </w:pPr>
      <w:bookmarkStart w:id="23" w:name="a.6-raw-markov-transition-matrix"/>
      <w:r>
        <w:rPr>
          <w:lang w:val="en-US"/>
        </w:rPr>
        <w:t>For an open sequence, the first class may have one additional departure and the last class may have one additional arrival. This imbalance shall be reported but shall not by itself invalidate the sequence.</w:t>
      </w:r>
      <w:bookmarkEnd w:id="23"/>
      <w:r>
        <w:rPr>
          <w:lang w:val="en-US"/>
        </w:rPr>
        <w:br/>
      </w:r>
    </w:p>
    <w:p w14:paraId="50FAE82E" w14:textId="323D7ABF" w:rsidR="008B2183" w:rsidRPr="00DF4621" w:rsidRDefault="00000000">
      <w:pPr>
        <w:pStyle w:val="Titre2"/>
        <w:rPr>
          <w:lang w:val="en-US"/>
        </w:rPr>
      </w:pPr>
      <w:bookmarkStart w:id="24" w:name="_Toc235917331"/>
      <w:r>
        <w:rPr>
          <w:lang w:val="en-US"/>
        </w:rPr>
        <w:t>A.7 Fixed Kossira &amp; Reinke reference-load convention</w:t>
      </w:r>
      <w:bookmarkEnd w:id="24"/>
    </w:p>
    <w:p w14:paraId="44AA1CCE" w14:textId="77777777" w:rsidR="008B2183" w:rsidRPr="00DF4621" w:rsidRDefault="00000000">
      <w:pPr>
        <w:pStyle w:val="Corpsdetexte"/>
        <w:rPr>
          <w:lang w:val="en-US"/>
        </w:rPr>
      </w:pPr>
      <w:r>
        <w:rPr>
          <w:lang w:val="en-US"/>
        </w:rPr>
        <w:t>The Kossira &amp; Reinke load parameter is normalized by the wing-root bending moment measured during steady wings-level 1g flight. The fixed reference level used for both the reference and measured spectra shall therefore be:</w:t>
      </w:r>
    </w:p>
    <w:p w14:paraId="4D1FDA7C" w14:textId="77777777" w:rsidR="008B2183" w:rsidRDefault="00000000">
      <w:pPr>
        <w:pStyle w:val="Corpsdetexte"/>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m:t>
          </m:r>
        </m:oMath>
      </m:oMathPara>
    </w:p>
    <w:p w14:paraId="5A0DA41B" w14:textId="77777777" w:rsidR="008B2183" w:rsidRPr="00DF4621" w:rsidRDefault="00000000">
      <w:pPr>
        <w:pStyle w:val="Corpsdetexte"/>
        <w:rPr>
          <w:lang w:val="en-US"/>
        </w:rPr>
      </w:pPr>
      <w:r>
        <w:rPr>
          <w:lang w:val="en-US"/>
        </w:rPr>
        <w:t>The same fixed value shall be used for:</w:t>
      </w:r>
    </w:p>
    <w:p w14:paraId="585D9093" w14:textId="77777777" w:rsidR="008B2183" w:rsidRPr="00DF4621" w:rsidRDefault="00000000">
      <w:pPr>
        <w:pStyle w:val="Corpsdetexte"/>
        <w:rPr>
          <w:lang w:val="en-US"/>
        </w:rPr>
      </w:pPr>
      <w:r>
        <w:rPr>
          <w:lang w:val="en-US"/>
        </w:rPr>
        <w:lastRenderedPageBreak/>
        <w:t>splitting every raw Markov matrix into upper and lower exceedance branches; and</w:t>
      </w:r>
    </w:p>
    <w:p w14:paraId="18803F68" w14:textId="77777777" w:rsidR="008B2183" w:rsidRPr="00DF4621" w:rsidRDefault="00000000">
      <w:pPr>
        <w:pStyle w:val="Corpsdetexte"/>
        <w:rPr>
          <w:lang w:val="en-US"/>
        </w:rPr>
      </w:pPr>
      <w:r>
        <w:rPr>
          <w:lang w:val="en-US"/>
        </w:rPr>
        <w:t>computing the load-factor amplitude term in the EFI calculation.</w:t>
      </w:r>
    </w:p>
    <w:p w14:paraId="0B0D30C2" w14:textId="77777777" w:rsidR="008B2183" w:rsidRPr="00DF4621" w:rsidRDefault="00000000">
      <w:pPr>
        <w:pStyle w:val="Corpsdetexte"/>
        <w:rPr>
          <w:lang w:val="en-US"/>
        </w:rPr>
      </w:pPr>
      <w:r>
        <w:rPr>
          <w:lang w:val="en-US"/>
        </w:rPr>
        <w:t>The corresponding zero-based 32-class index is:</w:t>
      </w:r>
    </w:p>
    <w:p w14:paraId="141429E4" w14:textId="77777777" w:rsidR="008B2183"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clip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num>
                <m:den>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den>
              </m:f>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31</m:t>
              </m:r>
            </m:e>
          </m:d>
        </m:oMath>
      </m:oMathPara>
    </w:p>
    <w:p w14:paraId="6497D822" w14:textId="77777777" w:rsidR="008B2183" w:rsidRPr="00DF4621" w:rsidRDefault="00000000">
      <w:pPr>
        <w:pStyle w:val="Corpsdetexte"/>
        <w:rPr>
          <w:lang w:val="en-US"/>
        </w:rPr>
      </w:pPr>
      <w:r>
        <w:rPr>
          <w:lang w:val="en-US"/>
        </w:rPr>
        <w:t xml:space="preserve">For the Utility class convention of Appendix A.1,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lang w:val="en-US"/>
              </w:rPr>
              <m:t>0</m:t>
            </m:r>
          </m:sub>
        </m:sSub>
        <m:r>
          <m:rPr>
            <m:sty m:val="p"/>
          </m:rPr>
          <w:rPr>
            <w:rFonts w:ascii="Cambria Math" w:hAnsi="Cambria Math"/>
            <w:lang w:val="en-US"/>
          </w:rPr>
          <m:t>=</m:t>
        </m:r>
        <m:r>
          <w:rPr>
            <w:rFonts w:ascii="Cambria Math" w:hAnsi="Cambria Math"/>
            <w:lang w:val="en-US"/>
          </w:rPr>
          <m:t>1.0</m:t>
        </m:r>
      </m:oMath>
      <w:r>
        <w:rPr>
          <w:lang w:val="en-US"/>
        </w:rPr>
        <w:t xml:space="preserve"> lies in one-based class </w:t>
      </w:r>
      <m:oMath>
        <m:r>
          <w:rPr>
            <w:rFonts w:ascii="Cambria Math" w:hAnsi="Cambria Math"/>
          </w:rPr>
          <m:t>q</m:t>
        </m:r>
        <m:r>
          <m:rPr>
            <m:sty m:val="p"/>
          </m:rPr>
          <w:rPr>
            <w:rFonts w:ascii="Cambria Math" w:hAnsi="Cambria Math"/>
            <w:lang w:val="en-US"/>
          </w:rPr>
          <m:t>=</m:t>
        </m:r>
        <m:r>
          <w:rPr>
            <w:rFonts w:ascii="Cambria Math" w:hAnsi="Cambria Math"/>
            <w:lang w:val="en-US"/>
          </w:rPr>
          <m:t>15</m:t>
        </m:r>
      </m:oMath>
      <w:r>
        <w:rPr>
          <w:lang w:val="en-US"/>
        </w:rPr>
        <w:t xml:space="preserve"> and zero-based class </w:t>
      </w:r>
      <m:oMath>
        <m:sSub>
          <m:sSubPr>
            <m:ctrlPr>
              <w:rPr>
                <w:rFonts w:ascii="Cambria Math" w:hAnsi="Cambria Math"/>
              </w:rPr>
            </m:ctrlPr>
          </m:sSubPr>
          <m:e>
            <m:r>
              <w:rPr>
                <w:rFonts w:ascii="Cambria Math" w:hAnsi="Cambria Math"/>
              </w:rPr>
              <m:t>k</m:t>
            </m:r>
          </m:e>
          <m:sub>
            <m:r>
              <w:rPr>
                <w:rFonts w:ascii="Cambria Math" w:hAnsi="Cambria Math"/>
                <w:lang w:val="en-US"/>
              </w:rPr>
              <m:t>0</m:t>
            </m:r>
          </m:sub>
        </m:sSub>
        <m:r>
          <m:rPr>
            <m:sty m:val="p"/>
          </m:rPr>
          <w:rPr>
            <w:rFonts w:ascii="Cambria Math" w:hAnsi="Cambria Math"/>
            <w:lang w:val="en-US"/>
          </w:rPr>
          <m:t>=</m:t>
        </m:r>
        <m:r>
          <w:rPr>
            <w:rFonts w:ascii="Cambria Math" w:hAnsi="Cambria Math"/>
            <w:lang w:val="en-US"/>
          </w:rPr>
          <m:t>14</m:t>
        </m:r>
      </m:oMath>
      <w:r>
        <w:rPr>
          <w:lang w:val="en-US"/>
        </w:rPr>
        <w:t>.</w:t>
      </w:r>
    </w:p>
    <w:p w14:paraId="304B750E" w14:textId="762CFFF7" w:rsidR="008B2183" w:rsidRPr="00DF4621" w:rsidRDefault="00000000">
      <w:pPr>
        <w:pStyle w:val="Corpsdetexte"/>
        <w:rPr>
          <w:lang w:val="en-US"/>
        </w:rPr>
      </w:pPr>
      <w:r>
        <w:rPr>
          <w:lang w:val="en-US"/>
        </w:rPr>
        <w:t>The arithmetic mean of the measured samples shall not be used for either the Markov-matrix split or the EFI amplitude calculation. It may be reported as an optional diagnostic but shall not affect the calculated occurrence spectrum or EFI.</w:t>
      </w:r>
      <w:r>
        <w:rPr>
          <w:lang w:val="en-US"/>
        </w:rPr>
        <w:br/>
      </w:r>
    </w:p>
    <w:p w14:paraId="59D678B8" w14:textId="77777777" w:rsidR="008B2183" w:rsidRPr="00DF4621" w:rsidRDefault="00000000">
      <w:pPr>
        <w:pStyle w:val="Titre2"/>
        <w:rPr>
          <w:lang w:val="en-US"/>
        </w:rPr>
      </w:pPr>
      <w:bookmarkStart w:id="25" w:name="_Toc235917332"/>
      <w:r>
        <w:rPr>
          <w:lang w:val="en-US"/>
        </w:rPr>
        <w:t>A.8 Markov matrix transformation into exceedance occurrences</w:t>
      </w:r>
      <w:bookmarkEnd w:id="25"/>
    </w:p>
    <w:p w14:paraId="13E2147F" w14:textId="77777777" w:rsidR="008B2183" w:rsidRPr="00DF4621" w:rsidRDefault="00000000">
      <w:pPr>
        <w:pStyle w:val="Corpsdetexte"/>
        <w:rPr>
          <w:lang w:val="en-US"/>
        </w:rPr>
      </w:pPr>
      <w:r>
        <w:rPr>
          <w:lang w:val="en-US"/>
        </w:rPr>
        <w:t xml:space="preserve">A raw 32×32 Markov matrix shall be transformed into a 32-class occurrence spectrum by counting upward and downward exceedances relative to the fixed reference class </w:t>
      </w:r>
      <m:oMath>
        <m:sSub>
          <m:sSubPr>
            <m:ctrlPr>
              <w:rPr>
                <w:rFonts w:ascii="Cambria Math" w:hAnsi="Cambria Math"/>
              </w:rPr>
            </m:ctrlPr>
          </m:sSubPr>
          <m:e>
            <m:r>
              <w:rPr>
                <w:rFonts w:ascii="Cambria Math" w:hAnsi="Cambria Math"/>
              </w:rPr>
              <m:t>k</m:t>
            </m:r>
          </m:e>
          <m:sub>
            <m:r>
              <w:rPr>
                <w:rFonts w:ascii="Cambria Math" w:hAnsi="Cambria Math"/>
                <w:lang w:val="en-US"/>
              </w:rPr>
              <m:t>0</m:t>
            </m:r>
          </m:sub>
        </m:sSub>
      </m:oMath>
      <w:r>
        <w:rPr>
          <w:lang w:val="en-US"/>
        </w:rPr>
        <w:t xml:space="preserve"> corresponding to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lang w:val="en-US"/>
              </w:rPr>
              <m:t>0</m:t>
            </m:r>
          </m:sub>
        </m:sSub>
        <m:r>
          <m:rPr>
            <m:sty m:val="p"/>
          </m:rPr>
          <w:rPr>
            <w:rFonts w:ascii="Cambria Math" w:hAnsi="Cambria Math"/>
            <w:lang w:val="en-US"/>
          </w:rPr>
          <m:t>=</m:t>
        </m:r>
        <m:r>
          <w:rPr>
            <w:rFonts w:ascii="Cambria Math" w:hAnsi="Cambria Math"/>
            <w:lang w:val="en-US"/>
          </w:rPr>
          <m:t>1.0</m:t>
        </m:r>
      </m:oMath>
      <w:r>
        <w:rPr>
          <w:lang w:val="en-US"/>
        </w:rPr>
        <w:t>.</w:t>
      </w:r>
    </w:p>
    <w:p w14:paraId="633903F5" w14:textId="77777777" w:rsidR="008B2183" w:rsidRPr="00DF4621" w:rsidRDefault="00000000">
      <w:pPr>
        <w:pStyle w:val="Corpsdetexte"/>
        <w:rPr>
          <w:lang w:val="en-US"/>
        </w:rPr>
      </w:pPr>
      <w:r>
        <w:rPr>
          <w:lang w:val="en-US"/>
        </w:rPr>
        <w:t>The matrix convention is:</w:t>
      </w:r>
    </w:p>
    <w:p w14:paraId="1D59B435" w14:textId="77777777" w:rsidR="008B2183" w:rsidRPr="00DF4621" w:rsidRDefault="00000000">
      <w:pPr>
        <w:pStyle w:val="Corpsdetexte"/>
        <w:jc w:val="center"/>
        <w:rPr>
          <w:lang w:val="en-US"/>
        </w:rPr>
      </w:pPr>
      <m:oMathPara>
        <m:oMathParaPr>
          <m:jc m:val="center"/>
        </m:oMathParaPr>
        <m:oMath>
          <m:r>
            <w:rPr>
              <w:rFonts w:ascii="Cambria Math" w:hAnsi="Cambria Math"/>
            </w:rPr>
            <m:t>M</m:t>
          </m:r>
          <m:d>
            <m:dPr>
              <m:ctrlPr>
                <w:rPr>
                  <w:rFonts w:ascii="Cambria Math" w:hAnsi="Cambria Math"/>
                </w:rPr>
              </m:ctrlPr>
            </m:dPr>
            <m:e>
              <m:r>
                <w:rPr>
                  <w:rFonts w:ascii="Cambria Math" w:hAnsi="Cambria Math"/>
                </w:rPr>
                <m:t>i</m:t>
              </m:r>
              <m:r>
                <m:rPr>
                  <m:sty m:val="p"/>
                </m:rPr>
                <w:rPr>
                  <w:rFonts w:ascii="Cambria Math" w:hAnsi="Cambria Math"/>
                  <w:lang w:val="en-US"/>
                </w:rPr>
                <m:t>,</m:t>
              </m:r>
              <m:r>
                <w:rPr>
                  <w:rFonts w:ascii="Cambria Math" w:hAnsi="Cambria Math"/>
                </w:rPr>
                <m:t>j</m:t>
              </m:r>
            </m:e>
          </m:d>
          <m:r>
            <m:rPr>
              <m:sty m:val="p"/>
            </m:rPr>
            <w:rPr>
              <w:rFonts w:ascii="Cambria Math" w:hAnsi="Cambria Math"/>
              <w:lang w:val="en-US"/>
            </w:rPr>
            <m:t>=</m:t>
          </m:r>
          <m:r>
            <m:rPr>
              <m:nor/>
            </m:rPr>
            <w:rPr>
              <w:lang w:val="en-US"/>
            </w:rPr>
            <m:t xml:space="preserve">number of transitions from class </m:t>
          </m:r>
          <m:r>
            <w:rPr>
              <w:rFonts w:ascii="Cambria Math" w:hAnsi="Cambria Math"/>
            </w:rPr>
            <m:t>j</m:t>
          </m:r>
          <m:r>
            <m:rPr>
              <m:nor/>
            </m:rPr>
            <w:rPr>
              <w:lang w:val="en-US"/>
            </w:rPr>
            <m:t xml:space="preserve"> to class </m:t>
          </m:r>
          <m:r>
            <w:rPr>
              <w:rFonts w:ascii="Cambria Math" w:hAnsi="Cambria Math"/>
            </w:rPr>
            <m:t>i</m:t>
          </m:r>
        </m:oMath>
      </m:oMathPara>
    </w:p>
    <w:p w14:paraId="156325CE" w14:textId="77777777" w:rsidR="008B2183" w:rsidRPr="00DF4621" w:rsidRDefault="00000000">
      <w:pPr>
        <w:pStyle w:val="Corpsdetexte"/>
        <w:rPr>
          <w:lang w:val="en-US"/>
        </w:rPr>
      </w:pPr>
      <w:r>
        <w:rPr>
          <w:lang w:val="en-US"/>
        </w:rPr>
        <w:t xml:space="preserve">For classes at or above the reference class, </w:t>
      </w:r>
      <m:oMath>
        <m:r>
          <w:rPr>
            <w:rFonts w:ascii="Cambria Math" w:hAnsi="Cambria Math"/>
          </w:rPr>
          <m:t>k</m:t>
        </m:r>
        <m:r>
          <m:rPr>
            <m:sty m:val="p"/>
          </m:rPr>
          <w:rPr>
            <w:rFonts w:ascii="Cambria Math" w:hAnsi="Cambria Math"/>
            <w:lang w:val="en-US"/>
          </w:rPr>
          <m:t>≥</m:t>
        </m:r>
        <m:sSub>
          <m:sSubPr>
            <m:ctrlPr>
              <w:rPr>
                <w:rFonts w:ascii="Cambria Math" w:hAnsi="Cambria Math"/>
              </w:rPr>
            </m:ctrlPr>
          </m:sSubPr>
          <m:e>
            <m:r>
              <w:rPr>
                <w:rFonts w:ascii="Cambria Math" w:hAnsi="Cambria Math"/>
              </w:rPr>
              <m:t>k</m:t>
            </m:r>
          </m:e>
          <m:sub>
            <m:r>
              <w:rPr>
                <w:rFonts w:ascii="Cambria Math" w:hAnsi="Cambria Math"/>
                <w:lang w:val="en-US"/>
              </w:rPr>
              <m:t>0</m:t>
            </m:r>
          </m:sub>
        </m:sSub>
      </m:oMath>
      <w:r>
        <w:rPr>
          <w:lang w:val="en-US"/>
        </w:rPr>
        <w:t>:</w:t>
      </w:r>
    </w:p>
    <w:p w14:paraId="17AE0D6E" w14:textId="77777777" w:rsidR="008B2183" w:rsidRDefault="00000000">
      <w:pPr>
        <w:pStyle w:val="Corpsdetexte"/>
        <w:jc w:val="center"/>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k</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31</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r>
                    <w:rPr>
                      <w:rFonts w:ascii="Cambria Math" w:hAnsi="Cambria Math"/>
                    </w:rPr>
                    <m:t>M</m:t>
                  </m:r>
                </m:e>
              </m:nary>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m:oMathPara>
    </w:p>
    <w:p w14:paraId="0B45F447" w14:textId="77777777" w:rsidR="008B2183" w:rsidRPr="00DF4621" w:rsidRDefault="00000000">
      <w:pPr>
        <w:pStyle w:val="Corpsdetexte"/>
        <w:rPr>
          <w:lang w:val="en-US"/>
        </w:rPr>
      </w:pPr>
      <w:r>
        <w:rPr>
          <w:lang w:val="en-US"/>
        </w:rPr>
        <w:t xml:space="preserve">For classes below the reference class, </w:t>
      </w:r>
      <m:oMath>
        <m:r>
          <w:rPr>
            <w:rFonts w:ascii="Cambria Math" w:hAnsi="Cambria Math"/>
          </w:rPr>
          <m:t>k</m:t>
        </m:r>
        <m:r>
          <m:rPr>
            <m:sty m:val="p"/>
          </m:rPr>
          <w:rPr>
            <w:rFonts w:ascii="Cambria Math" w:hAnsi="Cambria Math"/>
            <w:lang w:val="en-US"/>
          </w:rPr>
          <m:t>&lt;</m:t>
        </m:r>
        <m:sSub>
          <m:sSubPr>
            <m:ctrlPr>
              <w:rPr>
                <w:rFonts w:ascii="Cambria Math" w:hAnsi="Cambria Math"/>
              </w:rPr>
            </m:ctrlPr>
          </m:sSubPr>
          <m:e>
            <m:r>
              <w:rPr>
                <w:rFonts w:ascii="Cambria Math" w:hAnsi="Cambria Math"/>
              </w:rPr>
              <m:t>k</m:t>
            </m:r>
          </m:e>
          <m:sub>
            <m:r>
              <w:rPr>
                <w:rFonts w:ascii="Cambria Math" w:hAnsi="Cambria Math"/>
                <w:lang w:val="en-US"/>
              </w:rPr>
              <m:t>0</m:t>
            </m:r>
          </m:sub>
        </m:sSub>
      </m:oMath>
      <w:r>
        <w:rPr>
          <w:lang w:val="en-US"/>
        </w:rPr>
        <w:t>:</w:t>
      </w:r>
    </w:p>
    <w:p w14:paraId="15B90DEE" w14:textId="77777777" w:rsidR="008B2183" w:rsidRDefault="00000000">
      <w:pPr>
        <w:pStyle w:val="Corpsdetexte"/>
        <w:jc w:val="center"/>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k</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k</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31</m:t>
                  </m:r>
                </m:sup>
                <m:e>
                  <m:r>
                    <w:rPr>
                      <w:rFonts w:ascii="Cambria Math" w:hAnsi="Cambria Math"/>
                    </w:rPr>
                    <m:t>M</m:t>
                  </m:r>
                </m:e>
              </m:nary>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m:oMathPara>
    </w:p>
    <w:p w14:paraId="77581788" w14:textId="77777777" w:rsidR="008B2183" w:rsidRPr="00DF4621" w:rsidRDefault="00000000">
      <w:pPr>
        <w:pStyle w:val="Corpsdetexte"/>
        <w:rPr>
          <w:lang w:val="en-US"/>
        </w:rPr>
      </w:pPr>
      <w:r>
        <w:rPr>
          <w:lang w:val="en-US"/>
        </w:rPr>
        <w:t>With this convention, the reference class belongs to the upper branch. No smoothing, zeroing, or replacement of the reference-class occurrence shall be performed.</w:t>
      </w:r>
    </w:p>
    <w:p w14:paraId="098BC5D4" w14:textId="37649EC4" w:rsidR="008B2183" w:rsidRPr="00DF4621" w:rsidRDefault="00000000">
      <w:pPr>
        <w:pStyle w:val="Corpsdetexte"/>
        <w:rPr>
          <w:lang w:val="en-US"/>
        </w:rPr>
      </w:pPr>
      <w:r>
        <w:rPr>
          <w:lang w:val="en-US"/>
        </w:rPr>
        <w:t xml:space="preserve">The occurrence spectrum </w:t>
      </w:r>
      <m:oMath>
        <m:r>
          <w:rPr>
            <w:rFonts w:ascii="Cambria Math" w:hAnsi="Cambria Math"/>
          </w:rPr>
          <m:t>O</m:t>
        </m:r>
        <m:d>
          <m:dPr>
            <m:ctrlPr>
              <w:rPr>
                <w:rFonts w:ascii="Cambria Math" w:hAnsi="Cambria Math"/>
              </w:rPr>
            </m:ctrlPr>
          </m:dPr>
          <m:e>
            <m:r>
              <w:rPr>
                <w:rFonts w:ascii="Cambria Math" w:hAnsi="Cambria Math"/>
              </w:rPr>
              <m:t>k</m:t>
            </m:r>
          </m:e>
        </m:d>
      </m:oMath>
      <w:r>
        <w:rPr>
          <w:lang w:val="en-US"/>
        </w:rPr>
        <w:t xml:space="preserve"> shall be stored as an auditable intermediate output when generated by the SLM software.</w:t>
      </w:r>
      <w:r>
        <w:rPr>
          <w:lang w:val="en-US"/>
        </w:rPr>
        <w:br/>
      </w:r>
    </w:p>
    <w:p w14:paraId="52310E96" w14:textId="77777777" w:rsidR="008B2183" w:rsidRPr="00DF4621" w:rsidRDefault="00000000">
      <w:pPr>
        <w:pStyle w:val="Titre2"/>
        <w:rPr>
          <w:lang w:val="en-US"/>
        </w:rPr>
      </w:pPr>
      <w:bookmarkStart w:id="26" w:name="_Toc235917333"/>
      <w:r>
        <w:rPr>
          <w:lang w:val="en-US"/>
        </w:rPr>
        <w:t>A.9 Required Kossira &amp; Reinke processing outputs</w:t>
      </w:r>
      <w:bookmarkEnd w:id="26"/>
    </w:p>
    <w:p w14:paraId="3F096FA7" w14:textId="77777777" w:rsidR="008B2183" w:rsidRPr="00DF4621" w:rsidRDefault="00000000">
      <w:pPr>
        <w:pStyle w:val="Corpsdetexte"/>
        <w:rPr>
          <w:lang w:val="en-US"/>
        </w:rPr>
      </w:pPr>
      <w:r>
        <w:rPr>
          <w:lang w:val="en-US"/>
        </w:rPr>
        <w:t>The software shall be capable of producing, for each real measured processed flight or data set:</w:t>
      </w:r>
    </w:p>
    <w:p w14:paraId="680D275E" w14:textId="77777777" w:rsidR="008B2183" w:rsidRPr="00DF4621" w:rsidRDefault="00000000">
      <w:pPr>
        <w:pStyle w:val="Corpsdetexte"/>
        <w:rPr>
          <w:lang w:val="en-US"/>
        </w:rPr>
      </w:pPr>
      <w:r>
        <w:rPr>
          <w:lang w:val="en-US"/>
        </w:rPr>
        <w:t>valid sample count and processed duration;</w:t>
      </w:r>
    </w:p>
    <w:p w14:paraId="5BAC28D9" w14:textId="77777777" w:rsidR="008B2183" w:rsidRPr="00DF4621" w:rsidRDefault="00000000">
      <w:pPr>
        <w:pStyle w:val="Corpsdetexte"/>
        <w:rPr>
          <w:lang w:val="en-US"/>
        </w:rPr>
      </w:pPr>
      <w:r>
        <w:rPr>
          <w:lang w:val="en-US"/>
        </w:rPr>
        <w:t>1024-class filtered sequence;</w:t>
      </w:r>
    </w:p>
    <w:p w14:paraId="76A7F5A7" w14:textId="77777777" w:rsidR="008B2183" w:rsidRPr="00DF4621" w:rsidRDefault="00000000">
      <w:pPr>
        <w:pStyle w:val="Corpsdetexte"/>
        <w:rPr>
          <w:lang w:val="en-US"/>
        </w:rPr>
      </w:pPr>
      <w:r>
        <w:rPr>
          <w:lang w:val="en-US"/>
        </w:rPr>
        <w:t>32-class filtered sequence;</w:t>
      </w:r>
    </w:p>
    <w:p w14:paraId="24880C4B" w14:textId="77777777" w:rsidR="008B2183" w:rsidRPr="00DF4621" w:rsidRDefault="00000000">
      <w:pPr>
        <w:pStyle w:val="Corpsdetexte"/>
        <w:rPr>
          <w:lang w:val="en-US"/>
        </w:rPr>
      </w:pPr>
      <w:r>
        <w:rPr>
          <w:lang w:val="en-US"/>
        </w:rPr>
        <w:t>peak/valley sequence;</w:t>
      </w:r>
    </w:p>
    <w:p w14:paraId="124C6035" w14:textId="77777777" w:rsidR="008B2183" w:rsidRPr="00DF4621" w:rsidRDefault="00000000">
      <w:pPr>
        <w:pStyle w:val="Corpsdetexte"/>
        <w:rPr>
          <w:lang w:val="en-US"/>
        </w:rPr>
      </w:pPr>
      <w:r>
        <w:rPr>
          <w:lang w:val="en-US"/>
        </w:rPr>
        <w:t>raw 32×32 Markov transition matrix;</w:t>
      </w:r>
    </w:p>
    <w:p w14:paraId="17138542" w14:textId="77777777" w:rsidR="008B2183" w:rsidRPr="00DF4621" w:rsidRDefault="00000000">
      <w:pPr>
        <w:pStyle w:val="Corpsdetexte"/>
        <w:rPr>
          <w:lang w:val="en-US"/>
        </w:rPr>
      </w:pPr>
      <w:r>
        <w:rPr>
          <w:lang w:val="en-US"/>
        </w:rPr>
        <w:t xml:space="preserve">fixed reference load factor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lang w:val="en-US"/>
              </w:rPr>
              <m:t>0</m:t>
            </m:r>
          </m:sub>
        </m:sSub>
        <m:r>
          <m:rPr>
            <m:sty m:val="p"/>
          </m:rPr>
          <w:rPr>
            <w:rFonts w:ascii="Cambria Math" w:hAnsi="Cambria Math"/>
            <w:lang w:val="en-US"/>
          </w:rPr>
          <m:t>=</m:t>
        </m:r>
        <m:r>
          <w:rPr>
            <w:rFonts w:ascii="Cambria Math" w:hAnsi="Cambria Math"/>
            <w:lang w:val="en-US"/>
          </w:rPr>
          <m:t>1.0</m:t>
        </m:r>
      </m:oMath>
      <w:r>
        <w:rPr>
          <w:lang w:val="en-US"/>
        </w:rPr>
        <w:t>;</w:t>
      </w:r>
    </w:p>
    <w:p w14:paraId="62EBEAB3" w14:textId="77777777" w:rsidR="008B2183" w:rsidRPr="00DF4621" w:rsidRDefault="00000000">
      <w:pPr>
        <w:pStyle w:val="Corpsdetexte"/>
        <w:rPr>
          <w:lang w:val="en-US"/>
        </w:rPr>
      </w:pPr>
      <w:r>
        <w:rPr>
          <w:lang w:val="en-US"/>
        </w:rPr>
        <w:t xml:space="preserve">reference 32-class index </w:t>
      </w:r>
      <m:oMath>
        <m:sSub>
          <m:sSubPr>
            <m:ctrlPr>
              <w:rPr>
                <w:rFonts w:ascii="Cambria Math" w:hAnsi="Cambria Math"/>
              </w:rPr>
            </m:ctrlPr>
          </m:sSubPr>
          <m:e>
            <m:r>
              <w:rPr>
                <w:rFonts w:ascii="Cambria Math" w:hAnsi="Cambria Math"/>
              </w:rPr>
              <m:t>k</m:t>
            </m:r>
          </m:e>
          <m:sub>
            <m:r>
              <w:rPr>
                <w:rFonts w:ascii="Cambria Math" w:hAnsi="Cambria Math"/>
                <w:lang w:val="en-US"/>
              </w:rPr>
              <m:t>0</m:t>
            </m:r>
          </m:sub>
        </m:sSub>
      </m:oMath>
      <w:r>
        <w:rPr>
          <w:lang w:val="en-US"/>
        </w:rPr>
        <w:t>;</w:t>
      </w:r>
    </w:p>
    <w:p w14:paraId="0F97B7F0" w14:textId="77777777" w:rsidR="008B2183" w:rsidRPr="00DF4621" w:rsidRDefault="00000000">
      <w:pPr>
        <w:pStyle w:val="Corpsdetexte"/>
        <w:rPr>
          <w:lang w:val="en-US"/>
        </w:rPr>
      </w:pPr>
      <w:r>
        <w:rPr>
          <w:lang w:val="en-US"/>
        </w:rPr>
        <w:t>upper and lower exceedance occurrence branches;</w:t>
      </w:r>
    </w:p>
    <w:p w14:paraId="4A781CAC" w14:textId="77777777" w:rsidR="008B2183" w:rsidRPr="00DF4621" w:rsidRDefault="00000000">
      <w:pPr>
        <w:pStyle w:val="Corpsdetexte"/>
        <w:rPr>
          <w:lang w:val="en-US"/>
        </w:rPr>
      </w:pPr>
      <w:r>
        <w:rPr>
          <w:lang w:val="en-US"/>
        </w:rPr>
        <w:lastRenderedPageBreak/>
        <w:t>final 32-class occurrence table;</w:t>
      </w:r>
    </w:p>
    <w:p w14:paraId="7CF0CBF2" w14:textId="522672FD" w:rsidR="008B2183" w:rsidRPr="00DF4621" w:rsidRDefault="008B2183">
      <w:pPr>
        <w:pStyle w:val="Corpsdetexte"/>
        <w:rPr>
          <w:lang w:val="en-US"/>
        </w:rPr>
      </w:pPr>
    </w:p>
    <w:p w14:paraId="3CCCFE79" w14:textId="77777777" w:rsidR="009A78D5" w:rsidRPr="00FC5004" w:rsidRDefault="00000000">
      <w:pPr>
        <w:pStyle w:val="Titre2"/>
        <w:rPr>
          <w:lang w:val="en-US"/>
        </w:rPr>
      </w:pPr>
      <w:bookmarkStart w:id="27" w:name="_Toc235917334"/>
      <w:r>
        <w:rPr>
          <w:lang w:val="en-US"/>
        </w:rPr>
        <w:t>A.10 Kossira &amp; Reinke processing verification checks</w:t>
      </w:r>
      <w:bookmarkEnd w:id="27"/>
    </w:p>
    <w:p w14:paraId="1F4B2FAA" w14:textId="77777777" w:rsidR="009A78D5" w:rsidRPr="00FC5004" w:rsidRDefault="00000000">
      <w:pPr>
        <w:rPr>
          <w:lang w:val="en-US"/>
        </w:rPr>
      </w:pPr>
      <w:r>
        <w:rPr>
          <w:lang w:val="en-US"/>
        </w:rPr>
        <w:t>The software shall verify and report the following processing-consistency checks for real measured data processed from raw samples:</w:t>
      </w:r>
    </w:p>
    <w:p w14:paraId="22706015" w14:textId="77777777" w:rsidR="009A78D5" w:rsidRPr="00997F2D" w:rsidRDefault="00000000" w:rsidP="00997F2D">
      <w:pPr>
        <w:pStyle w:val="Paragraphedeliste"/>
        <w:numPr>
          <w:ilvl w:val="0"/>
          <w:numId w:val="4"/>
        </w:numPr>
        <w:rPr>
          <w:lang w:val="en-US"/>
        </w:rPr>
      </w:pPr>
      <w:r>
        <w:rPr>
          <w:lang w:val="en-US"/>
        </w:rPr>
        <w:t>the sum of the raw Markov matrix equals the number of peak/valley transitions;</w:t>
      </w:r>
    </w:p>
    <w:p w14:paraId="4C22B881" w14:textId="77777777" w:rsidR="009A78D5" w:rsidRPr="00997F2D" w:rsidRDefault="00000000" w:rsidP="00997F2D">
      <w:pPr>
        <w:pStyle w:val="Paragraphedeliste"/>
        <w:numPr>
          <w:ilvl w:val="0"/>
          <w:numId w:val="4"/>
        </w:numPr>
        <w:rPr>
          <w:lang w:val="en-US"/>
        </w:rPr>
      </w:pPr>
      <w:r>
        <w:rPr>
          <w:lang w:val="en-US"/>
        </w:rPr>
        <w:t>diagonal Markov cells are zero;</w:t>
      </w:r>
    </w:p>
    <w:p w14:paraId="6B0D1383" w14:textId="574ACB68" w:rsidR="009A78D5" w:rsidRPr="00997F2D" w:rsidRDefault="00000000" w:rsidP="00997F2D">
      <w:pPr>
        <w:pStyle w:val="Paragraphedeliste"/>
        <w:numPr>
          <w:ilvl w:val="0"/>
          <w:numId w:val="4"/>
        </w:numPr>
        <w:rPr>
          <w:lang w:val="en-US"/>
        </w:rPr>
      </w:pPr>
      <w:bookmarkStart w:id="28" w:name="X47e4a7c512d7d0b186e3ee0da0409ee8119a9cd"/>
      <w:r>
        <w:rPr>
          <w:lang w:val="en-US"/>
        </w:rPr>
        <w:t>raw Markov row/column imbalance is consistent with the sequence start/end conditions.</w:t>
      </w:r>
      <w:bookmarkEnd w:id="28"/>
      <w:r>
        <w:rPr>
          <w:lang w:val="en-US"/>
        </w:rPr>
        <w:br/>
      </w:r>
    </w:p>
    <w:p w14:paraId="4E277CF0" w14:textId="77777777" w:rsidR="009A78D5" w:rsidRPr="00FC5004" w:rsidRDefault="00000000">
      <w:pPr>
        <w:pStyle w:val="Titre1"/>
        <w:pageBreakBefore/>
        <w:rPr>
          <w:lang w:val="en-US"/>
        </w:rPr>
      </w:pPr>
      <w:bookmarkStart w:id="29" w:name="_Toc235917336"/>
      <w:r>
        <w:rPr>
          <w:lang w:val="en-US"/>
        </w:rPr>
        <w:lastRenderedPageBreak/>
        <w:t>8. Appendix B — EFI Calculation Rules for Software Implementation</w:t>
      </w:r>
      <w:bookmarkEnd w:id="29"/>
    </w:p>
    <w:p w14:paraId="5BF0ED6F" w14:textId="6B6A3B48" w:rsidR="008B2183" w:rsidRPr="00DF4621" w:rsidRDefault="00000000">
      <w:pPr>
        <w:pStyle w:val="Corpsdetexte"/>
        <w:rPr>
          <w:lang w:val="en-US"/>
        </w:rPr>
      </w:pPr>
      <w:r>
        <w:rPr>
          <w:lang w:val="en-US"/>
        </w:rPr>
        <w:t>This appendix defines the deterministic software rules used to compute EFI and associated life-extension quantities from the occurrence spectra generated by Appendix A.</w:t>
      </w:r>
      <w:r>
        <w:rPr>
          <w:lang w:val="en-US"/>
        </w:rPr>
        <w:br/>
      </w:r>
    </w:p>
    <w:p w14:paraId="44D1AAE4" w14:textId="77777777" w:rsidR="008B2183" w:rsidRPr="00DF4621" w:rsidRDefault="00000000">
      <w:pPr>
        <w:pStyle w:val="Titre2"/>
        <w:rPr>
          <w:lang w:val="en-US"/>
        </w:rPr>
      </w:pPr>
      <w:bookmarkStart w:id="30" w:name="_Toc235917337"/>
      <w:r>
        <w:rPr>
          <w:lang w:val="en-US"/>
        </w:rPr>
        <w:t>B.1 Required inputs</w:t>
      </w:r>
      <w:bookmarkEnd w:id="30"/>
    </w:p>
    <w:p w14:paraId="3A95D86D" w14:textId="77777777" w:rsidR="008B2183" w:rsidRPr="00DF4621" w:rsidRDefault="00000000">
      <w:pPr>
        <w:pStyle w:val="Corpsdetexte"/>
        <w:rPr>
          <w:lang w:val="en-US"/>
        </w:rPr>
      </w:pPr>
      <w:r>
        <w:rPr>
          <w:lang w:val="en-US"/>
        </w:rPr>
        <w:t>The EFI software shall use the following inputs:</w:t>
      </w:r>
    </w:p>
    <w:p w14:paraId="219CA125" w14:textId="77777777" w:rsidR="008B2183" w:rsidRPr="00DF4621" w:rsidRDefault="00000000" w:rsidP="000453EB">
      <w:pPr>
        <w:pStyle w:val="Corpsdetexte"/>
        <w:numPr>
          <w:ilvl w:val="0"/>
          <w:numId w:val="5"/>
        </w:numPr>
        <w:rPr>
          <w:lang w:val="en-US"/>
        </w:rPr>
      </w:pPr>
      <w:r>
        <w:rPr>
          <w:lang w:val="en-US"/>
        </w:rPr>
        <w:t>approved ABB.163-derived Utility reference occurrence table;</w:t>
      </w:r>
    </w:p>
    <w:p w14:paraId="0D51AFC2" w14:textId="77777777" w:rsidR="008B2183" w:rsidRPr="00DF4621" w:rsidRDefault="00000000" w:rsidP="000453EB">
      <w:pPr>
        <w:pStyle w:val="Corpsdetexte"/>
        <w:numPr>
          <w:ilvl w:val="0"/>
          <w:numId w:val="5"/>
        </w:numPr>
        <w:rPr>
          <w:lang w:val="en-US"/>
        </w:rPr>
      </w:pPr>
      <w:r>
        <w:rPr>
          <w:lang w:val="en-US"/>
        </w:rPr>
        <w:t xml:space="preserve">applicable approved Service Life Limit </w:t>
      </w:r>
      <m:oMath>
        <m:r>
          <w:rPr>
            <w:rFonts w:ascii="Cambria Math" w:hAnsi="Cambria Math"/>
          </w:rPr>
          <m:t>L</m:t>
        </m:r>
      </m:oMath>
      <w:r>
        <w:rPr>
          <w:lang w:val="en-US"/>
        </w:rPr>
        <w:t>;</w:t>
      </w:r>
    </w:p>
    <w:p w14:paraId="02EB438E" w14:textId="77777777" w:rsidR="008B2183" w:rsidRPr="00DF4621" w:rsidRDefault="00000000" w:rsidP="000453EB">
      <w:pPr>
        <w:pStyle w:val="Corpsdetexte"/>
        <w:numPr>
          <w:ilvl w:val="0"/>
          <w:numId w:val="5"/>
        </w:numPr>
        <w:rPr>
          <w:lang w:val="en-US"/>
        </w:rPr>
      </w:pPr>
      <w:r>
        <w:rPr>
          <w:lang w:val="en-US"/>
        </w:rPr>
        <w:t>real measured occurrence table generated by Appendix A;</w:t>
      </w:r>
    </w:p>
    <w:p w14:paraId="168B5536" w14:textId="77777777" w:rsidR="008B2183" w:rsidRPr="00DF4621" w:rsidRDefault="00000000" w:rsidP="000453EB">
      <w:pPr>
        <w:pStyle w:val="Corpsdetexte"/>
        <w:numPr>
          <w:ilvl w:val="0"/>
          <w:numId w:val="5"/>
        </w:numPr>
        <w:rPr>
          <w:lang w:val="en-US"/>
        </w:rPr>
      </w:pPr>
      <w:r>
        <w:rPr>
          <w:lang w:val="en-US"/>
        </w:rPr>
        <w:t>valid real aerodynamic recording duration associated with the measured occurrence table;</w:t>
      </w:r>
    </w:p>
    <w:p w14:paraId="7A50BC0D" w14:textId="77777777" w:rsidR="008B2183" w:rsidRPr="00DF4621" w:rsidRDefault="00000000" w:rsidP="000453EB">
      <w:pPr>
        <w:pStyle w:val="Corpsdetexte"/>
        <w:numPr>
          <w:ilvl w:val="0"/>
          <w:numId w:val="5"/>
        </w:numPr>
        <w:rPr>
          <w:lang w:val="en-US"/>
        </w:rPr>
      </w:pPr>
      <w:r>
        <w:rPr>
          <w:lang w:val="en-US"/>
        </w:rPr>
        <w:t>unmonitored aircraft flight time used for the total-EFI assessment;</w:t>
      </w:r>
    </w:p>
    <w:p w14:paraId="064B41DA" w14:textId="77777777" w:rsidR="008B2183" w:rsidRPr="00DF4621" w:rsidRDefault="00000000" w:rsidP="000453EB">
      <w:pPr>
        <w:pStyle w:val="Corpsdetexte"/>
        <w:numPr>
          <w:ilvl w:val="0"/>
          <w:numId w:val="5"/>
        </w:numPr>
        <w:rPr>
          <w:lang w:val="en-US"/>
        </w:rPr>
      </w:pPr>
      <w:r>
        <w:rPr>
          <w:lang w:val="en-US"/>
        </w:rPr>
        <w:t xml:space="preserve">Basquin exponent </w:t>
      </w:r>
      <m:oMath>
        <m:r>
          <w:rPr>
            <w:rFonts w:ascii="Cambria Math" w:hAnsi="Cambria Math"/>
          </w:rPr>
          <m:t>b</m:t>
        </m:r>
      </m:oMath>
      <w:r>
        <w:rPr>
          <w:lang w:val="en-US"/>
        </w:rPr>
        <w:t xml:space="preserve"> and positive EFI exponent </w:t>
      </w:r>
      <m:oMath>
        <m:r>
          <w:rPr>
            <w:rFonts w:ascii="Cambria Math" w:hAnsi="Cambria Math"/>
          </w:rPr>
          <m:t>k</m:t>
        </m:r>
        <m:r>
          <m:rPr>
            <m:sty m:val="p"/>
          </m:rPr>
          <w:rPr>
            <w:rFonts w:ascii="Cambria Math" w:hAnsi="Cambria Math"/>
            <w:lang w:val="en-US"/>
          </w:rPr>
          <m:t>=-</m:t>
        </m:r>
        <m:r>
          <w:rPr>
            <w:rFonts w:ascii="Cambria Math" w:hAnsi="Cambria Math"/>
            <w:lang w:val="en-US"/>
          </w:rPr>
          <m:t>1</m:t>
        </m:r>
        <m:r>
          <m:rPr>
            <m:sty m:val="p"/>
          </m:rPr>
          <w:rPr>
            <w:rFonts w:ascii="Cambria Math" w:hAnsi="Cambria Math"/>
            <w:lang w:val="en-US"/>
          </w:rPr>
          <m:t>/</m:t>
        </m:r>
        <m:r>
          <w:rPr>
            <w:rFonts w:ascii="Cambria Math" w:hAnsi="Cambria Math"/>
          </w:rPr>
          <m:t>b</m:t>
        </m:r>
      </m:oMath>
      <w:r>
        <w:rPr>
          <w:lang w:val="en-US"/>
        </w:rPr>
        <w:t>.</w:t>
      </w:r>
    </w:p>
    <w:p w14:paraId="1029F6E1" w14:textId="77777777" w:rsidR="008B2183" w:rsidRPr="00DF4621" w:rsidRDefault="00000000">
      <w:pPr>
        <w:pStyle w:val="Corpsdetexte"/>
        <w:rPr>
          <w:lang w:val="en-US"/>
        </w:rPr>
      </w:pPr>
      <w:r>
        <w:rPr>
          <w:lang w:val="en-US"/>
        </w:rPr>
        <w:t>For the generic SLM methodology:</w:t>
      </w:r>
    </w:p>
    <w:p w14:paraId="34F0CF6F" w14:textId="77777777" w:rsidR="008B2183" w:rsidRDefault="00000000">
      <w:pPr>
        <w:pStyle w:val="Corpsdetexte"/>
        <w:jc w:val="center"/>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0.16</m:t>
          </m:r>
        </m:oMath>
      </m:oMathPara>
    </w:p>
    <w:p w14:paraId="1552A9EC" w14:textId="77777777" w:rsidR="008B2183" w:rsidRDefault="00000000">
      <w:pPr>
        <w:pStyle w:val="Corpsdetexte"/>
        <w:jc w:val="center"/>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6.25</m:t>
          </m:r>
        </m:oMath>
      </m:oMathPara>
    </w:p>
    <w:p w14:paraId="1F4D78FC" w14:textId="65712593" w:rsidR="008B2183" w:rsidRPr="00DF4621" w:rsidRDefault="00000000">
      <w:pPr>
        <w:pStyle w:val="Corpsdetexte"/>
        <w:rPr>
          <w:lang w:val="en-US"/>
        </w:rPr>
      </w:pPr>
      <w:r>
        <w:rPr>
          <w:lang w:val="en-US"/>
        </w:rPr>
        <w:t xml:space="preserve">The 6,000-hour Kossira &amp; Reinke reference normalization is a fixed methodology input. The reference spectrum is scaled to the applicable value of </w:t>
      </w:r>
      <m:oMath>
        <m:r>
          <w:rPr>
            <w:rFonts w:ascii="Cambria Math" w:hAnsi="Cambria Math"/>
          </w:rPr>
          <m:t>L</m:t>
        </m:r>
      </m:oMath>
      <w:r>
        <w:rPr>
          <w:lang w:val="en-US"/>
        </w:rPr>
        <w:t>; no universal 12,000-hour life or universal fatigue safety factor is introduced into the EFI equations.</w:t>
      </w:r>
      <w:r>
        <w:rPr>
          <w:lang w:val="en-US"/>
        </w:rPr>
        <w:br/>
      </w:r>
    </w:p>
    <w:p w14:paraId="7A272280" w14:textId="77777777" w:rsidR="008B2183" w:rsidRPr="00DF4621" w:rsidRDefault="00000000">
      <w:pPr>
        <w:pStyle w:val="Titre2"/>
        <w:rPr>
          <w:lang w:val="en-US"/>
        </w:rPr>
      </w:pPr>
      <w:bookmarkStart w:id="31" w:name="_Toc235917338"/>
      <w:r>
        <w:rPr>
          <w:lang w:val="en-US"/>
        </w:rPr>
        <w:t>B.2 Fixed reference level used by counting and EFI</w:t>
      </w:r>
      <w:bookmarkEnd w:id="31"/>
    </w:p>
    <w:p w14:paraId="4A63893A" w14:textId="77777777" w:rsidR="008B2183" w:rsidRPr="00DF4621" w:rsidRDefault="00000000">
      <w:pPr>
        <w:pStyle w:val="Corpsdetexte"/>
        <w:rPr>
          <w:lang w:val="en-US"/>
        </w:rPr>
      </w:pPr>
      <w:r>
        <w:rPr>
          <w:lang w:val="en-US"/>
        </w:rPr>
        <w:t>The Kossira &amp; Reinke processing and EFI calculation shall use the same fixed reference level for both the reference and measured spectra:</w:t>
      </w:r>
    </w:p>
    <w:p w14:paraId="6794524E" w14:textId="77777777" w:rsidR="008B2183" w:rsidRDefault="00000000">
      <w:pPr>
        <w:pStyle w:val="Corpsdetexte"/>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m:t>
          </m:r>
        </m:oMath>
      </m:oMathPara>
    </w:p>
    <w:p w14:paraId="40266B2E" w14:textId="40BB7250" w:rsidR="008B2183" w:rsidRPr="00DF4621" w:rsidRDefault="00000000">
      <w:pPr>
        <w:pStyle w:val="Corpsdetexte"/>
        <w:rPr>
          <w:lang w:val="en-US"/>
        </w:rPr>
      </w:pPr>
      <w:r>
        <w:rPr>
          <w:lang w:val="en-US"/>
        </w:rPr>
        <w:t>The arithmetic average of an individual measured sequence shall not be used for Markov-matrix splitting or EFI amplitude calculation.</w:t>
      </w:r>
      <w:r>
        <w:rPr>
          <w:lang w:val="en-US"/>
        </w:rPr>
        <w:br/>
      </w:r>
    </w:p>
    <w:p w14:paraId="1CEA8C52" w14:textId="77777777" w:rsidR="008B2183" w:rsidRPr="00DF4621" w:rsidRDefault="00000000">
      <w:pPr>
        <w:pStyle w:val="Titre2"/>
        <w:rPr>
          <w:lang w:val="en-US"/>
        </w:rPr>
      </w:pPr>
      <w:bookmarkStart w:id="32" w:name="_Toc235917339"/>
      <w:r>
        <w:rPr>
          <w:lang w:val="en-US"/>
        </w:rPr>
        <w:t>B.3 Reference spectrum scaling</w:t>
      </w:r>
      <w:bookmarkEnd w:id="32"/>
    </w:p>
    <w:p w14:paraId="6D15D9A3" w14:textId="77777777" w:rsidR="008B2183" w:rsidRPr="00DF4621" w:rsidRDefault="00000000">
      <w:pPr>
        <w:pStyle w:val="Corpsdetexte"/>
        <w:rPr>
          <w:lang w:val="en-US"/>
        </w:rPr>
      </w:pPr>
      <w:r>
        <w:rPr>
          <w:lang w:val="en-US"/>
        </w:rPr>
        <w:t>The generic Utility reference occurrence table is normalized to 6,000 flight hours.</w:t>
      </w:r>
    </w:p>
    <w:p w14:paraId="7A4B36BA" w14:textId="77777777" w:rsidR="008B2183" w:rsidRPr="00DF4621" w:rsidRDefault="00000000">
      <w:pPr>
        <w:pStyle w:val="Corpsdetexte"/>
        <w:rPr>
          <w:lang w:val="en-US"/>
        </w:rPr>
      </w:pPr>
      <w:r>
        <w:rPr>
          <w:lang w:val="en-US"/>
        </w:rPr>
        <w:t>For establishment of the reference exposure over the approved Service Life Limit:</w:t>
      </w:r>
    </w:p>
    <w:p w14:paraId="327F68CB" w14:textId="77777777" w:rsidR="008B2183"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6000</m:t>
              </m:r>
            </m:den>
          </m:f>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6000</m:t>
              </m:r>
            </m:sub>
          </m:sSub>
        </m:oMath>
      </m:oMathPara>
    </w:p>
    <w:p w14:paraId="5CE40AE3" w14:textId="77777777" w:rsidR="008B2183" w:rsidRPr="00DF4621" w:rsidRDefault="00000000">
      <w:pPr>
        <w:pStyle w:val="Corpsdetexte"/>
        <w:rPr>
          <w:lang w:val="en-US"/>
        </w:rPr>
      </w:pPr>
      <w:r>
        <w:rPr>
          <w:lang w:val="en-US"/>
        </w:rPr>
        <w:t>This scaling shall be continuous; integer flooring shall not be applied when establishing the reference normalization constant C over L.</w:t>
      </w:r>
    </w:p>
    <w:p w14:paraId="338289D2" w14:textId="77777777" w:rsidR="008B2183" w:rsidRDefault="00000000">
      <w:pPr>
        <w:pStyle w:val="Corpsdetexte"/>
      </w:pPr>
      <w:r>
        <w:rPr>
          <w:lang w:val="en-US"/>
        </w:rPr>
        <w:t xml:space="preserve">For comparison with a valid measured observation duration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rPr>
          <w:lang w:val="en-US"/>
        </w:rPr>
        <w:t xml:space="preserve">, the reference occurrence table shall be scaled to the same duration. </w:t>
      </w:r>
      <w:r>
        <w:t>When the conservative integer-floor convention is used:</w:t>
      </w:r>
    </w:p>
    <w:p w14:paraId="31EE1196" w14:textId="721D2ED7" w:rsidR="008B2183" w:rsidRDefault="00000000">
      <w:pPr>
        <w:pStyle w:val="Corpsdetexte"/>
        <w:jc w:val="center"/>
      </w:pPr>
      <m:oMathPara>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6000</m:t>
              </m:r>
            </m:sub>
          </m:sSub>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real</m:t>
                  </m:r>
                </m:sub>
              </m:sSub>
            </m:num>
            <m:den>
              <m:r>
                <w:rPr>
                  <w:rFonts w:ascii="Cambria Math" w:hAnsi="Cambria Math"/>
                </w:rPr>
                <m:t>6000</m:t>
              </m:r>
            </m:den>
          </m:f>
          <m:r>
            <w:rPr>
              <w:rFonts w:ascii="Cambria Math" w:hAnsi="Cambria Math"/>
            </w:rPr>
            <m:t>⌋</m:t>
          </m:r>
          <m:r>
            <m:rPr>
              <m:sty m:val="p"/>
            </m:rPr>
            <w:br/>
          </m:r>
        </m:oMath>
      </m:oMathPara>
    </w:p>
    <w:p w14:paraId="1525683C" w14:textId="77777777" w:rsidR="008B2183" w:rsidRPr="00DF4621" w:rsidRDefault="00000000">
      <w:pPr>
        <w:pStyle w:val="Titre2"/>
        <w:rPr>
          <w:lang w:val="en-US"/>
        </w:rPr>
      </w:pPr>
      <w:bookmarkStart w:id="33" w:name="_Toc235917340"/>
      <w:r>
        <w:rPr>
          <w:lang w:val="en-US"/>
        </w:rPr>
        <w:t>B.4 Reference normalization constant</w:t>
      </w:r>
      <w:bookmarkEnd w:id="33"/>
    </w:p>
    <w:p w14:paraId="571C76E0" w14:textId="77777777" w:rsidR="008B2183" w:rsidRPr="00DF4621" w:rsidRDefault="00000000">
      <w:pPr>
        <w:pStyle w:val="Corpsdetexte"/>
        <w:rPr>
          <w:lang w:val="en-US"/>
        </w:rPr>
      </w:pPr>
      <w:r>
        <w:rPr>
          <w:lang w:val="en-US"/>
        </w:rPr>
        <w:t>The reference normalization constant shall be:</w:t>
      </w:r>
    </w:p>
    <w:p w14:paraId="7A09483D" w14:textId="77777777" w:rsidR="008B2183" w:rsidRDefault="00000000">
      <w:pPr>
        <w:pStyle w:val="Corpsdetexte"/>
        <w:jc w:val="center"/>
      </w:pPr>
      <m:oMathPara>
        <m:oMathParaPr>
          <m:jc m:val="center"/>
        </m:oMathParaPr>
        <m:oMath>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oMath>
      </m:oMathPara>
    </w:p>
    <w:p w14:paraId="51253655" w14:textId="77777777" w:rsidR="008B2183" w:rsidRDefault="00000000">
      <w:pPr>
        <w:pStyle w:val="Corpsdetexte"/>
      </w:pPr>
      <w:r>
        <w:t>This normalization assigns:</w:t>
      </w:r>
    </w:p>
    <w:p w14:paraId="1BA2438E" w14:textId="649AEEC1" w:rsidR="008B2183" w:rsidRDefault="00000000">
      <w:pPr>
        <w:pStyle w:val="Corpsdetexte"/>
        <w:jc w:val="center"/>
      </w:pPr>
      <m:oMathPara>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1</m:t>
          </m:r>
          <m:r>
            <m:rPr>
              <m:sty m:val="p"/>
            </m:rPr>
            <w:br/>
          </m:r>
        </m:oMath>
      </m:oMathPara>
    </w:p>
    <w:p w14:paraId="3B066EE9" w14:textId="77777777" w:rsidR="008B2183" w:rsidRPr="00DF4621" w:rsidRDefault="00000000">
      <w:pPr>
        <w:pStyle w:val="Titre2"/>
        <w:rPr>
          <w:lang w:val="en-US"/>
        </w:rPr>
      </w:pPr>
      <w:bookmarkStart w:id="34" w:name="_Toc235917341"/>
      <w:r>
        <w:rPr>
          <w:lang w:val="en-US"/>
        </w:rPr>
        <w:t>B.5 Number of cycles to failure</w:t>
      </w:r>
      <w:bookmarkEnd w:id="34"/>
    </w:p>
    <w:p w14:paraId="00D9AFB3" w14:textId="77777777" w:rsidR="008B2183" w:rsidRPr="00DF4621" w:rsidRDefault="00000000">
      <w:pPr>
        <w:pStyle w:val="Corpsdetexte"/>
        <w:rPr>
          <w:lang w:val="en-US"/>
        </w:rPr>
      </w:pPr>
      <w:r>
        <w:rPr>
          <w:lang w:val="en-US"/>
        </w:rPr>
        <w:t xml:space="preserve">For each load-factor class </w:t>
      </w:r>
      <m:oMath>
        <m:r>
          <w:rPr>
            <w:rFonts w:ascii="Cambria Math" w:hAnsi="Cambria Math"/>
          </w:rPr>
          <m:t>i</m:t>
        </m:r>
      </m:oMath>
      <w:r>
        <w:rPr>
          <w:lang w:val="en-US"/>
        </w:rPr>
        <w:t>, the equivalent number of occurrences to failure shall be:</w:t>
      </w:r>
    </w:p>
    <w:p w14:paraId="3A360B58" w14:textId="77777777" w:rsidR="008B2183"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C</m:t>
          </m:r>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m:rPr>
                  <m:sty m:val="p"/>
                </m:rPr>
                <w:rPr>
                  <w:rFonts w:ascii="Cambria Math" w:hAnsi="Cambria Math"/>
                </w:rPr>
                <m:t>-</m:t>
              </m:r>
              <m:r>
                <w:rPr>
                  <w:rFonts w:ascii="Cambria Math" w:hAnsi="Cambria Math"/>
                </w:rPr>
                <m:t>k</m:t>
              </m:r>
            </m:sup>
          </m:sSup>
        </m:oMath>
      </m:oMathPara>
    </w:p>
    <w:p w14:paraId="465DF3FB" w14:textId="26C65DAC" w:rsidR="008B2183" w:rsidRPr="00DF4621" w:rsidRDefault="00000000">
      <w:pPr>
        <w:pStyle w:val="Corpsdetexte"/>
        <w:rPr>
          <w:lang w:val="en-US"/>
        </w:rPr>
      </w:pPr>
      <w:r>
        <w:rPr>
          <w:lang w:val="en-US"/>
        </w:rPr>
        <w:t xml:space="preserve">If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lang w:val="en-US"/>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lang w:val="en-US"/>
              </w:rPr>
              <m:t>0</m:t>
            </m:r>
          </m:sub>
        </m:sSub>
      </m:oMath>
      <w:r>
        <w:rPr>
          <w:lang w:val="en-US"/>
        </w:rPr>
        <w:t xml:space="preserve"> exactly, the corresponding amplitude and EFI contribution are zero. </w:t>
      </w:r>
      <m:oMath>
        <m:sSub>
          <m:sSubPr>
            <m:ctrlPr>
              <w:rPr>
                <w:rFonts w:ascii="Cambria Math" w:hAnsi="Cambria Math"/>
              </w:rPr>
            </m:ctrlPr>
          </m:sSubPr>
          <m:e>
            <m:r>
              <w:rPr>
                <w:rFonts w:ascii="Cambria Math" w:hAnsi="Cambria Math"/>
              </w:rPr>
              <m:t>N</m:t>
            </m:r>
          </m:e>
          <m:sub>
            <m:r>
              <w:rPr>
                <w:rFonts w:ascii="Cambria Math" w:hAnsi="Cambria Math"/>
              </w:rPr>
              <m:t>i</m:t>
            </m:r>
          </m:sub>
        </m:sSub>
      </m:oMath>
      <w:r>
        <w:rPr>
          <w:lang w:val="en-US"/>
        </w:rPr>
        <w:t xml:space="preserve"> may be reported as infinite or not applicable to avoid division by zero in software output.</w:t>
      </w:r>
      <w:r>
        <w:rPr>
          <w:lang w:val="en-US"/>
        </w:rPr>
        <w:br/>
      </w:r>
    </w:p>
    <w:p w14:paraId="1D65AE4A" w14:textId="77777777" w:rsidR="008B2183" w:rsidRPr="00DF4621" w:rsidRDefault="00000000">
      <w:pPr>
        <w:pStyle w:val="Titre2"/>
        <w:rPr>
          <w:lang w:val="en-US"/>
        </w:rPr>
      </w:pPr>
      <w:bookmarkStart w:id="35" w:name="_Toc235917342"/>
      <w:r>
        <w:rPr>
          <w:lang w:val="en-US"/>
        </w:rPr>
        <w:t>B.6 Monitored and total EFI</w:t>
      </w:r>
      <w:bookmarkEnd w:id="35"/>
    </w:p>
    <w:p w14:paraId="60DC1902" w14:textId="77777777" w:rsidR="008B2183" w:rsidRPr="00DF4621" w:rsidRDefault="00000000">
      <w:pPr>
        <w:pStyle w:val="Corpsdetexte"/>
        <w:rPr>
          <w:lang w:val="en-US"/>
        </w:rPr>
      </w:pPr>
      <w:r>
        <w:rPr>
          <w:lang w:val="en-US"/>
        </w:rPr>
        <w:t>The EFI accumulated from valid measured aerodynamic recordings shall be:</w:t>
      </w:r>
    </w:p>
    <w:p w14:paraId="76B8508B" w14:textId="77777777" w:rsidR="008B2183" w:rsidRDefault="00000000">
      <w:pPr>
        <w:pStyle w:val="Corpsdetexte"/>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monitored</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real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oMath>
      </m:oMathPara>
    </w:p>
    <w:p w14:paraId="17F6D724" w14:textId="77777777" w:rsidR="008B2183" w:rsidRPr="00DF4621" w:rsidRDefault="00000000">
      <w:pPr>
        <w:pStyle w:val="Corpsdetexte"/>
        <w:rPr>
          <w:lang w:val="en-US"/>
        </w:rPr>
      </w:pPr>
      <w:r>
        <w:rPr>
          <w:lang w:val="en-US"/>
        </w:rPr>
        <w:t>The unmonitored aircraft flight time shall be conservatively accumulated at the reference rate:</w:t>
      </w:r>
    </w:p>
    <w:p w14:paraId="73A83041" w14:textId="77777777" w:rsidR="008B2183" w:rsidRDefault="00000000">
      <w:pPr>
        <w:pStyle w:val="Corpsdetexte"/>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unmonitored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unmonitored</m:t>
                  </m:r>
                </m:sub>
              </m:sSub>
            </m:num>
            <m:den>
              <m:r>
                <w:rPr>
                  <w:rFonts w:ascii="Cambria Math" w:hAnsi="Cambria Math"/>
                </w:rPr>
                <m:t>L</m:t>
              </m:r>
            </m:den>
          </m:f>
        </m:oMath>
      </m:oMathPara>
    </w:p>
    <w:p w14:paraId="165025F3" w14:textId="77777777" w:rsidR="008B2183" w:rsidRPr="00DF4621" w:rsidRDefault="00000000">
      <w:pPr>
        <w:pStyle w:val="Corpsdetexte"/>
        <w:rPr>
          <w:lang w:val="en-US"/>
        </w:rPr>
      </w:pPr>
      <w:r>
        <w:rPr>
          <w:lang w:val="en-US"/>
        </w:rPr>
        <w:t>The total aircraft EFI shall be:</w:t>
      </w:r>
    </w:p>
    <w:p w14:paraId="1BCCAA54" w14:textId="77777777" w:rsidR="008B2183" w:rsidRDefault="00000000">
      <w:pPr>
        <w:pStyle w:val="Corpsdetexte"/>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total</m:t>
              </m:r>
            </m:sub>
          </m:sSub>
          <m:r>
            <m:rPr>
              <m:sty m:val="p"/>
            </m:rPr>
            <w:rPr>
              <w:rFonts w:ascii="Cambria Math" w:hAnsi="Cambria Math"/>
            </w:rPr>
            <m:t>=</m:t>
          </m:r>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unmonitored</m:t>
              </m:r>
            </m:sub>
          </m:sSub>
          <m:r>
            <m:rPr>
              <m:sty m:val="p"/>
            </m:rPr>
            <w:rPr>
              <w:rFonts w:ascii="Cambria Math" w:hAnsi="Cambria Math"/>
            </w:rPr>
            <m:t>+</m:t>
          </m:r>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monitored</m:t>
              </m:r>
            </m:sub>
          </m:sSub>
        </m:oMath>
      </m:oMathPara>
    </w:p>
    <w:p w14:paraId="15AF2432" w14:textId="2304571E" w:rsidR="008B2183" w:rsidRPr="00DF4621" w:rsidRDefault="00000000">
      <w:pPr>
        <w:pStyle w:val="Corpsdetexte"/>
        <w:rPr>
          <w:lang w:val="en-US"/>
        </w:rPr>
      </w:pPr>
      <w:r>
        <w:rPr>
          <w:lang w:val="en-US"/>
        </w:rPr>
        <w:t>The measured spectrum shall not be applied retroactively to unmonitored flight time.</w:t>
      </w:r>
      <w:r>
        <w:rPr>
          <w:lang w:val="en-US"/>
        </w:rPr>
        <w:br/>
      </w:r>
    </w:p>
    <w:p w14:paraId="7B0C572B" w14:textId="77777777" w:rsidR="008B2183" w:rsidRPr="00DF4621" w:rsidRDefault="00000000">
      <w:pPr>
        <w:pStyle w:val="Titre2"/>
        <w:rPr>
          <w:lang w:val="en-US"/>
        </w:rPr>
      </w:pPr>
      <w:bookmarkStart w:id="36" w:name="_Toc235917343"/>
      <w:r>
        <w:rPr>
          <w:lang w:val="en-US"/>
        </w:rPr>
        <w:t>B.7 Life Ratio</w:t>
      </w:r>
      <w:bookmarkEnd w:id="36"/>
    </w:p>
    <w:p w14:paraId="237917FD" w14:textId="77777777" w:rsidR="008B2183" w:rsidRPr="00DF4621" w:rsidRDefault="00000000">
      <w:pPr>
        <w:pStyle w:val="Corpsdetexte"/>
        <w:rPr>
          <w:lang w:val="en-US"/>
        </w:rPr>
      </w:pPr>
      <w:r>
        <w:rPr>
          <w:lang w:val="en-US"/>
        </w:rPr>
        <w:t xml:space="preserve">For life-extension assessment over an observed valid aerodynamic recording duration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rPr>
          <w:lang w:val="en-US"/>
        </w:rPr>
        <w:t>, the Life Ratio shall compare the measured EFI with the reference EFI normalized to the same duration:</w:t>
      </w:r>
    </w:p>
    <w:p w14:paraId="779A190D" w14:textId="77777777" w:rsidR="008B2183" w:rsidRDefault="00000000">
      <w:pPr>
        <w:pStyle w:val="Corpsdetexte"/>
        <w:jc w:val="center"/>
      </w:pPr>
      <m:oMathPara>
        <m:oMathParaPr>
          <m:jc m:val="center"/>
        </m:oMathParaPr>
        <m:oMath>
          <m:r>
            <w:rPr>
              <w:rFonts w:ascii="Cambria Math" w:hAnsi="Cambria Math"/>
            </w:rPr>
            <m:t>LR</m:t>
          </m:r>
          <m:r>
            <m:rPr>
              <m:sty m:val="p"/>
            </m:rPr>
            <w:rPr>
              <w:rFonts w:ascii="Cambria Math" w:hAnsi="Cambria Math"/>
            </w:rPr>
            <m:t>=</m:t>
          </m:r>
          <m:f>
            <m:fPr>
              <m:ctrlPr>
                <w:rPr>
                  <w:rFonts w:ascii="Cambria Math" w:hAnsi="Cambria Math"/>
                </w:rPr>
              </m:ctrlPr>
            </m:fPr>
            <m:num>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t</m:t>
                  </m:r>
                </m:sub>
              </m:sSub>
            </m:num>
            <m:den>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real</m:t>
                  </m:r>
                  <m:r>
                    <m:rPr>
                      <m:sty m:val="p"/>
                    </m:rPr>
                    <w:rPr>
                      <w:rFonts w:ascii="Cambria Math" w:hAnsi="Cambria Math"/>
                    </w:rPr>
                    <m:t>,</m:t>
                  </m:r>
                  <m:r>
                    <w:rPr>
                      <w:rFonts w:ascii="Cambria Math" w:hAnsi="Cambria Math"/>
                    </w:rPr>
                    <m:t>t</m:t>
                  </m:r>
                </m:sub>
              </m:sSub>
            </m:den>
          </m:f>
        </m:oMath>
      </m:oMathPara>
    </w:p>
    <w:p w14:paraId="6DC00740" w14:textId="77777777" w:rsidR="008B2183" w:rsidRPr="00DF4621" w:rsidRDefault="00000000">
      <w:pPr>
        <w:pStyle w:val="Corpsdetexte"/>
        <w:rPr>
          <w:lang w:val="en-US"/>
        </w:rPr>
      </w:pPr>
      <w:r>
        <w:rPr>
          <w:lang w:val="en-US"/>
        </w:rPr>
        <w:t>Using the common normalization, this may be computed as:</w:t>
      </w:r>
    </w:p>
    <w:p w14:paraId="7AE30214" w14:textId="77777777" w:rsidR="008B2183" w:rsidRDefault="00000000">
      <w:pPr>
        <w:pStyle w:val="Corpsdetexte"/>
        <w:jc w:val="center"/>
      </w:pPr>
      <m:oMathPara>
        <m:oMathParaPr>
          <m:jc m:val="center"/>
        </m:oMathParaPr>
        <m:oMath>
          <m:r>
            <w:rPr>
              <w:rFonts w:ascii="Cambria Math" w:hAnsi="Cambria Math"/>
            </w:rPr>
            <m:t>LR</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6000</m:t>
                          </m:r>
                        </m:sub>
                      </m:sSub>
                      <m:sSub>
                        <m:sSubPr>
                          <m:ctrlPr>
                            <w:rPr>
                              <w:rFonts w:ascii="Cambria Math" w:hAnsi="Cambria Math"/>
                            </w:rPr>
                          </m:ctrlPr>
                        </m:sSubPr>
                        <m:e>
                          <m:r>
                            <w:rPr>
                              <w:rFonts w:ascii="Cambria Math" w:hAnsi="Cambria Math"/>
                            </w:rPr>
                            <m:t>t</m:t>
                          </m:r>
                        </m:e>
                        <m:sub>
                          <m:r>
                            <w:rPr>
                              <w:rFonts w:ascii="Cambria Math" w:hAnsi="Cambria Math"/>
                            </w:rPr>
                            <m:t>real</m:t>
                          </m:r>
                        </m:sub>
                      </m:sSub>
                    </m:num>
                    <m:den>
                      <m:r>
                        <w:rPr>
                          <w:rFonts w:ascii="Cambria Math" w:hAnsi="Cambria Math"/>
                        </w:rPr>
                        <m:t>6000</m:t>
                      </m:r>
                    </m:den>
                  </m:f>
                  <m:r>
                    <w:rPr>
                      <w:rFonts w:ascii="Cambria Math" w:hAnsi="Cambria Math"/>
                    </w:rPr>
                    <m:t>⌋</m:t>
                  </m:r>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real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den>
          </m:f>
        </m:oMath>
      </m:oMathPara>
    </w:p>
    <w:p w14:paraId="71D3C5C1" w14:textId="788EE63F" w:rsidR="008B2183" w:rsidRPr="00DF4621" w:rsidRDefault="00000000">
      <w:pPr>
        <w:pStyle w:val="Corpsdetexte"/>
        <w:rPr>
          <w:lang w:val="en-US"/>
        </w:rPr>
      </w:pPr>
      <w:r>
        <w:rPr>
          <w:lang w:val="en-US"/>
        </w:rPr>
        <w:t>when the conservative integer-floor convention is used.</w:t>
      </w:r>
      <w:r>
        <w:rPr>
          <w:lang w:val="en-US"/>
        </w:rPr>
        <w:br/>
      </w:r>
    </w:p>
    <w:p w14:paraId="64566D21" w14:textId="77777777" w:rsidR="008B2183" w:rsidRPr="00DF4621" w:rsidRDefault="00000000">
      <w:pPr>
        <w:pStyle w:val="Titre2"/>
        <w:rPr>
          <w:lang w:val="en-US"/>
        </w:rPr>
      </w:pPr>
      <w:bookmarkStart w:id="37" w:name="_Toc235917344"/>
      <w:r>
        <w:rPr>
          <w:lang w:val="en-US"/>
        </w:rPr>
        <w:t>B.8 Life-extension estimate</w:t>
      </w:r>
      <w:bookmarkEnd w:id="37"/>
    </w:p>
    <w:p w14:paraId="62A57A1B" w14:textId="77777777" w:rsidR="008B2183" w:rsidRPr="00DF4621" w:rsidRDefault="00000000">
      <w:pPr>
        <w:pStyle w:val="Corpsdetexte"/>
        <w:rPr>
          <w:lang w:val="en-US"/>
        </w:rPr>
      </w:pPr>
      <w:r>
        <w:rPr>
          <w:lang w:val="en-US"/>
        </w:rPr>
        <w:t>The estimated additional life beyond the approved Service Life Limit shall be:</w:t>
      </w:r>
    </w:p>
    <w:p w14:paraId="014A45F7" w14:textId="77777777" w:rsidR="008B2183"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extension</m:t>
              </m:r>
            </m:sub>
          </m:sSub>
          <m:r>
            <m:rPr>
              <m:sty m:val="p"/>
            </m:rPr>
            <w:rPr>
              <w:rFonts w:ascii="Cambria Math" w:hAnsi="Cambria Math"/>
            </w:rPr>
            <m:t>=</m:t>
          </m:r>
          <m:d>
            <m:dPr>
              <m:ctrlPr>
                <w:rPr>
                  <w:rFonts w:ascii="Cambria Math" w:hAnsi="Cambria Math"/>
                </w:rPr>
              </m:ctrlPr>
            </m:dPr>
            <m:e>
              <m:r>
                <w:rPr>
                  <w:rFonts w:ascii="Cambria Math" w:hAnsi="Cambria Math"/>
                </w:rPr>
                <m:t>LR</m:t>
              </m:r>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t</m:t>
              </m:r>
            </m:e>
            <m:sub>
              <m:r>
                <w:rPr>
                  <w:rFonts w:ascii="Cambria Math" w:hAnsi="Cambria Math"/>
                </w:rPr>
                <m:t>remaining</m:t>
              </m:r>
              <m:r>
                <m:rPr>
                  <m:sty m:val="p"/>
                </m:rPr>
                <w:rPr>
                  <w:rFonts w:ascii="Cambria Math" w:hAnsi="Cambria Math"/>
                </w:rPr>
                <m:t>,</m:t>
              </m:r>
              <m:r>
                <w:rPr>
                  <w:rFonts w:ascii="Cambria Math" w:hAnsi="Cambria Math"/>
                </w:rPr>
                <m:t>ref</m:t>
              </m:r>
            </m:sub>
          </m:sSub>
        </m:oMath>
      </m:oMathPara>
    </w:p>
    <w:p w14:paraId="196AB447" w14:textId="1D24029D" w:rsidR="008B2183" w:rsidRPr="00DF4621" w:rsidRDefault="00000000">
      <w:pPr>
        <w:pStyle w:val="Corpsdetexte"/>
        <w:rPr>
          <w:lang w:val="en-US"/>
        </w:rPr>
      </w:pPr>
      <w:r>
        <w:rPr>
          <w:lang w:val="en-US"/>
        </w:rPr>
        <w:lastRenderedPageBreak/>
        <w:t xml:space="preserve">where </w:t>
      </w:r>
      <m:oMath>
        <m:sSub>
          <m:sSubPr>
            <m:ctrlPr>
              <w:rPr>
                <w:rFonts w:ascii="Cambria Math" w:hAnsi="Cambria Math"/>
              </w:rPr>
            </m:ctrlPr>
          </m:sSubPr>
          <m:e>
            <m:r>
              <w:rPr>
                <w:rFonts w:ascii="Cambria Math" w:hAnsi="Cambria Math"/>
              </w:rPr>
              <m:t>t</m:t>
            </m:r>
          </m:e>
          <m:sub>
            <m:r>
              <w:rPr>
                <w:rFonts w:ascii="Cambria Math" w:hAnsi="Cambria Math"/>
              </w:rPr>
              <m:t>remaining</m:t>
            </m:r>
            <m:r>
              <m:rPr>
                <m:sty m:val="p"/>
              </m:rPr>
              <w:rPr>
                <w:rFonts w:ascii="Cambria Math" w:hAnsi="Cambria Math"/>
                <w:lang w:val="en-US"/>
              </w:rPr>
              <m:t>,</m:t>
            </m:r>
            <m:r>
              <w:rPr>
                <w:rFonts w:ascii="Cambria Math" w:hAnsi="Cambria Math"/>
              </w:rPr>
              <m:t>ref</m:t>
            </m:r>
          </m:sub>
        </m:sSub>
      </m:oMath>
      <w:r>
        <w:rPr>
          <w:lang w:val="en-US"/>
        </w:rPr>
        <w:t xml:space="preserve"> is the time remaining until </w:t>
      </w:r>
      <m:oMath>
        <m:r>
          <w:rPr>
            <w:rFonts w:ascii="Cambria Math" w:hAnsi="Cambria Math"/>
          </w:rPr>
          <m:t>L</m:t>
        </m:r>
      </m:oMath>
      <w:r>
        <w:rPr>
          <w:lang w:val="en-US"/>
        </w:rPr>
        <w:t xml:space="preserve"> under reference-spectrum assumptions.</w:t>
      </w:r>
      <w:r>
        <w:rPr>
          <w:lang w:val="en-US"/>
        </w:rPr>
        <w:br/>
      </w:r>
    </w:p>
    <w:p w14:paraId="2D92CD54" w14:textId="77777777" w:rsidR="008B2183" w:rsidRPr="00DF4621" w:rsidRDefault="00000000">
      <w:pPr>
        <w:pStyle w:val="Titre2"/>
        <w:rPr>
          <w:lang w:val="en-US"/>
        </w:rPr>
      </w:pPr>
      <w:bookmarkStart w:id="38" w:name="_Toc235917345"/>
      <w:r>
        <w:rPr>
          <w:lang w:val="en-US"/>
        </w:rPr>
        <w:t>B.9 Valid duration reporting</w:t>
      </w:r>
      <w:bookmarkEnd w:id="38"/>
    </w:p>
    <w:p w14:paraId="73DBE412" w14:textId="0985011A" w:rsidR="008B2183" w:rsidRPr="00DF4621" w:rsidRDefault="00000000">
      <w:pPr>
        <w:pStyle w:val="Corpsdetexte"/>
        <w:rPr>
          <w:lang w:val="en-US"/>
        </w:rPr>
      </w:pPr>
      <w:r>
        <w:rPr>
          <w:lang w:val="en-US"/>
        </w:rPr>
        <w:t>The Kossira &amp; Reinke and EFI software shall report the valid aerodynamic recording duration actually used in the calculation, together with the unmonitored duration used in the total-EFI assessment.</w:t>
      </w:r>
      <w:r>
        <w:rPr>
          <w:lang w:val="en-US"/>
        </w:rPr>
        <w:br/>
      </w:r>
    </w:p>
    <w:p w14:paraId="55C972D9" w14:textId="77777777" w:rsidR="008B2183" w:rsidRPr="00DF4621" w:rsidRDefault="00000000">
      <w:pPr>
        <w:pStyle w:val="Titre2"/>
        <w:rPr>
          <w:lang w:val="en-US"/>
        </w:rPr>
      </w:pPr>
      <w:bookmarkStart w:id="39" w:name="_Toc235917346"/>
      <w:r>
        <w:rPr>
          <w:lang w:val="en-US"/>
        </w:rPr>
        <w:t>B.10 Required EFI outputs</w:t>
      </w:r>
      <w:bookmarkEnd w:id="39"/>
    </w:p>
    <w:p w14:paraId="2C47CB12" w14:textId="77777777" w:rsidR="008B2183" w:rsidRPr="00DF4621" w:rsidRDefault="00000000">
      <w:pPr>
        <w:pStyle w:val="Corpsdetexte"/>
        <w:rPr>
          <w:lang w:val="en-US"/>
        </w:rPr>
      </w:pPr>
      <w:r>
        <w:rPr>
          <w:lang w:val="en-US"/>
        </w:rPr>
        <w:t>The software shall report:</w:t>
      </w:r>
    </w:p>
    <w:p w14:paraId="59463C04" w14:textId="4C5097D3" w:rsidR="008B2183" w:rsidRPr="00DF4621" w:rsidRDefault="00000000" w:rsidP="000453EB">
      <w:pPr>
        <w:pStyle w:val="Corpsdetexte"/>
        <w:numPr>
          <w:ilvl w:val="0"/>
          <w:numId w:val="6"/>
        </w:numPr>
        <w:rPr>
          <w:lang w:val="en-US"/>
        </w:rPr>
      </w:pPr>
      <w:r>
        <w:rPr>
          <w:lang w:val="en-US"/>
        </w:rPr>
        <w:t>reference spectrum source;</w:t>
      </w:r>
    </w:p>
    <w:p w14:paraId="27A88D73" w14:textId="77777777" w:rsidR="008B2183" w:rsidRPr="00DF4621" w:rsidRDefault="00000000" w:rsidP="000453EB">
      <w:pPr>
        <w:pStyle w:val="Corpsdetexte"/>
        <w:numPr>
          <w:ilvl w:val="0"/>
          <w:numId w:val="6"/>
        </w:numPr>
        <w:rPr>
          <w:lang w:val="en-US"/>
        </w:rPr>
      </w:pPr>
      <w:r>
        <w:rPr>
          <w:lang w:val="en-US"/>
        </w:rPr>
        <w:t xml:space="preserve">applicable Service Life Limit </w:t>
      </w:r>
      <m:oMath>
        <m:r>
          <w:rPr>
            <w:rFonts w:ascii="Cambria Math" w:hAnsi="Cambria Math"/>
          </w:rPr>
          <m:t>L</m:t>
        </m:r>
      </m:oMath>
      <w:r>
        <w:rPr>
          <w:lang w:val="en-US"/>
        </w:rPr>
        <w:t>;</w:t>
      </w:r>
    </w:p>
    <w:p w14:paraId="084742EE" w14:textId="66CB1F9E" w:rsidR="008B2183" w:rsidRPr="00DF4621" w:rsidRDefault="00000000" w:rsidP="000453EB">
      <w:pPr>
        <w:pStyle w:val="Corpsdetexte"/>
        <w:numPr>
          <w:ilvl w:val="0"/>
          <w:numId w:val="6"/>
        </w:numPr>
        <w:rPr>
          <w:lang w:val="en-US"/>
        </w:rPr>
      </w:pPr>
      <w:r>
        <w:rPr>
          <w:lang w:val="en-US"/>
        </w:rPr>
        <w:t>valid real aerodynamic recording duration;</w:t>
      </w:r>
    </w:p>
    <w:p w14:paraId="30DF693F" w14:textId="77777777" w:rsidR="008B2183" w:rsidRPr="00DF4621" w:rsidRDefault="00000000" w:rsidP="000453EB">
      <w:pPr>
        <w:pStyle w:val="Corpsdetexte"/>
        <w:numPr>
          <w:ilvl w:val="0"/>
          <w:numId w:val="6"/>
        </w:numPr>
        <w:rPr>
          <w:lang w:val="en-US"/>
        </w:rPr>
      </w:pPr>
      <w:r>
        <w:rPr>
          <w:lang w:val="en-US"/>
        </w:rPr>
        <w:t>unmonitored duration used in the total-EFI calculation;</w:t>
      </w:r>
    </w:p>
    <w:p w14:paraId="05D565FD" w14:textId="0DEA1A29" w:rsidR="008B2183" w:rsidRPr="00DF4621" w:rsidRDefault="00EE528B" w:rsidP="000453EB">
      <w:pPr>
        <w:pStyle w:val="Corpsdetexte"/>
        <w:numPr>
          <w:ilvl w:val="0"/>
          <w:numId w:val="6"/>
        </w:numPr>
        <w:rPr>
          <w:lang w:val="en-US"/>
        </w:rPr>
      </w:pPr>
      <w:r>
        <w:rPr>
          <w:lang w:val="en-US"/>
        </w:rPr>
        <w:t>Basquin parameter k;</w:t>
      </w:r>
    </w:p>
    <w:p w14:paraId="7BE9D220" w14:textId="563E8681" w:rsidR="008B2183" w:rsidRPr="00DF4621" w:rsidRDefault="00000000" w:rsidP="000453EB">
      <w:pPr>
        <w:pStyle w:val="Corpsdetexte"/>
        <w:numPr>
          <w:ilvl w:val="0"/>
          <w:numId w:val="6"/>
        </w:numPr>
        <w:rPr>
          <w:lang w:val="en-US"/>
        </w:rPr>
      </w:pPr>
      <w:r>
        <w:rPr>
          <w:lang w:val="en-US"/>
        </w:rPr>
        <w:t>measured EFI;</w:t>
      </w:r>
    </w:p>
    <w:p w14:paraId="542EFFDF" w14:textId="77777777" w:rsidR="008B2183" w:rsidRPr="00DF4621" w:rsidRDefault="00000000" w:rsidP="000453EB">
      <w:pPr>
        <w:pStyle w:val="Corpsdetexte"/>
        <w:numPr>
          <w:ilvl w:val="0"/>
          <w:numId w:val="6"/>
        </w:numPr>
        <w:rPr>
          <w:lang w:val="en-US"/>
        </w:rPr>
      </w:pPr>
      <w:r>
        <w:rPr>
          <w:lang w:val="en-US"/>
        </w:rPr>
        <w:t>unmonitored EFI contribution;</w:t>
      </w:r>
    </w:p>
    <w:p w14:paraId="2A1AFDBB" w14:textId="77777777" w:rsidR="008B2183" w:rsidRPr="00DF4621" w:rsidRDefault="00000000" w:rsidP="000453EB">
      <w:pPr>
        <w:pStyle w:val="Corpsdetexte"/>
        <w:numPr>
          <w:ilvl w:val="0"/>
          <w:numId w:val="6"/>
        </w:numPr>
        <w:rPr>
          <w:lang w:val="en-US"/>
        </w:rPr>
      </w:pPr>
      <w:r>
        <w:rPr>
          <w:lang w:val="en-US"/>
        </w:rPr>
        <w:t>total EFI;</w:t>
      </w:r>
    </w:p>
    <w:p w14:paraId="6884C21A" w14:textId="77777777" w:rsidR="008B2183" w:rsidRPr="00DF4621" w:rsidRDefault="00000000" w:rsidP="000453EB">
      <w:pPr>
        <w:pStyle w:val="Corpsdetexte"/>
        <w:numPr>
          <w:ilvl w:val="0"/>
          <w:numId w:val="6"/>
        </w:numPr>
        <w:rPr>
          <w:lang w:val="en-US"/>
        </w:rPr>
      </w:pPr>
      <w:r>
        <w:rPr>
          <w:lang w:val="en-US"/>
        </w:rPr>
        <w:t xml:space="preserve">Life Ratio </w:t>
      </w:r>
      <m:oMath>
        <m:r>
          <w:rPr>
            <w:rFonts w:ascii="Cambria Math" w:hAnsi="Cambria Math"/>
          </w:rPr>
          <m:t>LR</m:t>
        </m:r>
      </m:oMath>
      <w:r>
        <w:rPr>
          <w:lang w:val="en-US"/>
        </w:rPr>
        <w:t>;</w:t>
      </w:r>
    </w:p>
    <w:p w14:paraId="4817511D" w14:textId="3C854874" w:rsidR="008B2183" w:rsidRPr="00DF4621" w:rsidRDefault="00000000" w:rsidP="000453EB">
      <w:pPr>
        <w:pStyle w:val="Corpsdetexte"/>
        <w:numPr>
          <w:ilvl w:val="0"/>
          <w:numId w:val="6"/>
        </w:numPr>
        <w:rPr>
          <w:lang w:val="en-US"/>
        </w:rPr>
      </w:pPr>
      <w:r>
        <w:rPr>
          <w:lang w:val="en-US"/>
        </w:rPr>
        <w:t>estimated life extension;</w:t>
      </w:r>
    </w:p>
    <w:p w14:paraId="3B49F56C" w14:textId="77777777" w:rsidR="009A78D5" w:rsidRPr="00FC5004" w:rsidRDefault="00000000">
      <w:pPr>
        <w:pStyle w:val="Titre1"/>
        <w:pageBreakBefore/>
        <w:rPr>
          <w:lang w:val="en-US"/>
        </w:rPr>
      </w:pPr>
      <w:bookmarkStart w:id="40" w:name="_Toc235917347"/>
      <w:r>
        <w:rPr>
          <w:lang w:val="en-US"/>
        </w:rPr>
        <w:lastRenderedPageBreak/>
        <w:t>9. Appendix C — ABB.163-Derived Utility Reference Spectrum</w:t>
      </w:r>
      <w:bookmarkEnd w:id="40"/>
    </w:p>
    <w:p w14:paraId="1F590282" w14:textId="0C0363E8" w:rsidR="009A78D5" w:rsidRPr="00FC5004" w:rsidRDefault="000453EB">
      <w:pPr>
        <w:rPr>
          <w:lang w:val="en-US"/>
        </w:rPr>
      </w:pPr>
      <w:r>
        <w:rPr>
          <w:lang w:val="en-US"/>
        </w:rPr>
        <w:br/>
        <w:t>This appendix documents the reference-data chain used by the SLM calculation:</w:t>
      </w:r>
    </w:p>
    <w:p w14:paraId="34C1F9A3" w14:textId="77777777" w:rsidR="009A78D5" w:rsidRPr="00FC5004" w:rsidRDefault="00000000">
      <w:pPr>
        <w:pStyle w:val="SourceCode"/>
        <w:rPr>
          <w:lang w:val="en-US"/>
        </w:rPr>
      </w:pPr>
      <w:r>
        <w:rPr>
          <w:lang w:val="en-US"/>
        </w:rPr>
        <w:t>ABB.163 Utility Markov matrix</w:t>
      </w:r>
      <w:r>
        <w:rPr>
          <w:lang w:val="en-US"/>
        </w:rPr>
        <w:br/>
        <w:t>→ Appendix A.8 Markov-matrix-to-spectrum transformation</w:t>
      </w:r>
      <w:r>
        <w:rPr>
          <w:lang w:val="en-US"/>
        </w:rPr>
        <w:br/>
        <w:t>→ ABB.163-derived Utility occurrence spectrum</w:t>
      </w:r>
      <w:r>
        <w:rPr>
          <w:lang w:val="en-US"/>
        </w:rPr>
        <w:br/>
        <w:t>→ EFI reference input</w:t>
      </w:r>
    </w:p>
    <w:p w14:paraId="1092B5D7" w14:textId="6E8F5C93" w:rsidR="009A78D5" w:rsidRPr="00FC5004" w:rsidRDefault="00000000">
      <w:pPr>
        <w:rPr>
          <w:lang w:val="en-US"/>
        </w:rPr>
      </w:pPr>
      <w:r>
        <w:rPr>
          <w:lang w:val="en-US"/>
        </w:rPr>
        <w:t>ABB.164 is used as the published graphical validation of the generated spectrum.</w:t>
      </w:r>
      <w:r>
        <w:rPr>
          <w:lang w:val="en-US"/>
        </w:rPr>
        <w:br/>
      </w:r>
    </w:p>
    <w:p w14:paraId="6756A17D" w14:textId="77777777" w:rsidR="009A78D5" w:rsidRPr="00FC5004" w:rsidRDefault="00000000">
      <w:pPr>
        <w:pStyle w:val="Titre2"/>
        <w:rPr>
          <w:lang w:val="en-US"/>
        </w:rPr>
      </w:pPr>
      <w:bookmarkStart w:id="41" w:name="_Toc235917348"/>
      <w:r>
        <w:rPr>
          <w:lang w:val="en-US"/>
        </w:rPr>
        <w:t>C.1 Source material and import convention</w:t>
      </w:r>
      <w:bookmarkEnd w:id="41"/>
    </w:p>
    <w:p w14:paraId="017E34F2" w14:textId="77777777" w:rsidR="009A78D5" w:rsidRPr="00FC5004" w:rsidRDefault="00000000">
      <w:pPr>
        <w:rPr>
          <w:lang w:val="en-US"/>
        </w:rPr>
      </w:pPr>
      <w:r>
        <w:rPr>
          <w:lang w:val="en-US"/>
        </w:rPr>
        <w:t>The reference spectrum is generated from the published ABB.163 32×32 Utility Markov transition matrix [8].</w:t>
      </w:r>
    </w:p>
    <w:p w14:paraId="017E34F3" w14:textId="77777777" w:rsidR="009A78D5" w:rsidRPr="00FC5004" w:rsidRDefault="00000000">
      <w:pPr>
        <w:rPr>
          <w:lang w:val="en-US"/>
        </w:rPr>
      </w:pPr>
      <w:r>
        <w:rPr>
          <w:lang w:val="en-US"/>
        </w:rPr>
        <w:t xml:space="preserve">The SLM class index increases with load factor: class 1 is the lowest (most negative) load-factor class and class 32 is the highest (most positive) load-factor class (Appendix A.1). For clarity in this import step, that ascending index is denoted </w:t>
      </w:r>
      <m:oMath>
        <m:sSub>
          <m:sSubPr>
            <m:ctrlPr>
              <w:rPr>
                <w:rFonts w:ascii="Cambria Math" w:hAnsi="Cambria Math"/>
              </w:rPr>
            </m:ctrlPr>
          </m:sSubPr>
          <m:e>
            <m:r>
              <w:rPr>
                <w:rFonts w:ascii="Cambria Math" w:hAnsi="Cambria Math"/>
              </w:rPr>
              <m:t>q</m:t>
            </m:r>
          </m:e>
          <m:sub>
            <m:r>
              <w:rPr>
                <w:rFonts w:ascii="Cambria Math" w:hAnsi="Cambria Math"/>
              </w:rPr>
              <m:t>SLM</m:t>
            </m:r>
          </m:sub>
        </m:sSub>
      </m:oMath>
      <w:r>
        <w:rPr>
          <w:lang w:val="en-US"/>
        </w:rPr>
        <w:t xml:space="preserve"> below; it is the same index written </w:t>
      </w:r>
      <m:oMath>
        <m:r>
          <w:rPr>
            <w:rFonts w:ascii="Cambria Math" w:hAnsi="Cambria Math"/>
          </w:rPr>
          <m:t>q</m:t>
        </m:r>
      </m:oMath>
      <w:r>
        <w:rPr>
          <w:lang w:val="en-US"/>
        </w:rPr>
        <w:t xml:space="preserve"> elsewhere in Appendices A and C.</w:t>
      </w:r>
    </w:p>
    <w:p w14:paraId="017E34F4" w14:textId="77777777" w:rsidR="009A78D5" w:rsidRPr="00FC5004" w:rsidRDefault="00000000">
      <w:pPr>
        <w:rPr>
          <w:lang w:val="en-US"/>
        </w:rPr>
      </w:pPr>
      <w:r>
        <w:rPr>
          <w:lang w:val="en-US"/>
        </w:rPr>
        <w:t xml:space="preserve">ABB.163 prints its Markov matrix rows in the opposite order, from the highest to the lowest load-factor class. The printed row label, denoted </w:t>
      </w:r>
      <m:oMath>
        <m:sSub>
          <m:sSubPr>
            <m:ctrlPr>
              <w:rPr>
                <w:rFonts w:ascii="Cambria Math" w:hAnsi="Cambria Math"/>
              </w:rPr>
            </m:ctrlPr>
          </m:sSubPr>
          <m:e>
            <m:r>
              <w:rPr>
                <w:rFonts w:ascii="Cambria Math" w:hAnsi="Cambria Math"/>
              </w:rPr>
              <m:t>q</m:t>
            </m:r>
          </m:e>
          <m:sub>
            <m:r>
              <w:rPr>
                <w:rFonts w:ascii="Cambria Math" w:hAnsi="Cambria Math"/>
              </w:rPr>
              <m:t>ABB</m:t>
            </m:r>
          </m:sub>
        </m:sSub>
      </m:oMath>
      <w:r>
        <w:rPr>
          <w:lang w:val="en-US"/>
        </w:rPr>
        <w:t xml:space="preserve">, is therefore mapped to the ascending SLM class index </w:t>
      </w:r>
      <m:oMath>
        <m:sSub>
          <m:sSubPr>
            <m:ctrlPr>
              <w:rPr>
                <w:rFonts w:ascii="Cambria Math" w:hAnsi="Cambria Math"/>
              </w:rPr>
            </m:ctrlPr>
          </m:sSubPr>
          <m:e>
            <m:r>
              <w:rPr>
                <w:rFonts w:ascii="Cambria Math" w:hAnsi="Cambria Math"/>
              </w:rPr>
              <m:t>q</m:t>
            </m:r>
          </m:e>
          <m:sub>
            <m:r>
              <w:rPr>
                <w:rFonts w:ascii="Cambria Math" w:hAnsi="Cambria Math"/>
              </w:rPr>
              <m:t>SLM</m:t>
            </m:r>
          </m:sub>
        </m:sSub>
      </m:oMath>
      <w:r>
        <w:rPr>
          <w:lang w:val="en-US"/>
        </w:rPr>
        <w:t xml:space="preserve"> by:</w:t>
      </w:r>
    </w:p>
    <w:p w14:paraId="61C1D70B" w14:textId="77777777" w:rsidR="009A78D5"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SLM</m:t>
              </m:r>
            </m:sub>
          </m:sSub>
          <m:r>
            <w:rPr>
              <w:rFonts w:ascii="Cambria Math" w:hAnsi="Cambria Math"/>
            </w:rPr>
            <m:t>=33-</m:t>
          </m:r>
          <m:sSub>
            <m:sSubPr>
              <m:ctrlPr>
                <w:rPr>
                  <w:rFonts w:ascii="Cambria Math" w:hAnsi="Cambria Math"/>
                </w:rPr>
              </m:ctrlPr>
            </m:sSubPr>
            <m:e>
              <m:r>
                <w:rPr>
                  <w:rFonts w:ascii="Cambria Math" w:hAnsi="Cambria Math"/>
                </w:rPr>
                <m:t>q</m:t>
              </m:r>
            </m:e>
            <m:sub>
              <m:r>
                <w:rPr>
                  <w:rFonts w:ascii="Cambria Math" w:hAnsi="Cambria Math"/>
                </w:rPr>
                <m:t>ABB</m:t>
              </m:r>
            </m:sub>
          </m:sSub>
        </m:oMath>
      </m:oMathPara>
    </w:p>
    <w:p w14:paraId="6463A480" w14:textId="1FD2A1A1" w:rsidR="009A78D5" w:rsidRPr="00FC5004" w:rsidRDefault="00000000">
      <w:pPr>
        <w:rPr>
          <w:lang w:val="en-US"/>
        </w:rPr>
      </w:pPr>
      <w:bookmarkStart w:id="42" w:name="X67f33255a3e8cd85806cd240aa62770b7016d84"/>
      <w:r>
        <w:rPr>
          <w:lang w:val="en-US"/>
        </w:rPr>
        <w:t xml:space="preserve">This reversal mapping is specific to the ABB.163 reference-data import: it only reorders the printed rows to match the SLM ascending convention and does not change the load-factor value or width associated with any class. Real measured data are generated directly in the ascending </w:t>
      </w:r>
      <m:oMath>
        <m:sSub>
          <m:sSubPr>
            <m:ctrlPr>
              <w:rPr>
                <w:rFonts w:ascii="Cambria Math" w:hAnsi="Cambria Math"/>
              </w:rPr>
            </m:ctrlPr>
          </m:sSubPr>
          <m:e>
            <m:r>
              <w:rPr>
                <w:rFonts w:ascii="Cambria Math" w:hAnsi="Cambria Math"/>
              </w:rPr>
              <m:t>q</m:t>
            </m:r>
          </m:e>
          <m:sub>
            <m:r>
              <w:rPr>
                <w:rFonts w:ascii="Cambria Math" w:hAnsi="Cambria Math"/>
              </w:rPr>
              <m:t>SLM</m:t>
            </m:r>
          </m:sub>
        </m:sSub>
      </m:oMath>
      <w:r>
        <w:rPr>
          <w:lang w:val="en-US"/>
        </w:rPr>
        <w:t xml:space="preserve"> convention of Appendix A and never require this mapping.</w:t>
      </w:r>
      <w:bookmarkEnd w:id="42"/>
      <w:r>
        <w:rPr>
          <w:lang w:val="en-US"/>
        </w:rPr>
        <w:br/>
      </w:r>
    </w:p>
    <w:p w14:paraId="5DAAB032" w14:textId="77777777" w:rsidR="009A78D5" w:rsidRPr="00FC5004" w:rsidRDefault="00000000">
      <w:pPr>
        <w:pStyle w:val="Titre2"/>
        <w:rPr>
          <w:lang w:val="en-US"/>
        </w:rPr>
      </w:pPr>
      <w:bookmarkStart w:id="43" w:name="_Toc235917349"/>
      <w:bookmarkStart w:id="44" w:name="c.2-load-factor-class-scale"/>
      <w:r>
        <w:rPr>
          <w:lang w:val="en-US"/>
        </w:rPr>
        <w:t>C.2 Load-factor class scale</w:t>
      </w:r>
      <w:bookmarkEnd w:id="43"/>
    </w:p>
    <w:p w14:paraId="78364501" w14:textId="77777777" w:rsidR="009A78D5" w:rsidRDefault="00000000">
      <w:r>
        <w:rPr>
          <w:lang w:val="en-US"/>
        </w:rPr>
        <w:t xml:space="preserve">ABB.164 provides the load-factor scale associated with the published occurrence spectrum. </w:t>
      </w:r>
      <w:r>
        <w:t>The graph axis spans approximately:</w:t>
      </w:r>
    </w:p>
    <w:p w14:paraId="55022535" w14:textId="1988D27B" w:rsidR="009A78D5" w:rsidRDefault="00000000">
      <w:pPr>
        <w:pStyle w:val="Corpsdetexte"/>
        <w:jc w:val="center"/>
      </w:pPr>
      <m:oMathPara>
        <m:oMathParaPr>
          <m:jc m:val="center"/>
        </m:oMathParaPr>
        <m:oMath>
          <m:r>
            <w:rPr>
              <w:rFonts w:ascii="Cambria Math" w:hAnsi="Cambria Math"/>
            </w:rPr>
            <m:t xml:space="preserve">-4g </m:t>
          </m:r>
          <m:r>
            <m:rPr>
              <m:lit/>
              <m:nor/>
            </m:rPr>
            <m:t>to</m:t>
          </m:r>
          <m:r>
            <w:rPr>
              <w:rFonts w:ascii="Cambria Math" w:hAnsi="Cambria Math"/>
            </w:rPr>
            <m:t>+7g</m:t>
          </m:r>
        </m:oMath>
      </m:oMathPara>
    </w:p>
    <w:p w14:paraId="4E5A472F" w14:textId="77777777" w:rsidR="009A78D5" w:rsidRDefault="00000000">
      <w:r>
        <w:t>therefore:</w:t>
      </w:r>
    </w:p>
    <w:p w14:paraId="7869A33F" w14:textId="77777777" w:rsidR="009A78D5" w:rsidRDefault="00000000">
      <w:pPr>
        <w:pStyle w:val="Corpsdetexte"/>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range</m:t>
              </m:r>
            </m:sub>
          </m:sSub>
          <m:r>
            <w:rPr>
              <w:rFonts w:ascii="Cambria Math" w:hAnsi="Cambria Math"/>
            </w:rPr>
            <m:t>=11g</m:t>
          </m:r>
        </m:oMath>
      </m:oMathPara>
    </w:p>
    <w:p w14:paraId="07A8AB8A" w14:textId="77777777" w:rsidR="009A78D5" w:rsidRDefault="00000000">
      <w:r>
        <w:rPr>
          <w:lang w:val="en-US"/>
        </w:rPr>
        <w:t xml:space="preserve">Kossira &amp; Reinke use 1024 fine classes, which is consistent with a 10-bit acquisition or digitization scale. </w:t>
      </w:r>
      <w:r>
        <w:t>Dividing the 11 g range into 1024 fine classes gives:</w:t>
      </w:r>
    </w:p>
    <w:p w14:paraId="6CC98627" w14:textId="77777777" w:rsidR="009A78D5" w:rsidRDefault="00000000">
      <w:pPr>
        <w:pStyle w:val="Corpsdetexte"/>
        <w:jc w:val="center"/>
      </w:pPr>
      <m:oMathPara>
        <m:oMathParaPr>
          <m:jc m:val="center"/>
        </m:oMathParaPr>
        <m:oMath>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1024</m:t>
              </m:r>
            </m:den>
          </m:f>
          <m:r>
            <w:rPr>
              <w:rFonts w:ascii="Cambria Math" w:hAnsi="Cambria Math"/>
            </w:rPr>
            <m:t>=0.0107421875g</m:t>
          </m:r>
        </m:oMath>
      </m:oMathPara>
    </w:p>
    <w:p w14:paraId="0A2C68C7" w14:textId="77777777" w:rsidR="009A78D5" w:rsidRPr="00FC5004" w:rsidRDefault="00000000">
      <w:pPr>
        <w:rPr>
          <w:lang w:val="en-US"/>
        </w:rPr>
      </w:pPr>
      <w:r>
        <w:rPr>
          <w:lang w:val="en-US"/>
        </w:rPr>
        <w:t>Each 32-class spectrum bin contains 32 fine classes, therefore:</w:t>
      </w:r>
    </w:p>
    <w:p w14:paraId="64BC4F44" w14:textId="77777777" w:rsidR="009A78D5" w:rsidRDefault="00000000">
      <w:pPr>
        <w:pStyle w:val="Corpsdetexte"/>
        <w:jc w:val="center"/>
      </w:pPr>
      <m:oMathPara>
        <m:oMathParaPr>
          <m:jc m:val="center"/>
        </m:oMathParaPr>
        <m:oMath>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r>
            <w:rPr>
              <w:rFonts w:ascii="Cambria Math" w:hAnsi="Cambria Math"/>
            </w:rPr>
            <m:t>=32ΔL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32</m:t>
              </m:r>
            </m:den>
          </m:f>
          <m:r>
            <w:rPr>
              <w:rFonts w:ascii="Cambria Math" w:hAnsi="Cambria Math"/>
            </w:rPr>
            <m:t>=0.34375g</m:t>
          </m:r>
        </m:oMath>
      </m:oMathPara>
    </w:p>
    <w:p w14:paraId="2739CDA7" w14:textId="77777777" w:rsidR="009A78D5" w:rsidRPr="00FC5004" w:rsidRDefault="00000000">
      <w:pPr>
        <w:rPr>
          <w:lang w:val="en-US"/>
        </w:rPr>
      </w:pPr>
      <w:r>
        <w:rPr>
          <w:lang w:val="en-US"/>
        </w:rPr>
        <w:t>The Kossira &amp; Reinke hysteresis threshold is therefore:</w:t>
      </w:r>
    </w:p>
    <w:p w14:paraId="6F93535C" w14:textId="77777777" w:rsidR="009A78D5" w:rsidRDefault="00000000">
      <w:pPr>
        <w:pStyle w:val="Corpsdetexte"/>
        <w:jc w:val="center"/>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g</m:t>
              </m:r>
            </m:sub>
          </m:sSub>
          <m:r>
            <w:rPr>
              <w:rFonts w:ascii="Cambria Math" w:hAnsi="Cambria Math"/>
            </w:rPr>
            <m:t>=10ΔL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=0.107421875g</m:t>
          </m:r>
        </m:oMath>
      </m:oMathPara>
    </w:p>
    <w:p w14:paraId="01F1EC82" w14:textId="77777777" w:rsidR="009A78D5" w:rsidRPr="00FC5004" w:rsidRDefault="00000000">
      <w:pPr>
        <w:rPr>
          <w:lang w:val="en-US"/>
        </w:rPr>
      </w:pPr>
      <w:r>
        <w:rPr>
          <w:lang w:val="en-US"/>
        </w:rPr>
        <w:lastRenderedPageBreak/>
        <w:t>The class representative value used for EFI is the class center:</w:t>
      </w:r>
    </w:p>
    <w:p w14:paraId="390AE2E9" w14:textId="77777777" w:rsidR="009A78D5" w:rsidRDefault="00000000">
      <w:pPr>
        <w:pStyle w:val="Corpsdetexte"/>
        <w:jc w:val="center"/>
      </w:pPr>
      <m:oMathPara>
        <m:oMathParaPr>
          <m:jc m:val="center"/>
        </m:oMathParaPr>
        <m:oMath>
          <m:r>
            <w:rPr>
              <w:rFonts w:ascii="Cambria Math" w:hAnsi="Cambria Math"/>
            </w:rPr>
            <m:t>LF</m:t>
          </m:r>
          <m:d>
            <m:dPr>
              <m:ctrlPr>
                <w:rPr>
                  <w:rFonts w:ascii="Cambria Math" w:hAnsi="Cambria Math"/>
                </w:rPr>
              </m:ctrlPr>
            </m:dPr>
            <m:e>
              <m:r>
                <w:rPr>
                  <w:rFonts w:ascii="Cambria Math" w:hAnsi="Cambria Math"/>
                </w:rPr>
                <m:t>q</m:t>
              </m:r>
            </m:e>
          </m:d>
          <m:r>
            <w:rPr>
              <w:rFonts w:ascii="Cambria Math" w:hAnsi="Cambria Math"/>
            </w:rPr>
            <m:t>=-4.0+</m:t>
          </m:r>
          <m:d>
            <m:dPr>
              <m:ctrlPr>
                <w:rPr>
                  <w:rFonts w:ascii="Cambria Math" w:hAnsi="Cambria Math"/>
                </w:rPr>
              </m:ctrlPr>
            </m:dPr>
            <m:e>
              <m:r>
                <w:rPr>
                  <w:rFonts w:ascii="Cambria Math" w:hAnsi="Cambria Math"/>
                </w:rPr>
                <m:t>q-</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0.34375</m:t>
          </m:r>
        </m:oMath>
      </m:oMathPara>
    </w:p>
    <w:p w14:paraId="71AFDA83" w14:textId="77777777" w:rsidR="009A78D5" w:rsidRDefault="00000000">
      <w:r>
        <w:t>with:</w:t>
      </w:r>
    </w:p>
    <w:p w14:paraId="025ECA94" w14:textId="77777777" w:rsidR="009A78D5" w:rsidRDefault="00000000">
      <w:pPr>
        <w:pStyle w:val="Corpsdetexte"/>
        <w:jc w:val="center"/>
      </w:pPr>
      <m:oMathPara>
        <m:oMathParaPr>
          <m:jc m:val="center"/>
        </m:oMathParaPr>
        <m:oMath>
          <m:r>
            <w:rPr>
              <w:rFonts w:ascii="Cambria Math" w:hAnsi="Cambria Math"/>
            </w:rPr>
            <m:t>q=1…32</m:t>
          </m:r>
        </m:oMath>
      </m:oMathPara>
    </w:p>
    <w:bookmarkEnd w:id="44"/>
    <w:p w14:paraId="098E5454" w14:textId="77777777" w:rsidR="008B2183" w:rsidRPr="00DF4621" w:rsidRDefault="00000000">
      <w:pPr>
        <w:pStyle w:val="Corpsdetexte"/>
        <w:rPr>
          <w:lang w:val="en-US"/>
        </w:rPr>
      </w:pPr>
      <w:r>
        <w:rPr>
          <w:lang w:val="en-US"/>
        </w:rPr>
        <w:t>The fixed reference load factor used for the ABB.163 transformation and EFI is:</w:t>
      </w:r>
    </w:p>
    <w:p w14:paraId="3445D5B6" w14:textId="77777777" w:rsidR="008B2183" w:rsidRDefault="00000000">
      <w:pPr>
        <w:pStyle w:val="Corpsdetexte"/>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m:t>
          </m:r>
        </m:oMath>
      </m:oMathPara>
    </w:p>
    <w:p w14:paraId="7624849E" w14:textId="0CDF715C" w:rsidR="008B2183" w:rsidRPr="00DF4621" w:rsidRDefault="00000000">
      <w:pPr>
        <w:pStyle w:val="Corpsdetexte"/>
        <w:rPr>
          <w:lang w:val="en-US"/>
        </w:rPr>
      </w:pPr>
      <w:r>
        <w:rPr>
          <w:lang w:val="en-US"/>
        </w:rPr>
        <w:t xml:space="preserve">This lies in one-based class </w:t>
      </w:r>
      <m:oMath>
        <m:r>
          <w:rPr>
            <w:rFonts w:ascii="Cambria Math" w:hAnsi="Cambria Math"/>
          </w:rPr>
          <m:t>q</m:t>
        </m:r>
        <m:r>
          <m:rPr>
            <m:sty m:val="p"/>
          </m:rPr>
          <w:rPr>
            <w:rFonts w:ascii="Cambria Math" w:hAnsi="Cambria Math"/>
            <w:lang w:val="en-US"/>
          </w:rPr>
          <m:t>=</m:t>
        </m:r>
        <m:r>
          <w:rPr>
            <w:rFonts w:ascii="Cambria Math" w:hAnsi="Cambria Math"/>
            <w:lang w:val="en-US"/>
          </w:rPr>
          <m:t>15</m:t>
        </m:r>
      </m:oMath>
      <w:r>
        <w:rPr>
          <w:lang w:val="en-US"/>
        </w:rPr>
        <w:t xml:space="preserve"> and zero-based class </w:t>
      </w:r>
      <m:oMath>
        <m:sSub>
          <m:sSubPr>
            <m:ctrlPr>
              <w:rPr>
                <w:rFonts w:ascii="Cambria Math" w:hAnsi="Cambria Math"/>
              </w:rPr>
            </m:ctrlPr>
          </m:sSubPr>
          <m:e>
            <m:r>
              <w:rPr>
                <w:rFonts w:ascii="Cambria Math" w:hAnsi="Cambria Math"/>
              </w:rPr>
              <m:t>k</m:t>
            </m:r>
          </m:e>
          <m:sub>
            <m:r>
              <w:rPr>
                <w:rFonts w:ascii="Cambria Math" w:hAnsi="Cambria Math"/>
                <w:lang w:val="en-US"/>
              </w:rPr>
              <m:t>0</m:t>
            </m:r>
          </m:sub>
        </m:sSub>
        <m:r>
          <m:rPr>
            <m:sty m:val="p"/>
          </m:rPr>
          <w:rPr>
            <w:rFonts w:ascii="Cambria Math" w:hAnsi="Cambria Math"/>
            <w:lang w:val="en-US"/>
          </w:rPr>
          <m:t>=</m:t>
        </m:r>
        <m:r>
          <w:rPr>
            <w:rFonts w:ascii="Cambria Math" w:hAnsi="Cambria Math"/>
            <w:lang w:val="en-US"/>
          </w:rPr>
          <m:t>14</m:t>
        </m:r>
      </m:oMath>
      <w:r>
        <w:rPr>
          <w:lang w:val="en-US"/>
        </w:rPr>
        <w:t xml:space="preserve">; therefore classes </w:t>
      </w:r>
      <m:oMath>
        <m:r>
          <w:rPr>
            <w:rFonts w:ascii="Cambria Math" w:hAnsi="Cambria Math"/>
          </w:rPr>
          <m:t>q</m:t>
        </m:r>
        <m:r>
          <m:rPr>
            <m:sty m:val="p"/>
          </m:rPr>
          <w:rPr>
            <w:rFonts w:ascii="Cambria Math" w:hAnsi="Cambria Math"/>
            <w:lang w:val="en-US"/>
          </w:rPr>
          <m:t>=</m:t>
        </m:r>
        <m:r>
          <w:rPr>
            <w:rFonts w:ascii="Cambria Math" w:hAnsi="Cambria Math"/>
            <w:lang w:val="en-US"/>
          </w:rPr>
          <m:t>1</m:t>
        </m:r>
        <m:r>
          <m:rPr>
            <m:sty m:val="p"/>
          </m:rPr>
          <w:rPr>
            <w:rFonts w:ascii="Cambria Math" w:hAnsi="Cambria Math"/>
            <w:lang w:val="en-US"/>
          </w:rPr>
          <m:t>…</m:t>
        </m:r>
        <m:r>
          <w:rPr>
            <w:rFonts w:ascii="Cambria Math" w:hAnsi="Cambria Math"/>
            <w:lang w:val="en-US"/>
          </w:rPr>
          <m:t>14</m:t>
        </m:r>
      </m:oMath>
      <w:r>
        <w:rPr>
          <w:lang w:val="en-US"/>
        </w:rPr>
        <w:t xml:space="preserve"> form the lower branch and classes </w:t>
      </w:r>
      <m:oMath>
        <m:r>
          <w:rPr>
            <w:rFonts w:ascii="Cambria Math" w:hAnsi="Cambria Math"/>
          </w:rPr>
          <m:t>q</m:t>
        </m:r>
        <m:r>
          <m:rPr>
            <m:sty m:val="p"/>
          </m:rPr>
          <w:rPr>
            <w:rFonts w:ascii="Cambria Math" w:hAnsi="Cambria Math"/>
            <w:lang w:val="en-US"/>
          </w:rPr>
          <m:t>=</m:t>
        </m:r>
        <m:r>
          <w:rPr>
            <w:rFonts w:ascii="Cambria Math" w:hAnsi="Cambria Math"/>
            <w:lang w:val="en-US"/>
          </w:rPr>
          <m:t>15</m:t>
        </m:r>
        <m:r>
          <m:rPr>
            <m:sty m:val="p"/>
          </m:rPr>
          <w:rPr>
            <w:rFonts w:ascii="Cambria Math" w:hAnsi="Cambria Math"/>
            <w:lang w:val="en-US"/>
          </w:rPr>
          <m:t>…</m:t>
        </m:r>
        <m:r>
          <w:rPr>
            <w:rFonts w:ascii="Cambria Math" w:hAnsi="Cambria Math"/>
            <w:lang w:val="en-US"/>
          </w:rPr>
          <m:t>32</m:t>
        </m:r>
      </m:oMath>
      <w:r>
        <w:rPr>
          <w:lang w:val="en-US"/>
        </w:rPr>
        <w:t xml:space="preserve"> form the upper branch for the Utility reference transformation.</w:t>
      </w:r>
      <w:r>
        <w:rPr>
          <w:lang w:val="en-US"/>
        </w:rPr>
        <w:br/>
      </w:r>
    </w:p>
    <w:p w14:paraId="7200865D" w14:textId="77777777" w:rsidR="009A78D5" w:rsidRPr="00FC5004" w:rsidRDefault="00000000">
      <w:pPr>
        <w:pStyle w:val="Titre2"/>
        <w:keepNext/>
        <w:rPr>
          <w:lang w:val="en-US"/>
        </w:rPr>
      </w:pPr>
      <w:bookmarkStart w:id="45" w:name="_Toc235917350"/>
      <w:r>
        <w:rPr>
          <w:lang w:val="en-US"/>
        </w:rPr>
        <w:t>C.3 Generated ABB.163 Utility reference spectrum</w:t>
      </w:r>
      <w:bookmarkEnd w:id="45"/>
    </w:p>
    <w:p w14:paraId="4E8E358B" w14:textId="68D28F2F" w:rsidR="009A78D5" w:rsidRPr="00FC5004" w:rsidRDefault="00000000">
      <w:pPr>
        <w:keepNext/>
        <w:rPr>
          <w:lang w:val="en-US"/>
        </w:rPr>
      </w:pPr>
      <w:r>
        <w:rPr>
          <w:lang w:val="en-US"/>
        </w:rPr>
        <w:t>The following table is the ABB.163-derived Utility occurrence spectrum generated with the Appendix A.8 transformation. In controlled machine-readable form, it is the operational numerical reference spectrum for EFI. The full reference table, including ABB.163 printed labels and class edges, is part of the calculation package.</w:t>
      </w:r>
    </w:p>
    <w:tbl>
      <w:tblPr>
        <w:tblW w:w="9638" w:type="dxa"/>
        <w:jc w:val="center"/>
        <w:tblLayout w:type="fixed"/>
        <w:tblCellMar>
          <w:top w:w="25" w:type="dxa"/>
          <w:left w:w="35" w:type="dxa"/>
          <w:bottom w:w="25" w:type="dxa"/>
          <w:right w:w="35" w:type="dxa"/>
        </w:tblCellMar>
        <w:tblLook w:val="04A0" w:firstRow="1" w:lastRow="0" w:firstColumn="1" w:lastColumn="0" w:noHBand="0" w:noVBand="1"/>
      </w:tblPr>
      <w:tblGrid>
        <w:gridCol w:w="799"/>
        <w:gridCol w:w="2021"/>
        <w:gridCol w:w="2000"/>
        <w:gridCol w:w="798"/>
        <w:gridCol w:w="2021"/>
        <w:gridCol w:w="1999"/>
      </w:tblGrid>
      <w:tr w:rsidR="009A78D5" w14:paraId="5423F5E1" w14:textId="77777777">
        <w:trPr>
          <w:tblHeade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40A8E6B8" w14:textId="77777777" w:rsidR="009A78D5" w:rsidRDefault="00000000" w:rsidP="00EE528B">
            <w:pPr>
              <w:spacing w:after="0"/>
            </w:pPr>
            <w:r>
              <w:rPr>
                <w:b/>
                <w:sz w:val="15"/>
              </w:rPr>
              <w:t>q</w:t>
            </w:r>
          </w:p>
        </w:tc>
        <w:tc>
          <w:tcPr>
            <w:tcW w:w="2021" w:type="dxa"/>
            <w:tcBorders>
              <w:top w:val="single" w:sz="4" w:space="0" w:color="666666"/>
              <w:left w:val="single" w:sz="4" w:space="0" w:color="666666"/>
              <w:bottom w:val="single" w:sz="4" w:space="0" w:color="666666"/>
              <w:right w:val="single" w:sz="4" w:space="0" w:color="666666"/>
            </w:tcBorders>
            <w:vAlign w:val="center"/>
          </w:tcPr>
          <w:p w14:paraId="2AA7F6CA" w14:textId="77777777" w:rsidR="009A78D5" w:rsidRDefault="00000000">
            <w:pPr>
              <w:spacing w:after="0"/>
              <w:jc w:val="center"/>
            </w:pPr>
            <w:r>
              <w:rPr>
                <w:b/>
                <w:sz w:val="15"/>
              </w:rPr>
              <w:t>LF center (g)</w:t>
            </w:r>
          </w:p>
        </w:tc>
        <w:tc>
          <w:tcPr>
            <w:tcW w:w="2000" w:type="dxa"/>
            <w:tcBorders>
              <w:top w:val="single" w:sz="4" w:space="0" w:color="666666"/>
              <w:left w:val="single" w:sz="4" w:space="0" w:color="666666"/>
              <w:bottom w:val="single" w:sz="4" w:space="0" w:color="666666"/>
              <w:right w:val="single" w:sz="4" w:space="0" w:color="666666"/>
            </w:tcBorders>
            <w:vAlign w:val="center"/>
          </w:tcPr>
          <w:p w14:paraId="08B363FA" w14:textId="77777777" w:rsidR="009A78D5" w:rsidRDefault="00000000">
            <w:pPr>
              <w:spacing w:after="0"/>
              <w:jc w:val="center"/>
            </w:pPr>
            <w:r>
              <w:rPr>
                <w:b/>
                <w:sz w:val="15"/>
              </w:rPr>
              <w:t>Occ.</w:t>
            </w:r>
          </w:p>
        </w:tc>
        <w:tc>
          <w:tcPr>
            <w:tcW w:w="798" w:type="dxa"/>
            <w:tcBorders>
              <w:top w:val="single" w:sz="4" w:space="0" w:color="666666"/>
              <w:left w:val="single" w:sz="4" w:space="0" w:color="666666"/>
              <w:bottom w:val="single" w:sz="4" w:space="0" w:color="666666"/>
              <w:right w:val="single" w:sz="4" w:space="0" w:color="666666"/>
            </w:tcBorders>
            <w:vAlign w:val="center"/>
          </w:tcPr>
          <w:p w14:paraId="650F10F6" w14:textId="77777777" w:rsidR="009A78D5" w:rsidRDefault="00000000">
            <w:pPr>
              <w:spacing w:after="0"/>
              <w:jc w:val="center"/>
            </w:pPr>
            <w:r>
              <w:rPr>
                <w:b/>
                <w:sz w:val="15"/>
              </w:rPr>
              <w:t>q</w:t>
            </w:r>
          </w:p>
        </w:tc>
        <w:tc>
          <w:tcPr>
            <w:tcW w:w="2021" w:type="dxa"/>
            <w:tcBorders>
              <w:top w:val="single" w:sz="4" w:space="0" w:color="666666"/>
              <w:left w:val="single" w:sz="4" w:space="0" w:color="666666"/>
              <w:bottom w:val="single" w:sz="4" w:space="0" w:color="666666"/>
              <w:right w:val="single" w:sz="4" w:space="0" w:color="666666"/>
            </w:tcBorders>
            <w:vAlign w:val="center"/>
          </w:tcPr>
          <w:p w14:paraId="0E0A8E7A" w14:textId="77777777" w:rsidR="009A78D5" w:rsidRDefault="00000000">
            <w:pPr>
              <w:spacing w:after="0"/>
              <w:jc w:val="center"/>
            </w:pPr>
            <w:r>
              <w:rPr>
                <w:b/>
                <w:sz w:val="15"/>
              </w:rPr>
              <w:t>LF center (g)</w:t>
            </w:r>
          </w:p>
        </w:tc>
        <w:tc>
          <w:tcPr>
            <w:tcW w:w="1999" w:type="dxa"/>
            <w:tcBorders>
              <w:top w:val="single" w:sz="4" w:space="0" w:color="666666"/>
              <w:left w:val="single" w:sz="4" w:space="0" w:color="666666"/>
              <w:bottom w:val="single" w:sz="4" w:space="0" w:color="666666"/>
              <w:right w:val="single" w:sz="4" w:space="0" w:color="666666"/>
            </w:tcBorders>
            <w:vAlign w:val="center"/>
          </w:tcPr>
          <w:p w14:paraId="4608A162" w14:textId="77777777" w:rsidR="009A78D5" w:rsidRDefault="00000000">
            <w:pPr>
              <w:spacing w:after="0"/>
              <w:jc w:val="center"/>
            </w:pPr>
            <w:r>
              <w:rPr>
                <w:b/>
                <w:sz w:val="15"/>
              </w:rPr>
              <w:t>Occ.</w:t>
            </w:r>
          </w:p>
        </w:tc>
      </w:tr>
      <w:tr w:rsidR="009A78D5" w14:paraId="585D79EB"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029CAB4F" w14:textId="77777777" w:rsidR="009A78D5" w:rsidRDefault="00000000">
            <w:pPr>
              <w:spacing w:after="0"/>
              <w:jc w:val="center"/>
            </w:pPr>
            <w:r>
              <w:rPr>
                <w:sz w:val="15"/>
              </w:rPr>
              <w:t>1</w:t>
            </w:r>
          </w:p>
        </w:tc>
        <w:tc>
          <w:tcPr>
            <w:tcW w:w="2021" w:type="dxa"/>
            <w:tcBorders>
              <w:top w:val="single" w:sz="4" w:space="0" w:color="666666"/>
              <w:left w:val="single" w:sz="4" w:space="0" w:color="666666"/>
              <w:bottom w:val="single" w:sz="4" w:space="0" w:color="666666"/>
              <w:right w:val="single" w:sz="4" w:space="0" w:color="666666"/>
            </w:tcBorders>
            <w:vAlign w:val="center"/>
          </w:tcPr>
          <w:p w14:paraId="4F649EC2" w14:textId="77777777" w:rsidR="009A78D5" w:rsidRDefault="00000000">
            <w:pPr>
              <w:spacing w:after="0"/>
              <w:jc w:val="center"/>
            </w:pPr>
            <w:r>
              <w:rPr>
                <w:sz w:val="15"/>
              </w:rPr>
              <w:t>-3.828</w:t>
            </w:r>
          </w:p>
        </w:tc>
        <w:tc>
          <w:tcPr>
            <w:tcW w:w="2000" w:type="dxa"/>
            <w:tcBorders>
              <w:top w:val="single" w:sz="4" w:space="0" w:color="666666"/>
              <w:left w:val="single" w:sz="4" w:space="0" w:color="666666"/>
              <w:bottom w:val="single" w:sz="4" w:space="0" w:color="666666"/>
              <w:right w:val="single" w:sz="4" w:space="0" w:color="666666"/>
            </w:tcBorders>
            <w:vAlign w:val="center"/>
          </w:tcPr>
          <w:p w14:paraId="622B66FF" w14:textId="77777777" w:rsidR="009A78D5" w:rsidRDefault="00000000">
            <w:pPr>
              <w:spacing w:after="0"/>
              <w:jc w:val="center"/>
            </w:pPr>
            <w:r>
              <w:rPr>
                <w:sz w:val="15"/>
              </w:rPr>
              <w:t>0</w:t>
            </w:r>
          </w:p>
        </w:tc>
        <w:tc>
          <w:tcPr>
            <w:tcW w:w="798" w:type="dxa"/>
            <w:tcBorders>
              <w:top w:val="single" w:sz="4" w:space="0" w:color="666666"/>
              <w:left w:val="single" w:sz="4" w:space="0" w:color="666666"/>
              <w:bottom w:val="single" w:sz="4" w:space="0" w:color="666666"/>
              <w:right w:val="single" w:sz="4" w:space="0" w:color="666666"/>
            </w:tcBorders>
            <w:vAlign w:val="center"/>
          </w:tcPr>
          <w:p w14:paraId="361B3268" w14:textId="77777777" w:rsidR="009A78D5" w:rsidRDefault="00000000">
            <w:pPr>
              <w:spacing w:after="0"/>
              <w:jc w:val="center"/>
            </w:pPr>
            <w:r>
              <w:rPr>
                <w:sz w:val="15"/>
              </w:rPr>
              <w:t>17</w:t>
            </w:r>
          </w:p>
        </w:tc>
        <w:tc>
          <w:tcPr>
            <w:tcW w:w="2021" w:type="dxa"/>
            <w:tcBorders>
              <w:top w:val="single" w:sz="4" w:space="0" w:color="666666"/>
              <w:left w:val="single" w:sz="4" w:space="0" w:color="666666"/>
              <w:bottom w:val="single" w:sz="4" w:space="0" w:color="666666"/>
              <w:right w:val="single" w:sz="4" w:space="0" w:color="666666"/>
            </w:tcBorders>
            <w:vAlign w:val="center"/>
          </w:tcPr>
          <w:p w14:paraId="4C699D97" w14:textId="77777777" w:rsidR="009A78D5" w:rsidRDefault="00000000">
            <w:pPr>
              <w:spacing w:after="0"/>
              <w:jc w:val="center"/>
            </w:pPr>
            <w:r>
              <w:rPr>
                <w:sz w:val="15"/>
              </w:rPr>
              <w:t>1.672</w:t>
            </w:r>
          </w:p>
        </w:tc>
        <w:tc>
          <w:tcPr>
            <w:tcW w:w="1999" w:type="dxa"/>
            <w:tcBorders>
              <w:top w:val="single" w:sz="4" w:space="0" w:color="666666"/>
              <w:left w:val="single" w:sz="4" w:space="0" w:color="666666"/>
              <w:bottom w:val="single" w:sz="4" w:space="0" w:color="666666"/>
              <w:right w:val="single" w:sz="4" w:space="0" w:color="666666"/>
            </w:tcBorders>
            <w:vAlign w:val="center"/>
          </w:tcPr>
          <w:p w14:paraId="0ACF9395" w14:textId="77777777" w:rsidR="009A78D5" w:rsidRDefault="00000000">
            <w:pPr>
              <w:spacing w:after="0"/>
              <w:jc w:val="center"/>
            </w:pPr>
            <w:r>
              <w:rPr>
                <w:sz w:val="15"/>
              </w:rPr>
              <w:t>781,639</w:t>
            </w:r>
          </w:p>
        </w:tc>
      </w:tr>
      <w:tr w:rsidR="009A78D5" w14:paraId="320AC82A"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51B0E75" w14:textId="77777777" w:rsidR="009A78D5" w:rsidRDefault="00000000">
            <w:pPr>
              <w:spacing w:after="0"/>
              <w:jc w:val="center"/>
            </w:pPr>
            <w:r>
              <w:rPr>
                <w:sz w:val="15"/>
              </w:rPr>
              <w:t>2</w:t>
            </w:r>
          </w:p>
        </w:tc>
        <w:tc>
          <w:tcPr>
            <w:tcW w:w="2021" w:type="dxa"/>
            <w:tcBorders>
              <w:top w:val="single" w:sz="4" w:space="0" w:color="666666"/>
              <w:left w:val="single" w:sz="4" w:space="0" w:color="666666"/>
              <w:bottom w:val="single" w:sz="4" w:space="0" w:color="666666"/>
              <w:right w:val="single" w:sz="4" w:space="0" w:color="666666"/>
            </w:tcBorders>
            <w:vAlign w:val="center"/>
          </w:tcPr>
          <w:p w14:paraId="4A064910" w14:textId="77777777" w:rsidR="009A78D5" w:rsidRDefault="00000000">
            <w:pPr>
              <w:spacing w:after="0"/>
              <w:jc w:val="center"/>
            </w:pPr>
            <w:r>
              <w:rPr>
                <w:sz w:val="15"/>
              </w:rPr>
              <w:t>-3.484</w:t>
            </w:r>
          </w:p>
        </w:tc>
        <w:tc>
          <w:tcPr>
            <w:tcW w:w="2000" w:type="dxa"/>
            <w:tcBorders>
              <w:top w:val="single" w:sz="4" w:space="0" w:color="666666"/>
              <w:left w:val="single" w:sz="4" w:space="0" w:color="666666"/>
              <w:bottom w:val="single" w:sz="4" w:space="0" w:color="666666"/>
              <w:right w:val="single" w:sz="4" w:space="0" w:color="666666"/>
            </w:tcBorders>
            <w:vAlign w:val="center"/>
          </w:tcPr>
          <w:p w14:paraId="6E2DCB3E" w14:textId="77777777" w:rsidR="009A78D5" w:rsidRDefault="00000000">
            <w:pPr>
              <w:spacing w:after="0"/>
              <w:jc w:val="center"/>
            </w:pPr>
            <w:r>
              <w:rPr>
                <w:sz w:val="15"/>
              </w:rPr>
              <w:t>0</w:t>
            </w:r>
          </w:p>
        </w:tc>
        <w:tc>
          <w:tcPr>
            <w:tcW w:w="798" w:type="dxa"/>
            <w:tcBorders>
              <w:top w:val="single" w:sz="4" w:space="0" w:color="666666"/>
              <w:left w:val="single" w:sz="4" w:space="0" w:color="666666"/>
              <w:bottom w:val="single" w:sz="4" w:space="0" w:color="666666"/>
              <w:right w:val="single" w:sz="4" w:space="0" w:color="666666"/>
            </w:tcBorders>
            <w:vAlign w:val="center"/>
          </w:tcPr>
          <w:p w14:paraId="6DDB00F5" w14:textId="77777777" w:rsidR="009A78D5" w:rsidRDefault="00000000">
            <w:pPr>
              <w:spacing w:after="0"/>
              <w:jc w:val="center"/>
            </w:pPr>
            <w:r>
              <w:rPr>
                <w:sz w:val="15"/>
              </w:rPr>
              <w:t>18</w:t>
            </w:r>
          </w:p>
        </w:tc>
        <w:tc>
          <w:tcPr>
            <w:tcW w:w="2021" w:type="dxa"/>
            <w:tcBorders>
              <w:top w:val="single" w:sz="4" w:space="0" w:color="666666"/>
              <w:left w:val="single" w:sz="4" w:space="0" w:color="666666"/>
              <w:bottom w:val="single" w:sz="4" w:space="0" w:color="666666"/>
              <w:right w:val="single" w:sz="4" w:space="0" w:color="666666"/>
            </w:tcBorders>
            <w:vAlign w:val="center"/>
          </w:tcPr>
          <w:p w14:paraId="05C0A587" w14:textId="77777777" w:rsidR="009A78D5" w:rsidRDefault="00000000">
            <w:pPr>
              <w:spacing w:after="0"/>
              <w:jc w:val="center"/>
            </w:pPr>
            <w:r>
              <w:rPr>
                <w:sz w:val="15"/>
              </w:rPr>
              <w:t>2.016</w:t>
            </w:r>
          </w:p>
        </w:tc>
        <w:tc>
          <w:tcPr>
            <w:tcW w:w="1999" w:type="dxa"/>
            <w:tcBorders>
              <w:top w:val="single" w:sz="4" w:space="0" w:color="666666"/>
              <w:left w:val="single" w:sz="4" w:space="0" w:color="666666"/>
              <w:bottom w:val="single" w:sz="4" w:space="0" w:color="666666"/>
              <w:right w:val="single" w:sz="4" w:space="0" w:color="666666"/>
            </w:tcBorders>
            <w:vAlign w:val="center"/>
          </w:tcPr>
          <w:p w14:paraId="4A9ADC85" w14:textId="77777777" w:rsidR="009A78D5" w:rsidRDefault="00000000">
            <w:pPr>
              <w:spacing w:after="0"/>
              <w:jc w:val="center"/>
            </w:pPr>
            <w:r>
              <w:rPr>
                <w:sz w:val="15"/>
              </w:rPr>
              <w:t>222,911</w:t>
            </w:r>
          </w:p>
        </w:tc>
      </w:tr>
      <w:tr w:rsidR="009A78D5" w14:paraId="644F7AEF"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62ADB1AC" w14:textId="77777777" w:rsidR="009A78D5" w:rsidRDefault="00000000">
            <w:pPr>
              <w:spacing w:after="0"/>
              <w:jc w:val="center"/>
            </w:pPr>
            <w:r>
              <w:rPr>
                <w:sz w:val="15"/>
              </w:rPr>
              <w:t>3</w:t>
            </w:r>
          </w:p>
        </w:tc>
        <w:tc>
          <w:tcPr>
            <w:tcW w:w="2021" w:type="dxa"/>
            <w:tcBorders>
              <w:top w:val="single" w:sz="4" w:space="0" w:color="666666"/>
              <w:left w:val="single" w:sz="4" w:space="0" w:color="666666"/>
              <w:bottom w:val="single" w:sz="4" w:space="0" w:color="666666"/>
              <w:right w:val="single" w:sz="4" w:space="0" w:color="666666"/>
            </w:tcBorders>
            <w:vAlign w:val="center"/>
          </w:tcPr>
          <w:p w14:paraId="3C85F916" w14:textId="77777777" w:rsidR="009A78D5" w:rsidRDefault="00000000">
            <w:pPr>
              <w:spacing w:after="0"/>
              <w:jc w:val="center"/>
            </w:pPr>
            <w:r>
              <w:rPr>
                <w:sz w:val="15"/>
              </w:rPr>
              <w:t>-3.141</w:t>
            </w:r>
          </w:p>
        </w:tc>
        <w:tc>
          <w:tcPr>
            <w:tcW w:w="2000" w:type="dxa"/>
            <w:tcBorders>
              <w:top w:val="single" w:sz="4" w:space="0" w:color="666666"/>
              <w:left w:val="single" w:sz="4" w:space="0" w:color="666666"/>
              <w:bottom w:val="single" w:sz="4" w:space="0" w:color="666666"/>
              <w:right w:val="single" w:sz="4" w:space="0" w:color="666666"/>
            </w:tcBorders>
            <w:vAlign w:val="center"/>
          </w:tcPr>
          <w:p w14:paraId="7AB1A684" w14:textId="77777777" w:rsidR="009A78D5" w:rsidRDefault="00000000">
            <w:pPr>
              <w:spacing w:after="0"/>
              <w:jc w:val="center"/>
            </w:pPr>
            <w:r>
              <w:rPr>
                <w:sz w:val="15"/>
              </w:rPr>
              <w:t>0</w:t>
            </w:r>
          </w:p>
        </w:tc>
        <w:tc>
          <w:tcPr>
            <w:tcW w:w="798" w:type="dxa"/>
            <w:tcBorders>
              <w:top w:val="single" w:sz="4" w:space="0" w:color="666666"/>
              <w:left w:val="single" w:sz="4" w:space="0" w:color="666666"/>
              <w:bottom w:val="single" w:sz="4" w:space="0" w:color="666666"/>
              <w:right w:val="single" w:sz="4" w:space="0" w:color="666666"/>
            </w:tcBorders>
            <w:vAlign w:val="center"/>
          </w:tcPr>
          <w:p w14:paraId="0C4E1AE1" w14:textId="77777777" w:rsidR="009A78D5" w:rsidRDefault="00000000">
            <w:pPr>
              <w:spacing w:after="0"/>
              <w:jc w:val="center"/>
            </w:pPr>
            <w:r>
              <w:rPr>
                <w:sz w:val="15"/>
              </w:rPr>
              <w:t>19</w:t>
            </w:r>
          </w:p>
        </w:tc>
        <w:tc>
          <w:tcPr>
            <w:tcW w:w="2021" w:type="dxa"/>
            <w:tcBorders>
              <w:top w:val="single" w:sz="4" w:space="0" w:color="666666"/>
              <w:left w:val="single" w:sz="4" w:space="0" w:color="666666"/>
              <w:bottom w:val="single" w:sz="4" w:space="0" w:color="666666"/>
              <w:right w:val="single" w:sz="4" w:space="0" w:color="666666"/>
            </w:tcBorders>
            <w:vAlign w:val="center"/>
          </w:tcPr>
          <w:p w14:paraId="2B69E635" w14:textId="77777777" w:rsidR="009A78D5" w:rsidRDefault="00000000">
            <w:pPr>
              <w:spacing w:after="0"/>
              <w:jc w:val="center"/>
            </w:pPr>
            <w:r>
              <w:rPr>
                <w:sz w:val="15"/>
              </w:rPr>
              <w:t>2.359</w:t>
            </w:r>
          </w:p>
        </w:tc>
        <w:tc>
          <w:tcPr>
            <w:tcW w:w="1999" w:type="dxa"/>
            <w:tcBorders>
              <w:top w:val="single" w:sz="4" w:space="0" w:color="666666"/>
              <w:left w:val="single" w:sz="4" w:space="0" w:color="666666"/>
              <w:bottom w:val="single" w:sz="4" w:space="0" w:color="666666"/>
              <w:right w:val="single" w:sz="4" w:space="0" w:color="666666"/>
            </w:tcBorders>
            <w:vAlign w:val="center"/>
          </w:tcPr>
          <w:p w14:paraId="18B14923" w14:textId="77777777" w:rsidR="009A78D5" w:rsidRDefault="00000000">
            <w:pPr>
              <w:spacing w:after="0"/>
              <w:jc w:val="center"/>
            </w:pPr>
            <w:r>
              <w:rPr>
                <w:sz w:val="15"/>
              </w:rPr>
              <w:t>115,715</w:t>
            </w:r>
          </w:p>
        </w:tc>
      </w:tr>
      <w:tr w:rsidR="009A78D5" w14:paraId="34CCD995"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582C1E01" w14:textId="77777777" w:rsidR="009A78D5" w:rsidRDefault="00000000">
            <w:pPr>
              <w:spacing w:after="0"/>
              <w:jc w:val="center"/>
            </w:pPr>
            <w:r>
              <w:rPr>
                <w:sz w:val="15"/>
              </w:rPr>
              <w:t>4</w:t>
            </w:r>
          </w:p>
        </w:tc>
        <w:tc>
          <w:tcPr>
            <w:tcW w:w="2021" w:type="dxa"/>
            <w:tcBorders>
              <w:top w:val="single" w:sz="4" w:space="0" w:color="666666"/>
              <w:left w:val="single" w:sz="4" w:space="0" w:color="666666"/>
              <w:bottom w:val="single" w:sz="4" w:space="0" w:color="666666"/>
              <w:right w:val="single" w:sz="4" w:space="0" w:color="666666"/>
            </w:tcBorders>
            <w:vAlign w:val="center"/>
          </w:tcPr>
          <w:p w14:paraId="2F87FDE2" w14:textId="77777777" w:rsidR="009A78D5" w:rsidRDefault="00000000">
            <w:pPr>
              <w:spacing w:after="0"/>
              <w:jc w:val="center"/>
            </w:pPr>
            <w:r>
              <w:rPr>
                <w:sz w:val="15"/>
              </w:rPr>
              <w:t>-2.797</w:t>
            </w:r>
          </w:p>
        </w:tc>
        <w:tc>
          <w:tcPr>
            <w:tcW w:w="2000" w:type="dxa"/>
            <w:tcBorders>
              <w:top w:val="single" w:sz="4" w:space="0" w:color="666666"/>
              <w:left w:val="single" w:sz="4" w:space="0" w:color="666666"/>
              <w:bottom w:val="single" w:sz="4" w:space="0" w:color="666666"/>
              <w:right w:val="single" w:sz="4" w:space="0" w:color="666666"/>
            </w:tcBorders>
            <w:vAlign w:val="center"/>
          </w:tcPr>
          <w:p w14:paraId="0F2381B3" w14:textId="77777777" w:rsidR="009A78D5" w:rsidRDefault="00000000">
            <w:pPr>
              <w:spacing w:after="0"/>
              <w:jc w:val="center"/>
            </w:pPr>
            <w:r>
              <w:rPr>
                <w:sz w:val="15"/>
              </w:rPr>
              <w:t>2</w:t>
            </w:r>
          </w:p>
        </w:tc>
        <w:tc>
          <w:tcPr>
            <w:tcW w:w="798" w:type="dxa"/>
            <w:tcBorders>
              <w:top w:val="single" w:sz="4" w:space="0" w:color="666666"/>
              <w:left w:val="single" w:sz="4" w:space="0" w:color="666666"/>
              <w:bottom w:val="single" w:sz="4" w:space="0" w:color="666666"/>
              <w:right w:val="single" w:sz="4" w:space="0" w:color="666666"/>
            </w:tcBorders>
            <w:vAlign w:val="center"/>
          </w:tcPr>
          <w:p w14:paraId="60336526" w14:textId="77777777" w:rsidR="009A78D5" w:rsidRDefault="00000000">
            <w:pPr>
              <w:spacing w:after="0"/>
              <w:jc w:val="center"/>
            </w:pPr>
            <w:r>
              <w:rPr>
                <w:sz w:val="15"/>
              </w:rPr>
              <w:t>20</w:t>
            </w:r>
          </w:p>
        </w:tc>
        <w:tc>
          <w:tcPr>
            <w:tcW w:w="2021" w:type="dxa"/>
            <w:tcBorders>
              <w:top w:val="single" w:sz="4" w:space="0" w:color="666666"/>
              <w:left w:val="single" w:sz="4" w:space="0" w:color="666666"/>
              <w:bottom w:val="single" w:sz="4" w:space="0" w:color="666666"/>
              <w:right w:val="single" w:sz="4" w:space="0" w:color="666666"/>
            </w:tcBorders>
            <w:vAlign w:val="center"/>
          </w:tcPr>
          <w:p w14:paraId="2EBC5AB1" w14:textId="77777777" w:rsidR="009A78D5" w:rsidRDefault="00000000">
            <w:pPr>
              <w:spacing w:after="0"/>
              <w:jc w:val="center"/>
            </w:pPr>
            <w:r>
              <w:rPr>
                <w:sz w:val="15"/>
              </w:rPr>
              <w:t>2.703</w:t>
            </w:r>
          </w:p>
        </w:tc>
        <w:tc>
          <w:tcPr>
            <w:tcW w:w="1999" w:type="dxa"/>
            <w:tcBorders>
              <w:top w:val="single" w:sz="4" w:space="0" w:color="666666"/>
              <w:left w:val="single" w:sz="4" w:space="0" w:color="666666"/>
              <w:bottom w:val="single" w:sz="4" w:space="0" w:color="666666"/>
              <w:right w:val="single" w:sz="4" w:space="0" w:color="666666"/>
            </w:tcBorders>
            <w:vAlign w:val="center"/>
          </w:tcPr>
          <w:p w14:paraId="0AF003C2" w14:textId="77777777" w:rsidR="009A78D5" w:rsidRDefault="00000000">
            <w:pPr>
              <w:spacing w:after="0"/>
              <w:jc w:val="center"/>
            </w:pPr>
            <w:r>
              <w:rPr>
                <w:sz w:val="15"/>
              </w:rPr>
              <w:t>64,698</w:t>
            </w:r>
          </w:p>
        </w:tc>
      </w:tr>
      <w:tr w:rsidR="009A78D5" w14:paraId="432F13C1"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31C3F422" w14:textId="77777777" w:rsidR="009A78D5" w:rsidRDefault="00000000">
            <w:pPr>
              <w:spacing w:after="0"/>
              <w:jc w:val="center"/>
            </w:pPr>
            <w:r>
              <w:rPr>
                <w:sz w:val="15"/>
              </w:rPr>
              <w:t>5</w:t>
            </w:r>
          </w:p>
        </w:tc>
        <w:tc>
          <w:tcPr>
            <w:tcW w:w="2021" w:type="dxa"/>
            <w:tcBorders>
              <w:top w:val="single" w:sz="4" w:space="0" w:color="666666"/>
              <w:left w:val="single" w:sz="4" w:space="0" w:color="666666"/>
              <w:bottom w:val="single" w:sz="4" w:space="0" w:color="666666"/>
              <w:right w:val="single" w:sz="4" w:space="0" w:color="666666"/>
            </w:tcBorders>
            <w:vAlign w:val="center"/>
          </w:tcPr>
          <w:p w14:paraId="45798F5F" w14:textId="77777777" w:rsidR="009A78D5" w:rsidRDefault="00000000">
            <w:pPr>
              <w:spacing w:after="0"/>
              <w:jc w:val="center"/>
            </w:pPr>
            <w:r>
              <w:rPr>
                <w:sz w:val="15"/>
              </w:rPr>
              <w:t>-2.453</w:t>
            </w:r>
          </w:p>
        </w:tc>
        <w:tc>
          <w:tcPr>
            <w:tcW w:w="2000" w:type="dxa"/>
            <w:tcBorders>
              <w:top w:val="single" w:sz="4" w:space="0" w:color="666666"/>
              <w:left w:val="single" w:sz="4" w:space="0" w:color="666666"/>
              <w:bottom w:val="single" w:sz="4" w:space="0" w:color="666666"/>
              <w:right w:val="single" w:sz="4" w:space="0" w:color="666666"/>
            </w:tcBorders>
            <w:vAlign w:val="center"/>
          </w:tcPr>
          <w:p w14:paraId="637E133D" w14:textId="77777777" w:rsidR="009A78D5" w:rsidRDefault="00000000">
            <w:pPr>
              <w:spacing w:after="0"/>
              <w:jc w:val="center"/>
            </w:pPr>
            <w:r>
              <w:rPr>
                <w:sz w:val="15"/>
              </w:rPr>
              <w:t>17</w:t>
            </w:r>
          </w:p>
        </w:tc>
        <w:tc>
          <w:tcPr>
            <w:tcW w:w="798" w:type="dxa"/>
            <w:tcBorders>
              <w:top w:val="single" w:sz="4" w:space="0" w:color="666666"/>
              <w:left w:val="single" w:sz="4" w:space="0" w:color="666666"/>
              <w:bottom w:val="single" w:sz="4" w:space="0" w:color="666666"/>
              <w:right w:val="single" w:sz="4" w:space="0" w:color="666666"/>
            </w:tcBorders>
            <w:vAlign w:val="center"/>
          </w:tcPr>
          <w:p w14:paraId="76B5024B" w14:textId="77777777" w:rsidR="009A78D5" w:rsidRDefault="00000000">
            <w:pPr>
              <w:spacing w:after="0"/>
              <w:jc w:val="center"/>
            </w:pPr>
            <w:r>
              <w:rPr>
                <w:sz w:val="15"/>
              </w:rPr>
              <w:t>21</w:t>
            </w:r>
          </w:p>
        </w:tc>
        <w:tc>
          <w:tcPr>
            <w:tcW w:w="2021" w:type="dxa"/>
            <w:tcBorders>
              <w:top w:val="single" w:sz="4" w:space="0" w:color="666666"/>
              <w:left w:val="single" w:sz="4" w:space="0" w:color="666666"/>
              <w:bottom w:val="single" w:sz="4" w:space="0" w:color="666666"/>
              <w:right w:val="single" w:sz="4" w:space="0" w:color="666666"/>
            </w:tcBorders>
            <w:vAlign w:val="center"/>
          </w:tcPr>
          <w:p w14:paraId="1925F01C" w14:textId="77777777" w:rsidR="009A78D5" w:rsidRDefault="00000000">
            <w:pPr>
              <w:spacing w:after="0"/>
              <w:jc w:val="center"/>
            </w:pPr>
            <w:r>
              <w:rPr>
                <w:sz w:val="15"/>
              </w:rPr>
              <w:t>3.047</w:t>
            </w:r>
          </w:p>
        </w:tc>
        <w:tc>
          <w:tcPr>
            <w:tcW w:w="1999" w:type="dxa"/>
            <w:tcBorders>
              <w:top w:val="single" w:sz="4" w:space="0" w:color="666666"/>
              <w:left w:val="single" w:sz="4" w:space="0" w:color="666666"/>
              <w:bottom w:val="single" w:sz="4" w:space="0" w:color="666666"/>
              <w:right w:val="single" w:sz="4" w:space="0" w:color="666666"/>
            </w:tcBorders>
            <w:vAlign w:val="center"/>
          </w:tcPr>
          <w:p w14:paraId="5F791532" w14:textId="77777777" w:rsidR="009A78D5" w:rsidRDefault="00000000">
            <w:pPr>
              <w:spacing w:after="0"/>
              <w:jc w:val="center"/>
            </w:pPr>
            <w:r>
              <w:rPr>
                <w:sz w:val="15"/>
              </w:rPr>
              <w:t>46,996</w:t>
            </w:r>
          </w:p>
        </w:tc>
      </w:tr>
      <w:tr w:rsidR="009A78D5" w14:paraId="0A3F13F1"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00159EDF" w14:textId="77777777" w:rsidR="009A78D5" w:rsidRDefault="00000000">
            <w:pPr>
              <w:spacing w:after="0"/>
              <w:jc w:val="center"/>
            </w:pPr>
            <w:r>
              <w:rPr>
                <w:sz w:val="15"/>
              </w:rPr>
              <w:t>6</w:t>
            </w:r>
          </w:p>
        </w:tc>
        <w:tc>
          <w:tcPr>
            <w:tcW w:w="2021" w:type="dxa"/>
            <w:tcBorders>
              <w:top w:val="single" w:sz="4" w:space="0" w:color="666666"/>
              <w:left w:val="single" w:sz="4" w:space="0" w:color="666666"/>
              <w:bottom w:val="single" w:sz="4" w:space="0" w:color="666666"/>
              <w:right w:val="single" w:sz="4" w:space="0" w:color="666666"/>
            </w:tcBorders>
            <w:vAlign w:val="center"/>
          </w:tcPr>
          <w:p w14:paraId="587C76A0" w14:textId="77777777" w:rsidR="009A78D5" w:rsidRDefault="00000000">
            <w:pPr>
              <w:spacing w:after="0"/>
              <w:jc w:val="center"/>
            </w:pPr>
            <w:r>
              <w:rPr>
                <w:sz w:val="15"/>
              </w:rPr>
              <w:t>-2.109</w:t>
            </w:r>
          </w:p>
        </w:tc>
        <w:tc>
          <w:tcPr>
            <w:tcW w:w="2000" w:type="dxa"/>
            <w:tcBorders>
              <w:top w:val="single" w:sz="4" w:space="0" w:color="666666"/>
              <w:left w:val="single" w:sz="4" w:space="0" w:color="666666"/>
              <w:bottom w:val="single" w:sz="4" w:space="0" w:color="666666"/>
              <w:right w:val="single" w:sz="4" w:space="0" w:color="666666"/>
            </w:tcBorders>
            <w:vAlign w:val="center"/>
          </w:tcPr>
          <w:p w14:paraId="39DFB902" w14:textId="77777777" w:rsidR="009A78D5" w:rsidRDefault="00000000">
            <w:pPr>
              <w:spacing w:after="0"/>
              <w:jc w:val="center"/>
            </w:pPr>
            <w:r>
              <w:rPr>
                <w:sz w:val="15"/>
              </w:rPr>
              <w:t>116</w:t>
            </w:r>
          </w:p>
        </w:tc>
        <w:tc>
          <w:tcPr>
            <w:tcW w:w="798" w:type="dxa"/>
            <w:tcBorders>
              <w:top w:val="single" w:sz="4" w:space="0" w:color="666666"/>
              <w:left w:val="single" w:sz="4" w:space="0" w:color="666666"/>
              <w:bottom w:val="single" w:sz="4" w:space="0" w:color="666666"/>
              <w:right w:val="single" w:sz="4" w:space="0" w:color="666666"/>
            </w:tcBorders>
            <w:vAlign w:val="center"/>
          </w:tcPr>
          <w:p w14:paraId="56C963E2" w14:textId="77777777" w:rsidR="009A78D5" w:rsidRDefault="00000000">
            <w:pPr>
              <w:spacing w:after="0"/>
              <w:jc w:val="center"/>
            </w:pPr>
            <w:r>
              <w:rPr>
                <w:sz w:val="15"/>
              </w:rPr>
              <w:t>22</w:t>
            </w:r>
          </w:p>
        </w:tc>
        <w:tc>
          <w:tcPr>
            <w:tcW w:w="2021" w:type="dxa"/>
            <w:tcBorders>
              <w:top w:val="single" w:sz="4" w:space="0" w:color="666666"/>
              <w:left w:val="single" w:sz="4" w:space="0" w:color="666666"/>
              <w:bottom w:val="single" w:sz="4" w:space="0" w:color="666666"/>
              <w:right w:val="single" w:sz="4" w:space="0" w:color="666666"/>
            </w:tcBorders>
            <w:vAlign w:val="center"/>
          </w:tcPr>
          <w:p w14:paraId="0709ACFF" w14:textId="77777777" w:rsidR="009A78D5" w:rsidRDefault="00000000">
            <w:pPr>
              <w:spacing w:after="0"/>
              <w:jc w:val="center"/>
            </w:pPr>
            <w:r>
              <w:rPr>
                <w:sz w:val="15"/>
              </w:rPr>
              <w:t>3.391</w:t>
            </w:r>
          </w:p>
        </w:tc>
        <w:tc>
          <w:tcPr>
            <w:tcW w:w="1999" w:type="dxa"/>
            <w:tcBorders>
              <w:top w:val="single" w:sz="4" w:space="0" w:color="666666"/>
              <w:left w:val="single" w:sz="4" w:space="0" w:color="666666"/>
              <w:bottom w:val="single" w:sz="4" w:space="0" w:color="666666"/>
              <w:right w:val="single" w:sz="4" w:space="0" w:color="666666"/>
            </w:tcBorders>
            <w:vAlign w:val="center"/>
          </w:tcPr>
          <w:p w14:paraId="193E6896" w14:textId="77777777" w:rsidR="009A78D5" w:rsidRDefault="00000000">
            <w:pPr>
              <w:spacing w:after="0"/>
              <w:jc w:val="center"/>
            </w:pPr>
            <w:r>
              <w:rPr>
                <w:sz w:val="15"/>
              </w:rPr>
              <w:t>31,526</w:t>
            </w:r>
          </w:p>
        </w:tc>
      </w:tr>
      <w:tr w:rsidR="009A78D5" w14:paraId="1B8013FE"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30ECC909" w14:textId="77777777" w:rsidR="009A78D5" w:rsidRDefault="00000000">
            <w:pPr>
              <w:spacing w:after="0"/>
              <w:jc w:val="center"/>
            </w:pPr>
            <w:r>
              <w:rPr>
                <w:sz w:val="15"/>
              </w:rPr>
              <w:t>7</w:t>
            </w:r>
          </w:p>
        </w:tc>
        <w:tc>
          <w:tcPr>
            <w:tcW w:w="2021" w:type="dxa"/>
            <w:tcBorders>
              <w:top w:val="single" w:sz="4" w:space="0" w:color="666666"/>
              <w:left w:val="single" w:sz="4" w:space="0" w:color="666666"/>
              <w:bottom w:val="single" w:sz="4" w:space="0" w:color="666666"/>
              <w:right w:val="single" w:sz="4" w:space="0" w:color="666666"/>
            </w:tcBorders>
            <w:vAlign w:val="center"/>
          </w:tcPr>
          <w:p w14:paraId="06E938DD" w14:textId="77777777" w:rsidR="009A78D5" w:rsidRDefault="00000000">
            <w:pPr>
              <w:spacing w:after="0"/>
              <w:jc w:val="center"/>
            </w:pPr>
            <w:r>
              <w:rPr>
                <w:sz w:val="15"/>
              </w:rPr>
              <w:t>-1.766</w:t>
            </w:r>
          </w:p>
        </w:tc>
        <w:tc>
          <w:tcPr>
            <w:tcW w:w="2000" w:type="dxa"/>
            <w:tcBorders>
              <w:top w:val="single" w:sz="4" w:space="0" w:color="666666"/>
              <w:left w:val="single" w:sz="4" w:space="0" w:color="666666"/>
              <w:bottom w:val="single" w:sz="4" w:space="0" w:color="666666"/>
              <w:right w:val="single" w:sz="4" w:space="0" w:color="666666"/>
            </w:tcBorders>
            <w:vAlign w:val="center"/>
          </w:tcPr>
          <w:p w14:paraId="3C371A8D" w14:textId="77777777" w:rsidR="009A78D5" w:rsidRDefault="00000000">
            <w:pPr>
              <w:spacing w:after="0"/>
              <w:jc w:val="center"/>
            </w:pPr>
            <w:r>
              <w:rPr>
                <w:sz w:val="15"/>
              </w:rPr>
              <w:t>404</w:t>
            </w:r>
          </w:p>
        </w:tc>
        <w:tc>
          <w:tcPr>
            <w:tcW w:w="798" w:type="dxa"/>
            <w:tcBorders>
              <w:top w:val="single" w:sz="4" w:space="0" w:color="666666"/>
              <w:left w:val="single" w:sz="4" w:space="0" w:color="666666"/>
              <w:bottom w:val="single" w:sz="4" w:space="0" w:color="666666"/>
              <w:right w:val="single" w:sz="4" w:space="0" w:color="666666"/>
            </w:tcBorders>
            <w:vAlign w:val="center"/>
          </w:tcPr>
          <w:p w14:paraId="290269C4" w14:textId="77777777" w:rsidR="009A78D5" w:rsidRDefault="00000000">
            <w:pPr>
              <w:spacing w:after="0"/>
              <w:jc w:val="center"/>
            </w:pPr>
            <w:r>
              <w:rPr>
                <w:sz w:val="15"/>
              </w:rPr>
              <w:t>23</w:t>
            </w:r>
          </w:p>
        </w:tc>
        <w:tc>
          <w:tcPr>
            <w:tcW w:w="2021" w:type="dxa"/>
            <w:tcBorders>
              <w:top w:val="single" w:sz="4" w:space="0" w:color="666666"/>
              <w:left w:val="single" w:sz="4" w:space="0" w:color="666666"/>
              <w:bottom w:val="single" w:sz="4" w:space="0" w:color="666666"/>
              <w:right w:val="single" w:sz="4" w:space="0" w:color="666666"/>
            </w:tcBorders>
            <w:vAlign w:val="center"/>
          </w:tcPr>
          <w:p w14:paraId="5CA0562C" w14:textId="77777777" w:rsidR="009A78D5" w:rsidRDefault="00000000">
            <w:pPr>
              <w:spacing w:after="0"/>
              <w:jc w:val="center"/>
            </w:pPr>
            <w:r>
              <w:rPr>
                <w:sz w:val="15"/>
              </w:rPr>
              <w:t>3.734</w:t>
            </w:r>
          </w:p>
        </w:tc>
        <w:tc>
          <w:tcPr>
            <w:tcW w:w="1999" w:type="dxa"/>
            <w:tcBorders>
              <w:top w:val="single" w:sz="4" w:space="0" w:color="666666"/>
              <w:left w:val="single" w:sz="4" w:space="0" w:color="666666"/>
              <w:bottom w:val="single" w:sz="4" w:space="0" w:color="666666"/>
              <w:right w:val="single" w:sz="4" w:space="0" w:color="666666"/>
            </w:tcBorders>
            <w:vAlign w:val="center"/>
          </w:tcPr>
          <w:p w14:paraId="0E16CB40" w14:textId="77777777" w:rsidR="009A78D5" w:rsidRDefault="00000000">
            <w:pPr>
              <w:spacing w:after="0"/>
              <w:jc w:val="center"/>
            </w:pPr>
            <w:r>
              <w:rPr>
                <w:sz w:val="15"/>
              </w:rPr>
              <w:t>17,932</w:t>
            </w:r>
          </w:p>
        </w:tc>
      </w:tr>
      <w:tr w:rsidR="009A78D5" w14:paraId="70D4EA47"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B8BC487" w14:textId="77777777" w:rsidR="009A78D5" w:rsidRDefault="00000000">
            <w:pPr>
              <w:spacing w:after="0"/>
              <w:jc w:val="center"/>
            </w:pPr>
            <w:r>
              <w:rPr>
                <w:sz w:val="15"/>
              </w:rPr>
              <w:t>8</w:t>
            </w:r>
          </w:p>
        </w:tc>
        <w:tc>
          <w:tcPr>
            <w:tcW w:w="2021" w:type="dxa"/>
            <w:tcBorders>
              <w:top w:val="single" w:sz="4" w:space="0" w:color="666666"/>
              <w:left w:val="single" w:sz="4" w:space="0" w:color="666666"/>
              <w:bottom w:val="single" w:sz="4" w:space="0" w:color="666666"/>
              <w:right w:val="single" w:sz="4" w:space="0" w:color="666666"/>
            </w:tcBorders>
            <w:vAlign w:val="center"/>
          </w:tcPr>
          <w:p w14:paraId="5BFF2CEF" w14:textId="77777777" w:rsidR="009A78D5" w:rsidRDefault="00000000">
            <w:pPr>
              <w:spacing w:after="0"/>
              <w:jc w:val="center"/>
            </w:pPr>
            <w:r>
              <w:rPr>
                <w:sz w:val="15"/>
              </w:rPr>
              <w:t>-1.422</w:t>
            </w:r>
          </w:p>
        </w:tc>
        <w:tc>
          <w:tcPr>
            <w:tcW w:w="2000" w:type="dxa"/>
            <w:tcBorders>
              <w:top w:val="single" w:sz="4" w:space="0" w:color="666666"/>
              <w:left w:val="single" w:sz="4" w:space="0" w:color="666666"/>
              <w:bottom w:val="single" w:sz="4" w:space="0" w:color="666666"/>
              <w:right w:val="single" w:sz="4" w:space="0" w:color="666666"/>
            </w:tcBorders>
            <w:vAlign w:val="center"/>
          </w:tcPr>
          <w:p w14:paraId="676BA803" w14:textId="77777777" w:rsidR="009A78D5" w:rsidRDefault="00000000">
            <w:pPr>
              <w:spacing w:after="0"/>
              <w:jc w:val="center"/>
            </w:pPr>
            <w:r>
              <w:rPr>
                <w:sz w:val="15"/>
              </w:rPr>
              <w:t>2,241</w:t>
            </w:r>
          </w:p>
        </w:tc>
        <w:tc>
          <w:tcPr>
            <w:tcW w:w="798" w:type="dxa"/>
            <w:tcBorders>
              <w:top w:val="single" w:sz="4" w:space="0" w:color="666666"/>
              <w:left w:val="single" w:sz="4" w:space="0" w:color="666666"/>
              <w:bottom w:val="single" w:sz="4" w:space="0" w:color="666666"/>
              <w:right w:val="single" w:sz="4" w:space="0" w:color="666666"/>
            </w:tcBorders>
            <w:vAlign w:val="center"/>
          </w:tcPr>
          <w:p w14:paraId="2819571B" w14:textId="77777777" w:rsidR="009A78D5" w:rsidRDefault="00000000">
            <w:pPr>
              <w:spacing w:after="0"/>
              <w:jc w:val="center"/>
            </w:pPr>
            <w:r>
              <w:rPr>
                <w:sz w:val="15"/>
              </w:rPr>
              <w:t>24</w:t>
            </w:r>
          </w:p>
        </w:tc>
        <w:tc>
          <w:tcPr>
            <w:tcW w:w="2021" w:type="dxa"/>
            <w:tcBorders>
              <w:top w:val="single" w:sz="4" w:space="0" w:color="666666"/>
              <w:left w:val="single" w:sz="4" w:space="0" w:color="666666"/>
              <w:bottom w:val="single" w:sz="4" w:space="0" w:color="666666"/>
              <w:right w:val="single" w:sz="4" w:space="0" w:color="666666"/>
            </w:tcBorders>
            <w:vAlign w:val="center"/>
          </w:tcPr>
          <w:p w14:paraId="6F2F5C61" w14:textId="77777777" w:rsidR="009A78D5" w:rsidRDefault="00000000">
            <w:pPr>
              <w:spacing w:after="0"/>
              <w:jc w:val="center"/>
            </w:pPr>
            <w:r>
              <w:rPr>
                <w:sz w:val="15"/>
              </w:rPr>
              <w:t>4.078</w:t>
            </w:r>
          </w:p>
        </w:tc>
        <w:tc>
          <w:tcPr>
            <w:tcW w:w="1999" w:type="dxa"/>
            <w:tcBorders>
              <w:top w:val="single" w:sz="4" w:space="0" w:color="666666"/>
              <w:left w:val="single" w:sz="4" w:space="0" w:color="666666"/>
              <w:bottom w:val="single" w:sz="4" w:space="0" w:color="666666"/>
              <w:right w:val="single" w:sz="4" w:space="0" w:color="666666"/>
            </w:tcBorders>
            <w:vAlign w:val="center"/>
          </w:tcPr>
          <w:p w14:paraId="06F7F093" w14:textId="77777777" w:rsidR="009A78D5" w:rsidRDefault="00000000">
            <w:pPr>
              <w:spacing w:after="0"/>
              <w:jc w:val="center"/>
            </w:pPr>
            <w:r>
              <w:rPr>
                <w:sz w:val="15"/>
              </w:rPr>
              <w:t>10,741</w:t>
            </w:r>
          </w:p>
        </w:tc>
      </w:tr>
      <w:tr w:rsidR="009A78D5" w14:paraId="6FFB490D"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332C8C72" w14:textId="77777777" w:rsidR="009A78D5" w:rsidRDefault="00000000">
            <w:pPr>
              <w:spacing w:after="0"/>
              <w:jc w:val="center"/>
            </w:pPr>
            <w:r>
              <w:rPr>
                <w:sz w:val="15"/>
              </w:rPr>
              <w:t>9</w:t>
            </w:r>
          </w:p>
        </w:tc>
        <w:tc>
          <w:tcPr>
            <w:tcW w:w="2021" w:type="dxa"/>
            <w:tcBorders>
              <w:top w:val="single" w:sz="4" w:space="0" w:color="666666"/>
              <w:left w:val="single" w:sz="4" w:space="0" w:color="666666"/>
              <w:bottom w:val="single" w:sz="4" w:space="0" w:color="666666"/>
              <w:right w:val="single" w:sz="4" w:space="0" w:color="666666"/>
            </w:tcBorders>
            <w:vAlign w:val="center"/>
          </w:tcPr>
          <w:p w14:paraId="4F14C58F" w14:textId="77777777" w:rsidR="009A78D5" w:rsidRDefault="00000000">
            <w:pPr>
              <w:spacing w:after="0"/>
              <w:jc w:val="center"/>
            </w:pPr>
            <w:r>
              <w:rPr>
                <w:sz w:val="15"/>
              </w:rPr>
              <w:t>-1.078</w:t>
            </w:r>
          </w:p>
        </w:tc>
        <w:tc>
          <w:tcPr>
            <w:tcW w:w="2000" w:type="dxa"/>
            <w:tcBorders>
              <w:top w:val="single" w:sz="4" w:space="0" w:color="666666"/>
              <w:left w:val="single" w:sz="4" w:space="0" w:color="666666"/>
              <w:bottom w:val="single" w:sz="4" w:space="0" w:color="666666"/>
              <w:right w:val="single" w:sz="4" w:space="0" w:color="666666"/>
            </w:tcBorders>
            <w:vAlign w:val="center"/>
          </w:tcPr>
          <w:p w14:paraId="6AEBD81D" w14:textId="77777777" w:rsidR="009A78D5" w:rsidRDefault="00000000">
            <w:pPr>
              <w:spacing w:after="0"/>
              <w:jc w:val="center"/>
            </w:pPr>
            <w:r>
              <w:rPr>
                <w:sz w:val="15"/>
              </w:rPr>
              <w:t>15,111</w:t>
            </w:r>
          </w:p>
        </w:tc>
        <w:tc>
          <w:tcPr>
            <w:tcW w:w="798" w:type="dxa"/>
            <w:tcBorders>
              <w:top w:val="single" w:sz="4" w:space="0" w:color="666666"/>
              <w:left w:val="single" w:sz="4" w:space="0" w:color="666666"/>
              <w:bottom w:val="single" w:sz="4" w:space="0" w:color="666666"/>
              <w:right w:val="single" w:sz="4" w:space="0" w:color="666666"/>
            </w:tcBorders>
            <w:vAlign w:val="center"/>
          </w:tcPr>
          <w:p w14:paraId="74CEB037" w14:textId="77777777" w:rsidR="009A78D5" w:rsidRDefault="00000000">
            <w:pPr>
              <w:spacing w:after="0"/>
              <w:jc w:val="center"/>
            </w:pPr>
            <w:r>
              <w:rPr>
                <w:sz w:val="15"/>
              </w:rPr>
              <w:t>25</w:t>
            </w:r>
          </w:p>
        </w:tc>
        <w:tc>
          <w:tcPr>
            <w:tcW w:w="2021" w:type="dxa"/>
            <w:tcBorders>
              <w:top w:val="single" w:sz="4" w:space="0" w:color="666666"/>
              <w:left w:val="single" w:sz="4" w:space="0" w:color="666666"/>
              <w:bottom w:val="single" w:sz="4" w:space="0" w:color="666666"/>
              <w:right w:val="single" w:sz="4" w:space="0" w:color="666666"/>
            </w:tcBorders>
            <w:vAlign w:val="center"/>
          </w:tcPr>
          <w:p w14:paraId="384B2C89" w14:textId="77777777" w:rsidR="009A78D5" w:rsidRDefault="00000000">
            <w:pPr>
              <w:spacing w:after="0"/>
              <w:jc w:val="center"/>
            </w:pPr>
            <w:r>
              <w:rPr>
                <w:sz w:val="15"/>
              </w:rPr>
              <w:t>4.422</w:t>
            </w:r>
          </w:p>
        </w:tc>
        <w:tc>
          <w:tcPr>
            <w:tcW w:w="1999" w:type="dxa"/>
            <w:tcBorders>
              <w:top w:val="single" w:sz="4" w:space="0" w:color="666666"/>
              <w:left w:val="single" w:sz="4" w:space="0" w:color="666666"/>
              <w:bottom w:val="single" w:sz="4" w:space="0" w:color="666666"/>
              <w:right w:val="single" w:sz="4" w:space="0" w:color="666666"/>
            </w:tcBorders>
            <w:vAlign w:val="center"/>
          </w:tcPr>
          <w:p w14:paraId="36F855AB" w14:textId="77777777" w:rsidR="009A78D5" w:rsidRDefault="00000000">
            <w:pPr>
              <w:spacing w:after="0"/>
              <w:jc w:val="center"/>
            </w:pPr>
            <w:r>
              <w:rPr>
                <w:sz w:val="15"/>
              </w:rPr>
              <w:t>4,965</w:t>
            </w:r>
          </w:p>
        </w:tc>
      </w:tr>
      <w:tr w:rsidR="009A78D5" w14:paraId="30645FDF"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62E5FF3" w14:textId="77777777" w:rsidR="009A78D5" w:rsidRDefault="00000000">
            <w:pPr>
              <w:spacing w:after="0"/>
              <w:jc w:val="center"/>
            </w:pPr>
            <w:r>
              <w:rPr>
                <w:sz w:val="15"/>
              </w:rPr>
              <w:t>10</w:t>
            </w:r>
          </w:p>
        </w:tc>
        <w:tc>
          <w:tcPr>
            <w:tcW w:w="2021" w:type="dxa"/>
            <w:tcBorders>
              <w:top w:val="single" w:sz="4" w:space="0" w:color="666666"/>
              <w:left w:val="single" w:sz="4" w:space="0" w:color="666666"/>
              <w:bottom w:val="single" w:sz="4" w:space="0" w:color="666666"/>
              <w:right w:val="single" w:sz="4" w:space="0" w:color="666666"/>
            </w:tcBorders>
            <w:vAlign w:val="center"/>
          </w:tcPr>
          <w:p w14:paraId="0C23BA3B" w14:textId="77777777" w:rsidR="009A78D5" w:rsidRDefault="00000000">
            <w:pPr>
              <w:spacing w:after="0"/>
              <w:jc w:val="center"/>
            </w:pPr>
            <w:r>
              <w:rPr>
                <w:sz w:val="15"/>
              </w:rPr>
              <w:t>-0.734</w:t>
            </w:r>
          </w:p>
        </w:tc>
        <w:tc>
          <w:tcPr>
            <w:tcW w:w="2000" w:type="dxa"/>
            <w:tcBorders>
              <w:top w:val="single" w:sz="4" w:space="0" w:color="666666"/>
              <w:left w:val="single" w:sz="4" w:space="0" w:color="666666"/>
              <w:bottom w:val="single" w:sz="4" w:space="0" w:color="666666"/>
              <w:right w:val="single" w:sz="4" w:space="0" w:color="666666"/>
            </w:tcBorders>
            <w:vAlign w:val="center"/>
          </w:tcPr>
          <w:p w14:paraId="51AC31D0" w14:textId="77777777" w:rsidR="009A78D5" w:rsidRDefault="00000000">
            <w:pPr>
              <w:spacing w:after="0"/>
              <w:jc w:val="center"/>
            </w:pPr>
            <w:r>
              <w:rPr>
                <w:sz w:val="15"/>
              </w:rPr>
              <w:t>258,197</w:t>
            </w:r>
          </w:p>
        </w:tc>
        <w:tc>
          <w:tcPr>
            <w:tcW w:w="798" w:type="dxa"/>
            <w:tcBorders>
              <w:top w:val="single" w:sz="4" w:space="0" w:color="666666"/>
              <w:left w:val="single" w:sz="4" w:space="0" w:color="666666"/>
              <w:bottom w:val="single" w:sz="4" w:space="0" w:color="666666"/>
              <w:right w:val="single" w:sz="4" w:space="0" w:color="666666"/>
            </w:tcBorders>
            <w:vAlign w:val="center"/>
          </w:tcPr>
          <w:p w14:paraId="55FFE43C" w14:textId="77777777" w:rsidR="009A78D5" w:rsidRDefault="00000000">
            <w:pPr>
              <w:spacing w:after="0"/>
              <w:jc w:val="center"/>
            </w:pPr>
            <w:r>
              <w:rPr>
                <w:sz w:val="15"/>
              </w:rPr>
              <w:t>26</w:t>
            </w:r>
          </w:p>
        </w:tc>
        <w:tc>
          <w:tcPr>
            <w:tcW w:w="2021" w:type="dxa"/>
            <w:tcBorders>
              <w:top w:val="single" w:sz="4" w:space="0" w:color="666666"/>
              <w:left w:val="single" w:sz="4" w:space="0" w:color="666666"/>
              <w:bottom w:val="single" w:sz="4" w:space="0" w:color="666666"/>
              <w:right w:val="single" w:sz="4" w:space="0" w:color="666666"/>
            </w:tcBorders>
            <w:vAlign w:val="center"/>
          </w:tcPr>
          <w:p w14:paraId="54E3AC4F" w14:textId="77777777" w:rsidR="009A78D5" w:rsidRDefault="00000000">
            <w:pPr>
              <w:spacing w:after="0"/>
              <w:jc w:val="center"/>
            </w:pPr>
            <w:r>
              <w:rPr>
                <w:sz w:val="15"/>
              </w:rPr>
              <w:t>4.766</w:t>
            </w:r>
          </w:p>
        </w:tc>
        <w:tc>
          <w:tcPr>
            <w:tcW w:w="1999" w:type="dxa"/>
            <w:tcBorders>
              <w:top w:val="single" w:sz="4" w:space="0" w:color="666666"/>
              <w:left w:val="single" w:sz="4" w:space="0" w:color="666666"/>
              <w:bottom w:val="single" w:sz="4" w:space="0" w:color="666666"/>
              <w:right w:val="single" w:sz="4" w:space="0" w:color="666666"/>
            </w:tcBorders>
            <w:vAlign w:val="center"/>
          </w:tcPr>
          <w:p w14:paraId="3D563CB9" w14:textId="77777777" w:rsidR="009A78D5" w:rsidRDefault="00000000">
            <w:pPr>
              <w:spacing w:after="0"/>
              <w:jc w:val="center"/>
            </w:pPr>
            <w:r>
              <w:rPr>
                <w:sz w:val="15"/>
              </w:rPr>
              <w:t>1,411</w:t>
            </w:r>
          </w:p>
        </w:tc>
      </w:tr>
      <w:tr w:rsidR="009A78D5" w14:paraId="772D1B8B"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5BEBF9D" w14:textId="77777777" w:rsidR="009A78D5" w:rsidRDefault="00000000">
            <w:pPr>
              <w:spacing w:after="0"/>
              <w:jc w:val="center"/>
            </w:pPr>
            <w:r>
              <w:rPr>
                <w:sz w:val="15"/>
              </w:rPr>
              <w:t>11</w:t>
            </w:r>
          </w:p>
        </w:tc>
        <w:tc>
          <w:tcPr>
            <w:tcW w:w="2021" w:type="dxa"/>
            <w:tcBorders>
              <w:top w:val="single" w:sz="4" w:space="0" w:color="666666"/>
              <w:left w:val="single" w:sz="4" w:space="0" w:color="666666"/>
              <w:bottom w:val="single" w:sz="4" w:space="0" w:color="666666"/>
              <w:right w:val="single" w:sz="4" w:space="0" w:color="666666"/>
            </w:tcBorders>
            <w:vAlign w:val="center"/>
          </w:tcPr>
          <w:p w14:paraId="51C99618" w14:textId="77777777" w:rsidR="009A78D5" w:rsidRDefault="00000000">
            <w:pPr>
              <w:spacing w:after="0"/>
              <w:jc w:val="center"/>
            </w:pPr>
            <w:r>
              <w:rPr>
                <w:sz w:val="15"/>
              </w:rPr>
              <w:t>-0.391</w:t>
            </w:r>
          </w:p>
        </w:tc>
        <w:tc>
          <w:tcPr>
            <w:tcW w:w="2000" w:type="dxa"/>
            <w:tcBorders>
              <w:top w:val="single" w:sz="4" w:space="0" w:color="666666"/>
              <w:left w:val="single" w:sz="4" w:space="0" w:color="666666"/>
              <w:bottom w:val="single" w:sz="4" w:space="0" w:color="666666"/>
              <w:right w:val="single" w:sz="4" w:space="0" w:color="666666"/>
            </w:tcBorders>
            <w:vAlign w:val="center"/>
          </w:tcPr>
          <w:p w14:paraId="3D8FE911" w14:textId="77777777" w:rsidR="009A78D5" w:rsidRDefault="00000000">
            <w:pPr>
              <w:spacing w:after="0"/>
              <w:jc w:val="center"/>
            </w:pPr>
            <w:r>
              <w:rPr>
                <w:sz w:val="15"/>
              </w:rPr>
              <w:t>1,229,659</w:t>
            </w:r>
          </w:p>
        </w:tc>
        <w:tc>
          <w:tcPr>
            <w:tcW w:w="798" w:type="dxa"/>
            <w:tcBorders>
              <w:top w:val="single" w:sz="4" w:space="0" w:color="666666"/>
              <w:left w:val="single" w:sz="4" w:space="0" w:color="666666"/>
              <w:bottom w:val="single" w:sz="4" w:space="0" w:color="666666"/>
              <w:right w:val="single" w:sz="4" w:space="0" w:color="666666"/>
            </w:tcBorders>
            <w:vAlign w:val="center"/>
          </w:tcPr>
          <w:p w14:paraId="54ECFC8D" w14:textId="77777777" w:rsidR="009A78D5" w:rsidRDefault="00000000">
            <w:pPr>
              <w:spacing w:after="0"/>
              <w:jc w:val="center"/>
            </w:pPr>
            <w:r>
              <w:rPr>
                <w:sz w:val="15"/>
              </w:rPr>
              <w:t>27</w:t>
            </w:r>
          </w:p>
        </w:tc>
        <w:tc>
          <w:tcPr>
            <w:tcW w:w="2021" w:type="dxa"/>
            <w:tcBorders>
              <w:top w:val="single" w:sz="4" w:space="0" w:color="666666"/>
              <w:left w:val="single" w:sz="4" w:space="0" w:color="666666"/>
              <w:bottom w:val="single" w:sz="4" w:space="0" w:color="666666"/>
              <w:right w:val="single" w:sz="4" w:space="0" w:color="666666"/>
            </w:tcBorders>
            <w:vAlign w:val="center"/>
          </w:tcPr>
          <w:p w14:paraId="22A1A316" w14:textId="77777777" w:rsidR="009A78D5" w:rsidRDefault="00000000">
            <w:pPr>
              <w:spacing w:after="0"/>
              <w:jc w:val="center"/>
            </w:pPr>
            <w:r>
              <w:rPr>
                <w:sz w:val="15"/>
              </w:rPr>
              <w:t>5.109</w:t>
            </w:r>
          </w:p>
        </w:tc>
        <w:tc>
          <w:tcPr>
            <w:tcW w:w="1999" w:type="dxa"/>
            <w:tcBorders>
              <w:top w:val="single" w:sz="4" w:space="0" w:color="666666"/>
              <w:left w:val="single" w:sz="4" w:space="0" w:color="666666"/>
              <w:bottom w:val="single" w:sz="4" w:space="0" w:color="666666"/>
              <w:right w:val="single" w:sz="4" w:space="0" w:color="666666"/>
            </w:tcBorders>
            <w:vAlign w:val="center"/>
          </w:tcPr>
          <w:p w14:paraId="2DFA521E" w14:textId="77777777" w:rsidR="009A78D5" w:rsidRDefault="00000000">
            <w:pPr>
              <w:spacing w:after="0"/>
              <w:jc w:val="center"/>
            </w:pPr>
            <w:r>
              <w:rPr>
                <w:sz w:val="15"/>
              </w:rPr>
              <w:t>451</w:t>
            </w:r>
          </w:p>
        </w:tc>
      </w:tr>
      <w:tr w:rsidR="009A78D5" w14:paraId="2360A783"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8868AC0" w14:textId="77777777" w:rsidR="009A78D5" w:rsidRDefault="00000000">
            <w:pPr>
              <w:spacing w:after="0"/>
              <w:jc w:val="center"/>
            </w:pPr>
            <w:r>
              <w:rPr>
                <w:sz w:val="15"/>
              </w:rPr>
              <w:t>12</w:t>
            </w:r>
          </w:p>
        </w:tc>
        <w:tc>
          <w:tcPr>
            <w:tcW w:w="2021" w:type="dxa"/>
            <w:tcBorders>
              <w:top w:val="single" w:sz="4" w:space="0" w:color="666666"/>
              <w:left w:val="single" w:sz="4" w:space="0" w:color="666666"/>
              <w:bottom w:val="single" w:sz="4" w:space="0" w:color="666666"/>
              <w:right w:val="single" w:sz="4" w:space="0" w:color="666666"/>
            </w:tcBorders>
            <w:vAlign w:val="center"/>
          </w:tcPr>
          <w:p w14:paraId="7C85A6E9" w14:textId="77777777" w:rsidR="009A78D5" w:rsidRDefault="00000000">
            <w:pPr>
              <w:spacing w:after="0"/>
              <w:jc w:val="center"/>
            </w:pPr>
            <w:r>
              <w:rPr>
                <w:sz w:val="15"/>
              </w:rPr>
              <w:t>-0.047</w:t>
            </w:r>
          </w:p>
        </w:tc>
        <w:tc>
          <w:tcPr>
            <w:tcW w:w="2000" w:type="dxa"/>
            <w:tcBorders>
              <w:top w:val="single" w:sz="4" w:space="0" w:color="666666"/>
              <w:left w:val="single" w:sz="4" w:space="0" w:color="666666"/>
              <w:bottom w:val="single" w:sz="4" w:space="0" w:color="666666"/>
              <w:right w:val="single" w:sz="4" w:space="0" w:color="666666"/>
            </w:tcBorders>
            <w:vAlign w:val="center"/>
          </w:tcPr>
          <w:p w14:paraId="2E613D92" w14:textId="77777777" w:rsidR="009A78D5" w:rsidRDefault="00000000">
            <w:pPr>
              <w:spacing w:after="0"/>
              <w:jc w:val="center"/>
            </w:pPr>
            <w:r>
              <w:rPr>
                <w:sz w:val="15"/>
              </w:rPr>
              <w:t>776,762</w:t>
            </w:r>
          </w:p>
        </w:tc>
        <w:tc>
          <w:tcPr>
            <w:tcW w:w="798" w:type="dxa"/>
            <w:tcBorders>
              <w:top w:val="single" w:sz="4" w:space="0" w:color="666666"/>
              <w:left w:val="single" w:sz="4" w:space="0" w:color="666666"/>
              <w:bottom w:val="single" w:sz="4" w:space="0" w:color="666666"/>
              <w:right w:val="single" w:sz="4" w:space="0" w:color="666666"/>
            </w:tcBorders>
            <w:vAlign w:val="center"/>
          </w:tcPr>
          <w:p w14:paraId="6383C681" w14:textId="77777777" w:rsidR="009A78D5" w:rsidRDefault="00000000">
            <w:pPr>
              <w:spacing w:after="0"/>
              <w:jc w:val="center"/>
            </w:pPr>
            <w:r>
              <w:rPr>
                <w:sz w:val="15"/>
              </w:rPr>
              <w:t>28</w:t>
            </w:r>
          </w:p>
        </w:tc>
        <w:tc>
          <w:tcPr>
            <w:tcW w:w="2021" w:type="dxa"/>
            <w:tcBorders>
              <w:top w:val="single" w:sz="4" w:space="0" w:color="666666"/>
              <w:left w:val="single" w:sz="4" w:space="0" w:color="666666"/>
              <w:bottom w:val="single" w:sz="4" w:space="0" w:color="666666"/>
              <w:right w:val="single" w:sz="4" w:space="0" w:color="666666"/>
            </w:tcBorders>
            <w:vAlign w:val="center"/>
          </w:tcPr>
          <w:p w14:paraId="5163331B" w14:textId="77777777" w:rsidR="009A78D5" w:rsidRDefault="00000000">
            <w:pPr>
              <w:spacing w:after="0"/>
              <w:jc w:val="center"/>
            </w:pPr>
            <w:r>
              <w:rPr>
                <w:sz w:val="15"/>
              </w:rPr>
              <w:t>5.453</w:t>
            </w:r>
          </w:p>
        </w:tc>
        <w:tc>
          <w:tcPr>
            <w:tcW w:w="1999" w:type="dxa"/>
            <w:tcBorders>
              <w:top w:val="single" w:sz="4" w:space="0" w:color="666666"/>
              <w:left w:val="single" w:sz="4" w:space="0" w:color="666666"/>
              <w:bottom w:val="single" w:sz="4" w:space="0" w:color="666666"/>
              <w:right w:val="single" w:sz="4" w:space="0" w:color="666666"/>
            </w:tcBorders>
            <w:vAlign w:val="center"/>
          </w:tcPr>
          <w:p w14:paraId="65AC7064" w14:textId="77777777" w:rsidR="009A78D5" w:rsidRDefault="00000000">
            <w:pPr>
              <w:spacing w:after="0"/>
              <w:jc w:val="center"/>
            </w:pPr>
            <w:r>
              <w:rPr>
                <w:sz w:val="15"/>
              </w:rPr>
              <w:t>107</w:t>
            </w:r>
          </w:p>
        </w:tc>
      </w:tr>
      <w:tr w:rsidR="009A78D5" w14:paraId="6517540F"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4E0717BE" w14:textId="77777777" w:rsidR="009A78D5" w:rsidRDefault="00000000">
            <w:pPr>
              <w:spacing w:after="0"/>
              <w:jc w:val="center"/>
            </w:pPr>
            <w:r>
              <w:rPr>
                <w:sz w:val="15"/>
              </w:rPr>
              <w:t>13</w:t>
            </w:r>
          </w:p>
        </w:tc>
        <w:tc>
          <w:tcPr>
            <w:tcW w:w="2021" w:type="dxa"/>
            <w:tcBorders>
              <w:top w:val="single" w:sz="4" w:space="0" w:color="666666"/>
              <w:left w:val="single" w:sz="4" w:space="0" w:color="666666"/>
              <w:bottom w:val="single" w:sz="4" w:space="0" w:color="666666"/>
              <w:right w:val="single" w:sz="4" w:space="0" w:color="666666"/>
            </w:tcBorders>
            <w:vAlign w:val="center"/>
          </w:tcPr>
          <w:p w14:paraId="0126B4FC" w14:textId="77777777" w:rsidR="009A78D5" w:rsidRDefault="00000000">
            <w:pPr>
              <w:spacing w:after="0"/>
              <w:jc w:val="center"/>
            </w:pPr>
            <w:r>
              <w:rPr>
                <w:sz w:val="15"/>
              </w:rPr>
              <w:t>0.297</w:t>
            </w:r>
          </w:p>
        </w:tc>
        <w:tc>
          <w:tcPr>
            <w:tcW w:w="2000" w:type="dxa"/>
            <w:tcBorders>
              <w:top w:val="single" w:sz="4" w:space="0" w:color="666666"/>
              <w:left w:val="single" w:sz="4" w:space="0" w:color="666666"/>
              <w:bottom w:val="single" w:sz="4" w:space="0" w:color="666666"/>
              <w:right w:val="single" w:sz="4" w:space="0" w:color="666666"/>
            </w:tcBorders>
            <w:vAlign w:val="center"/>
          </w:tcPr>
          <w:p w14:paraId="44F9DCAC" w14:textId="77777777" w:rsidR="009A78D5" w:rsidRDefault="00000000">
            <w:pPr>
              <w:spacing w:after="0"/>
              <w:jc w:val="center"/>
            </w:pPr>
            <w:r>
              <w:rPr>
                <w:sz w:val="15"/>
              </w:rPr>
              <w:t>880,781</w:t>
            </w:r>
          </w:p>
        </w:tc>
        <w:tc>
          <w:tcPr>
            <w:tcW w:w="798" w:type="dxa"/>
            <w:tcBorders>
              <w:top w:val="single" w:sz="4" w:space="0" w:color="666666"/>
              <w:left w:val="single" w:sz="4" w:space="0" w:color="666666"/>
              <w:bottom w:val="single" w:sz="4" w:space="0" w:color="666666"/>
              <w:right w:val="single" w:sz="4" w:space="0" w:color="666666"/>
            </w:tcBorders>
            <w:vAlign w:val="center"/>
          </w:tcPr>
          <w:p w14:paraId="40938402" w14:textId="77777777" w:rsidR="009A78D5" w:rsidRDefault="00000000">
            <w:pPr>
              <w:spacing w:after="0"/>
              <w:jc w:val="center"/>
            </w:pPr>
            <w:r>
              <w:rPr>
                <w:sz w:val="15"/>
              </w:rPr>
              <w:t>29</w:t>
            </w:r>
          </w:p>
        </w:tc>
        <w:tc>
          <w:tcPr>
            <w:tcW w:w="2021" w:type="dxa"/>
            <w:tcBorders>
              <w:top w:val="single" w:sz="4" w:space="0" w:color="666666"/>
              <w:left w:val="single" w:sz="4" w:space="0" w:color="666666"/>
              <w:bottom w:val="single" w:sz="4" w:space="0" w:color="666666"/>
              <w:right w:val="single" w:sz="4" w:space="0" w:color="666666"/>
            </w:tcBorders>
            <w:vAlign w:val="center"/>
          </w:tcPr>
          <w:p w14:paraId="763C17A4" w14:textId="77777777" w:rsidR="009A78D5" w:rsidRDefault="00000000">
            <w:pPr>
              <w:spacing w:after="0"/>
              <w:jc w:val="center"/>
            </w:pPr>
            <w:r>
              <w:rPr>
                <w:sz w:val="15"/>
              </w:rPr>
              <w:t>5.797</w:t>
            </w:r>
          </w:p>
        </w:tc>
        <w:tc>
          <w:tcPr>
            <w:tcW w:w="1999" w:type="dxa"/>
            <w:tcBorders>
              <w:top w:val="single" w:sz="4" w:space="0" w:color="666666"/>
              <w:left w:val="single" w:sz="4" w:space="0" w:color="666666"/>
              <w:bottom w:val="single" w:sz="4" w:space="0" w:color="666666"/>
              <w:right w:val="single" w:sz="4" w:space="0" w:color="666666"/>
            </w:tcBorders>
            <w:vAlign w:val="center"/>
          </w:tcPr>
          <w:p w14:paraId="7A63E363" w14:textId="77777777" w:rsidR="009A78D5" w:rsidRDefault="00000000">
            <w:pPr>
              <w:spacing w:after="0"/>
              <w:jc w:val="center"/>
            </w:pPr>
            <w:r>
              <w:rPr>
                <w:sz w:val="15"/>
              </w:rPr>
              <w:t>28</w:t>
            </w:r>
          </w:p>
        </w:tc>
      </w:tr>
      <w:tr w:rsidR="009A78D5" w14:paraId="462CFC4A"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4B00B078" w14:textId="77777777" w:rsidR="009A78D5" w:rsidRDefault="00000000">
            <w:pPr>
              <w:spacing w:after="0"/>
              <w:jc w:val="center"/>
            </w:pPr>
            <w:r>
              <w:rPr>
                <w:sz w:val="15"/>
              </w:rPr>
              <w:t>14</w:t>
            </w:r>
          </w:p>
        </w:tc>
        <w:tc>
          <w:tcPr>
            <w:tcW w:w="2021" w:type="dxa"/>
            <w:tcBorders>
              <w:top w:val="single" w:sz="4" w:space="0" w:color="666666"/>
              <w:left w:val="single" w:sz="4" w:space="0" w:color="666666"/>
              <w:bottom w:val="single" w:sz="4" w:space="0" w:color="666666"/>
              <w:right w:val="single" w:sz="4" w:space="0" w:color="666666"/>
            </w:tcBorders>
            <w:vAlign w:val="center"/>
          </w:tcPr>
          <w:p w14:paraId="747ED072" w14:textId="77777777" w:rsidR="009A78D5" w:rsidRDefault="00000000">
            <w:pPr>
              <w:spacing w:after="0"/>
              <w:jc w:val="center"/>
            </w:pPr>
            <w:r>
              <w:rPr>
                <w:sz w:val="15"/>
              </w:rPr>
              <w:t>0.641</w:t>
            </w:r>
          </w:p>
        </w:tc>
        <w:tc>
          <w:tcPr>
            <w:tcW w:w="2000" w:type="dxa"/>
            <w:tcBorders>
              <w:top w:val="single" w:sz="4" w:space="0" w:color="666666"/>
              <w:left w:val="single" w:sz="4" w:space="0" w:color="666666"/>
              <w:bottom w:val="single" w:sz="4" w:space="0" w:color="666666"/>
              <w:right w:val="single" w:sz="4" w:space="0" w:color="666666"/>
            </w:tcBorders>
            <w:vAlign w:val="center"/>
          </w:tcPr>
          <w:p w14:paraId="400F91FC" w14:textId="77777777" w:rsidR="009A78D5" w:rsidRDefault="00000000">
            <w:pPr>
              <w:spacing w:after="0"/>
              <w:jc w:val="center"/>
            </w:pPr>
            <w:r>
              <w:rPr>
                <w:sz w:val="15"/>
              </w:rPr>
              <w:t>7,638,649</w:t>
            </w:r>
          </w:p>
        </w:tc>
        <w:tc>
          <w:tcPr>
            <w:tcW w:w="798" w:type="dxa"/>
            <w:tcBorders>
              <w:top w:val="single" w:sz="4" w:space="0" w:color="666666"/>
              <w:left w:val="single" w:sz="4" w:space="0" w:color="666666"/>
              <w:bottom w:val="single" w:sz="4" w:space="0" w:color="666666"/>
              <w:right w:val="single" w:sz="4" w:space="0" w:color="666666"/>
            </w:tcBorders>
            <w:vAlign w:val="center"/>
          </w:tcPr>
          <w:p w14:paraId="30605208" w14:textId="77777777" w:rsidR="009A78D5" w:rsidRDefault="00000000">
            <w:pPr>
              <w:spacing w:after="0"/>
              <w:jc w:val="center"/>
            </w:pPr>
            <w:r>
              <w:rPr>
                <w:sz w:val="15"/>
              </w:rPr>
              <w:t>30</w:t>
            </w:r>
          </w:p>
        </w:tc>
        <w:tc>
          <w:tcPr>
            <w:tcW w:w="2021" w:type="dxa"/>
            <w:tcBorders>
              <w:top w:val="single" w:sz="4" w:space="0" w:color="666666"/>
              <w:left w:val="single" w:sz="4" w:space="0" w:color="666666"/>
              <w:bottom w:val="single" w:sz="4" w:space="0" w:color="666666"/>
              <w:right w:val="single" w:sz="4" w:space="0" w:color="666666"/>
            </w:tcBorders>
            <w:vAlign w:val="center"/>
          </w:tcPr>
          <w:p w14:paraId="7A37BC71" w14:textId="77777777" w:rsidR="009A78D5" w:rsidRDefault="00000000">
            <w:pPr>
              <w:spacing w:after="0"/>
              <w:jc w:val="center"/>
            </w:pPr>
            <w:r>
              <w:rPr>
                <w:sz w:val="15"/>
              </w:rPr>
              <w:t>6.141</w:t>
            </w:r>
          </w:p>
        </w:tc>
        <w:tc>
          <w:tcPr>
            <w:tcW w:w="1999" w:type="dxa"/>
            <w:tcBorders>
              <w:top w:val="single" w:sz="4" w:space="0" w:color="666666"/>
              <w:left w:val="single" w:sz="4" w:space="0" w:color="666666"/>
              <w:bottom w:val="single" w:sz="4" w:space="0" w:color="666666"/>
              <w:right w:val="single" w:sz="4" w:space="0" w:color="666666"/>
            </w:tcBorders>
            <w:vAlign w:val="center"/>
          </w:tcPr>
          <w:p w14:paraId="47453C74" w14:textId="77777777" w:rsidR="009A78D5" w:rsidRDefault="00000000">
            <w:pPr>
              <w:spacing w:after="0"/>
              <w:jc w:val="center"/>
            </w:pPr>
            <w:r>
              <w:rPr>
                <w:sz w:val="15"/>
              </w:rPr>
              <w:t>9</w:t>
            </w:r>
          </w:p>
        </w:tc>
      </w:tr>
      <w:tr w:rsidR="009A78D5" w14:paraId="740AEA10"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46D78E08" w14:textId="77777777" w:rsidR="009A78D5" w:rsidRDefault="00000000">
            <w:pPr>
              <w:spacing w:after="0"/>
              <w:jc w:val="center"/>
            </w:pPr>
            <w:r>
              <w:rPr>
                <w:sz w:val="15"/>
              </w:rPr>
              <w:t>15</w:t>
            </w:r>
          </w:p>
        </w:tc>
        <w:tc>
          <w:tcPr>
            <w:tcW w:w="2021" w:type="dxa"/>
            <w:tcBorders>
              <w:top w:val="single" w:sz="4" w:space="0" w:color="666666"/>
              <w:left w:val="single" w:sz="4" w:space="0" w:color="666666"/>
              <w:bottom w:val="single" w:sz="4" w:space="0" w:color="666666"/>
              <w:right w:val="single" w:sz="4" w:space="0" w:color="666666"/>
            </w:tcBorders>
            <w:vAlign w:val="center"/>
          </w:tcPr>
          <w:p w14:paraId="56709901" w14:textId="77777777" w:rsidR="009A78D5" w:rsidRDefault="00000000">
            <w:pPr>
              <w:spacing w:after="0"/>
              <w:jc w:val="center"/>
            </w:pPr>
            <w:r>
              <w:rPr>
                <w:sz w:val="15"/>
              </w:rPr>
              <w:t>0.984</w:t>
            </w:r>
          </w:p>
        </w:tc>
        <w:tc>
          <w:tcPr>
            <w:tcW w:w="2000" w:type="dxa"/>
            <w:tcBorders>
              <w:top w:val="single" w:sz="4" w:space="0" w:color="666666"/>
              <w:left w:val="single" w:sz="4" w:space="0" w:color="666666"/>
              <w:bottom w:val="single" w:sz="4" w:space="0" w:color="666666"/>
              <w:right w:val="single" w:sz="4" w:space="0" w:color="666666"/>
            </w:tcBorders>
            <w:vAlign w:val="center"/>
          </w:tcPr>
          <w:p w14:paraId="38AA9BDF" w14:textId="77777777" w:rsidR="009A78D5" w:rsidRDefault="00000000">
            <w:pPr>
              <w:spacing w:after="0"/>
              <w:jc w:val="center"/>
            </w:pPr>
            <w:r>
              <w:rPr>
                <w:sz w:val="15"/>
              </w:rPr>
              <w:t>7,615,484</w:t>
            </w:r>
          </w:p>
        </w:tc>
        <w:tc>
          <w:tcPr>
            <w:tcW w:w="798" w:type="dxa"/>
            <w:tcBorders>
              <w:top w:val="single" w:sz="4" w:space="0" w:color="666666"/>
              <w:left w:val="single" w:sz="4" w:space="0" w:color="666666"/>
              <w:bottom w:val="single" w:sz="4" w:space="0" w:color="666666"/>
              <w:right w:val="single" w:sz="4" w:space="0" w:color="666666"/>
            </w:tcBorders>
            <w:vAlign w:val="center"/>
          </w:tcPr>
          <w:p w14:paraId="042A920E" w14:textId="77777777" w:rsidR="009A78D5" w:rsidRDefault="00000000">
            <w:pPr>
              <w:spacing w:after="0"/>
              <w:jc w:val="center"/>
            </w:pPr>
            <w:r>
              <w:rPr>
                <w:sz w:val="15"/>
              </w:rPr>
              <w:t>31</w:t>
            </w:r>
          </w:p>
        </w:tc>
        <w:tc>
          <w:tcPr>
            <w:tcW w:w="2021" w:type="dxa"/>
            <w:tcBorders>
              <w:top w:val="single" w:sz="4" w:space="0" w:color="666666"/>
              <w:left w:val="single" w:sz="4" w:space="0" w:color="666666"/>
              <w:bottom w:val="single" w:sz="4" w:space="0" w:color="666666"/>
              <w:right w:val="single" w:sz="4" w:space="0" w:color="666666"/>
            </w:tcBorders>
            <w:vAlign w:val="center"/>
          </w:tcPr>
          <w:p w14:paraId="7031E6F8" w14:textId="77777777" w:rsidR="009A78D5" w:rsidRDefault="00000000">
            <w:pPr>
              <w:spacing w:after="0"/>
              <w:jc w:val="center"/>
            </w:pPr>
            <w:r>
              <w:rPr>
                <w:sz w:val="15"/>
              </w:rPr>
              <w:t>6.484</w:t>
            </w:r>
          </w:p>
        </w:tc>
        <w:tc>
          <w:tcPr>
            <w:tcW w:w="1999" w:type="dxa"/>
            <w:tcBorders>
              <w:top w:val="single" w:sz="4" w:space="0" w:color="666666"/>
              <w:left w:val="single" w:sz="4" w:space="0" w:color="666666"/>
              <w:bottom w:val="single" w:sz="4" w:space="0" w:color="666666"/>
              <w:right w:val="single" w:sz="4" w:space="0" w:color="666666"/>
            </w:tcBorders>
            <w:vAlign w:val="center"/>
          </w:tcPr>
          <w:p w14:paraId="4576A7A9" w14:textId="77777777" w:rsidR="009A78D5" w:rsidRDefault="00000000">
            <w:pPr>
              <w:spacing w:after="0"/>
              <w:jc w:val="center"/>
            </w:pPr>
            <w:r>
              <w:rPr>
                <w:sz w:val="15"/>
              </w:rPr>
              <w:t>0</w:t>
            </w:r>
          </w:p>
        </w:tc>
      </w:tr>
      <w:tr w:rsidR="009A78D5" w14:paraId="40B9D26F"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61C268B0" w14:textId="77777777" w:rsidR="009A78D5" w:rsidRDefault="00000000">
            <w:pPr>
              <w:spacing w:after="0"/>
              <w:jc w:val="center"/>
            </w:pPr>
            <w:r>
              <w:rPr>
                <w:sz w:val="15"/>
              </w:rPr>
              <w:t>16</w:t>
            </w:r>
          </w:p>
        </w:tc>
        <w:tc>
          <w:tcPr>
            <w:tcW w:w="2021" w:type="dxa"/>
            <w:tcBorders>
              <w:top w:val="single" w:sz="4" w:space="0" w:color="666666"/>
              <w:left w:val="single" w:sz="4" w:space="0" w:color="666666"/>
              <w:bottom w:val="single" w:sz="4" w:space="0" w:color="666666"/>
              <w:right w:val="single" w:sz="4" w:space="0" w:color="666666"/>
            </w:tcBorders>
            <w:vAlign w:val="center"/>
          </w:tcPr>
          <w:p w14:paraId="7A3711F5" w14:textId="77777777" w:rsidR="009A78D5" w:rsidRDefault="00000000">
            <w:pPr>
              <w:spacing w:after="0"/>
              <w:jc w:val="center"/>
            </w:pPr>
            <w:r>
              <w:rPr>
                <w:sz w:val="15"/>
              </w:rPr>
              <w:t>1.328</w:t>
            </w:r>
          </w:p>
        </w:tc>
        <w:tc>
          <w:tcPr>
            <w:tcW w:w="2000" w:type="dxa"/>
            <w:tcBorders>
              <w:top w:val="single" w:sz="4" w:space="0" w:color="666666"/>
              <w:left w:val="single" w:sz="4" w:space="0" w:color="666666"/>
              <w:bottom w:val="single" w:sz="4" w:space="0" w:color="666666"/>
              <w:right w:val="single" w:sz="4" w:space="0" w:color="666666"/>
            </w:tcBorders>
            <w:vAlign w:val="center"/>
          </w:tcPr>
          <w:p w14:paraId="2DB8E508" w14:textId="77777777" w:rsidR="009A78D5" w:rsidRDefault="00000000">
            <w:pPr>
              <w:spacing w:after="0"/>
              <w:jc w:val="center"/>
            </w:pPr>
            <w:r>
              <w:rPr>
                <w:sz w:val="15"/>
              </w:rPr>
              <w:t>5,018,617</w:t>
            </w:r>
          </w:p>
        </w:tc>
        <w:tc>
          <w:tcPr>
            <w:tcW w:w="798" w:type="dxa"/>
            <w:tcBorders>
              <w:top w:val="single" w:sz="4" w:space="0" w:color="666666"/>
              <w:left w:val="single" w:sz="4" w:space="0" w:color="666666"/>
              <w:bottom w:val="single" w:sz="4" w:space="0" w:color="666666"/>
              <w:right w:val="single" w:sz="4" w:space="0" w:color="666666"/>
            </w:tcBorders>
            <w:vAlign w:val="center"/>
          </w:tcPr>
          <w:p w14:paraId="293735A8" w14:textId="77777777" w:rsidR="009A78D5" w:rsidRDefault="00000000">
            <w:pPr>
              <w:spacing w:after="0"/>
              <w:jc w:val="center"/>
            </w:pPr>
            <w:r>
              <w:rPr>
                <w:sz w:val="15"/>
              </w:rPr>
              <w:t>32</w:t>
            </w:r>
          </w:p>
        </w:tc>
        <w:tc>
          <w:tcPr>
            <w:tcW w:w="2021" w:type="dxa"/>
            <w:tcBorders>
              <w:top w:val="single" w:sz="4" w:space="0" w:color="666666"/>
              <w:left w:val="single" w:sz="4" w:space="0" w:color="666666"/>
              <w:bottom w:val="single" w:sz="4" w:space="0" w:color="666666"/>
              <w:right w:val="single" w:sz="4" w:space="0" w:color="666666"/>
            </w:tcBorders>
            <w:vAlign w:val="center"/>
          </w:tcPr>
          <w:p w14:paraId="46122807" w14:textId="77777777" w:rsidR="009A78D5" w:rsidRDefault="00000000">
            <w:pPr>
              <w:spacing w:after="0"/>
              <w:jc w:val="center"/>
            </w:pPr>
            <w:r>
              <w:rPr>
                <w:sz w:val="15"/>
              </w:rPr>
              <w:t>6.828</w:t>
            </w:r>
          </w:p>
        </w:tc>
        <w:tc>
          <w:tcPr>
            <w:tcW w:w="1999" w:type="dxa"/>
            <w:tcBorders>
              <w:top w:val="single" w:sz="4" w:space="0" w:color="666666"/>
              <w:left w:val="single" w:sz="4" w:space="0" w:color="666666"/>
              <w:bottom w:val="single" w:sz="4" w:space="0" w:color="666666"/>
              <w:right w:val="single" w:sz="4" w:space="0" w:color="666666"/>
            </w:tcBorders>
            <w:vAlign w:val="center"/>
          </w:tcPr>
          <w:p w14:paraId="41965EA6" w14:textId="77777777" w:rsidR="009A78D5" w:rsidRDefault="00000000">
            <w:pPr>
              <w:spacing w:after="0"/>
              <w:jc w:val="center"/>
            </w:pPr>
            <w:r>
              <w:rPr>
                <w:sz w:val="15"/>
              </w:rPr>
              <w:t>0</w:t>
            </w:r>
            <w:bookmarkStart w:id="46" w:name="X76dde575269873fb860e149e919bd40d73b46e9"/>
            <w:bookmarkEnd w:id="46"/>
          </w:p>
        </w:tc>
      </w:tr>
    </w:tbl>
    <w:p w14:paraId="33CAB4C8" w14:textId="77777777" w:rsidR="00FC5004" w:rsidRDefault="00FC5004">
      <w:pPr>
        <w:pStyle w:val="Titre2"/>
        <w:rPr>
          <w:lang w:val="en-US"/>
        </w:rPr>
      </w:pPr>
    </w:p>
    <w:p w14:paraId="6FDD2F37" w14:textId="77777777" w:rsidR="009A78D5" w:rsidRPr="00FC5004" w:rsidRDefault="00000000">
      <w:pPr>
        <w:pStyle w:val="Titre2"/>
        <w:rPr>
          <w:lang w:val="en-US"/>
        </w:rPr>
      </w:pPr>
      <w:bookmarkStart w:id="47" w:name="_Toc235917351"/>
      <w:r>
        <w:rPr>
          <w:lang w:val="en-US"/>
        </w:rPr>
        <w:t>C.4 Validation against ABB.164 by Kossira &amp; Reinke (K&amp;R) class</w:t>
      </w:r>
      <w:bookmarkEnd w:id="47"/>
    </w:p>
    <w:p w14:paraId="13693B62" w14:textId="77777777" w:rsidR="009A78D5" w:rsidRPr="00FC5004" w:rsidRDefault="00000000">
      <w:pPr>
        <w:rPr>
          <w:lang w:val="en-US"/>
        </w:rPr>
      </w:pPr>
      <w:r>
        <w:rPr>
          <w:lang w:val="en-US"/>
        </w:rPr>
        <w:t>The generated ABB.163 spectrum was compared with the ABB.164 Utility occurrence curve digitized from the published graph. The comparison is performed by Kossira &amp; Reinke (K&amp;R) class index, not by using the imperfect digitized load-factor coordinates from the scanned figure.</w:t>
      </w:r>
    </w:p>
    <w:p w14:paraId="4717E675" w14:textId="77777777" w:rsidR="00FC5004" w:rsidRPr="00FC5004" w:rsidRDefault="00FC5004" w:rsidP="00FC5004">
      <w:pPr>
        <w:widowControl/>
        <w:suppressAutoHyphens w:val="0"/>
        <w:spacing w:before="100" w:beforeAutospacing="1" w:after="100" w:afterAutospacing="1"/>
        <w:rPr>
          <w:rFonts w:ascii="Times New Roman" w:eastAsia="Times New Roman" w:hAnsi="Times New Roman" w:cs="Times New Roman"/>
          <w:color w:val="auto"/>
          <w:sz w:val="24"/>
          <w:szCs w:val="24"/>
          <w:lang w:val="en-US"/>
        </w:rPr>
      </w:pPr>
      <w:r>
        <w:rPr>
          <w:rFonts w:ascii="Times New Roman" w:eastAsia="Times New Roman" w:hAnsi="Times New Roman" w:cs="Times New Roman"/>
          <w:noProof/>
          <w:color w:val="auto"/>
          <w:sz w:val="24"/>
          <w:szCs w:val="24"/>
          <w:lang w:val="en-US"/>
        </w:rPr>
        <w:lastRenderedPageBreak/>
        <w:drawing>
          <wp:inline distT="0" distB="0" distL="0" distR="0" wp14:anchorId="357892EC" wp14:editId="149B5FDB">
            <wp:extent cx="6182497" cy="4013200"/>
            <wp:effectExtent l="0" t="0" r="8890" b="6350"/>
            <wp:docPr id="1152998036" name="Picture 11529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0" y="0"/>
                      <a:ext cx="6201824" cy="4025746"/>
                    </a:xfrm>
                    <a:prstGeom prst="rect">
                      <a:avLst/>
                    </a:prstGeom>
                    <a:noFill/>
                    <a:ln>
                      <a:noFill/>
                    </a:ln>
                  </pic:spPr>
                </pic:pic>
              </a:graphicData>
            </a:graphic>
          </wp:inline>
        </w:drawing>
      </w:r>
    </w:p>
    <w:p w14:paraId="7AF0F7C2" w14:textId="77777777" w:rsidR="00FC5004" w:rsidRPr="00FC5004" w:rsidRDefault="00FC5004">
      <w:pPr>
        <w:rPr>
          <w:lang w:val="en-US"/>
        </w:rPr>
      </w:pPr>
    </w:p>
    <w:p w14:paraId="095DC4D7" w14:textId="77777777" w:rsidR="00333BBB" w:rsidRDefault="00333BBB">
      <w:pPr>
        <w:rPr>
          <w:lang w:val="en-US"/>
        </w:rPr>
      </w:pPr>
    </w:p>
    <w:p w14:paraId="6D552D37" w14:textId="77777777" w:rsidR="009A78D5" w:rsidRPr="00FC5004" w:rsidRDefault="00000000">
      <w:pPr>
        <w:rPr>
          <w:lang w:val="en-US"/>
        </w:rPr>
      </w:pPr>
      <w:r>
        <w:rPr>
          <w:lang w:val="en-US"/>
        </w:rPr>
        <w:t>The comparison statistics are:</w:t>
      </w:r>
    </w:p>
    <w:p w14:paraId="77B49143" w14:textId="77777777" w:rsidR="009A78D5" w:rsidRPr="00FC5004" w:rsidRDefault="00000000">
      <w:pPr>
        <w:pStyle w:val="SourceCode"/>
        <w:rPr>
          <w:lang w:val="en-US"/>
        </w:rPr>
      </w:pPr>
      <w:r>
        <w:rPr>
          <w:lang w:val="en-US"/>
        </w:rPr>
        <w:t>Compared points:                      27</w:t>
      </w:r>
      <w:r>
        <w:rPr>
          <w:lang w:val="en-US"/>
        </w:rPr>
        <w:br/>
        <w:t>Median absolute relative difference:   2.7 %</w:t>
      </w:r>
      <w:r>
        <w:rPr>
          <w:lang w:val="en-US"/>
        </w:rPr>
        <w:br/>
        <w:t>Mean absolute relative difference:     2.9 %</w:t>
      </w:r>
      <w:r>
        <w:rPr>
          <w:lang w:val="en-US"/>
        </w:rPr>
        <w:br/>
        <w:t>Maximum absolute relative difference:  10.0 %</w:t>
      </w:r>
      <w:r>
        <w:rPr>
          <w:lang w:val="en-US"/>
        </w:rPr>
        <w:br/>
        <w:t>Points within ±5 %:                   25 / 27</w:t>
      </w:r>
      <w:r>
        <w:rPr>
          <w:lang w:val="en-US"/>
        </w:rPr>
        <w:br/>
        <w:t>Points within ±10 %:                  27 / 27</w:t>
      </w:r>
    </w:p>
    <w:p w14:paraId="6535A1F6" w14:textId="77777777" w:rsidR="009A78D5" w:rsidRDefault="00000000">
      <w:pPr>
        <w:rPr>
          <w:lang w:val="en-US"/>
        </w:rPr>
      </w:pPr>
      <w:r>
        <w:rPr>
          <w:lang w:val="en-US"/>
        </w:rPr>
        <w:t>The maximum relative difference occurs at a low occurrence count where the absolute difference is one occurrence. Excluding this small-count point, the maximum relative difference is approximately 6%.</w:t>
      </w:r>
    </w:p>
    <w:p w14:paraId="5593467D" w14:textId="77777777" w:rsidR="00333BBB" w:rsidRPr="00FC5004" w:rsidRDefault="00333BBB">
      <w:pPr>
        <w:rPr>
          <w:lang w:val="en-US"/>
        </w:rPr>
      </w:pPr>
    </w:p>
    <w:p w14:paraId="0E040760" w14:textId="77777777" w:rsidR="009A78D5" w:rsidRPr="00FC5004" w:rsidRDefault="00000000">
      <w:pPr>
        <w:pStyle w:val="Titre2"/>
        <w:rPr>
          <w:lang w:val="en-US"/>
        </w:rPr>
      </w:pPr>
      <w:bookmarkStart w:id="48" w:name="_Toc235917352"/>
      <w:r>
        <w:rPr>
          <w:lang w:val="en-US"/>
        </w:rPr>
        <w:t>C.5 Conclusion</w:t>
      </w:r>
      <w:bookmarkEnd w:id="48"/>
    </w:p>
    <w:p w14:paraId="4B9B98CF" w14:textId="77777777" w:rsidR="009A78D5" w:rsidRDefault="00000000">
      <w:pPr>
        <w:rPr>
          <w:lang w:val="en-US"/>
        </w:rPr>
      </w:pPr>
      <w:bookmarkStart w:id="49" w:name="Xa8c46e20be249261ae675bd2fd7a3250828222e"/>
      <w:bookmarkStart w:id="50" w:name="c.5-conclusion"/>
      <w:r>
        <w:rPr>
          <w:lang w:val="en-US"/>
        </w:rPr>
        <w:t>The agreement between the ABB.163-derived occurrence spectrum and the ABB.164 published Utility curve confirms the Markov-matrix-to-occurrence-spectrum transformation and the Kossira &amp; Reinke class convention used by this methodology. The SLM numerical reference spectrum is therefore the controlled ABB.163-derived occurrence table.</w:t>
      </w:r>
      <w:bookmarkEnd w:id="49"/>
      <w:bookmarkEnd w:id="50"/>
    </w:p>
    <w:p w14:paraId="2B421A1D" w14:textId="77777777" w:rsidR="009A78D5" w:rsidRPr="00FC5004" w:rsidRDefault="00000000">
      <w:pPr>
        <w:pStyle w:val="Titre1"/>
        <w:pageBreakBefore/>
        <w:rPr>
          <w:lang w:val="en-US"/>
        </w:rPr>
      </w:pPr>
      <w:bookmarkStart w:id="51" w:name="_Toc235917353"/>
      <w:bookmarkStart w:id="52" w:name="references"/>
      <w:r>
        <w:rPr>
          <w:lang w:val="en-US"/>
        </w:rPr>
        <w:lastRenderedPageBreak/>
        <w:t>10. References</w:t>
      </w:r>
      <w:bookmarkEnd w:id="51"/>
    </w:p>
    <w:p w14:paraId="21F08701" w14:textId="791C823C" w:rsidR="009A78D5" w:rsidRPr="00FC5004" w:rsidRDefault="000453EB">
      <w:pPr>
        <w:rPr>
          <w:lang w:val="en-US"/>
        </w:rPr>
      </w:pPr>
      <w:r>
        <w:rPr>
          <w:lang w:val="en-US"/>
        </w:rPr>
        <w:br/>
        <w:t>[1] Kossira, H. and Reinke, W. (OSTIV Publication XVI). “Determination of load spectra for the design of sailplanes.”</w:t>
      </w:r>
    </w:p>
    <w:p w14:paraId="2377FB3F" w14:textId="77777777" w:rsidR="009A78D5" w:rsidRPr="00FC5004" w:rsidRDefault="00000000">
      <w:pPr>
        <w:pStyle w:val="Corpsdetexte"/>
        <w:rPr>
          <w:lang w:val="en-US"/>
        </w:rPr>
      </w:pPr>
      <w:r>
        <w:rPr>
          <w:lang w:val="en-US"/>
        </w:rPr>
        <w:t>[2] Kossira, H. (1982). “Determination of load spectra and their application for keeping the operational life proof of sporting airplanes.” ICAS-Proc. 8/1982; ICAS-82-2.8.2, pp. 1330–1338.</w:t>
      </w:r>
    </w:p>
    <w:p w14:paraId="4CEE571C" w14:textId="77777777" w:rsidR="009A78D5" w:rsidRPr="00FC5004" w:rsidRDefault="00000000">
      <w:pPr>
        <w:pStyle w:val="Corpsdetexte"/>
        <w:rPr>
          <w:lang w:val="en-US"/>
        </w:rPr>
      </w:pPr>
      <w:r>
        <w:rPr>
          <w:lang w:val="en-US"/>
        </w:rPr>
        <w:t>[3] EASA Certification Memorandum CM-S-006, Certification, Type Design Definition, Material and Process Qualification for Composite Light Aircraft.</w:t>
      </w:r>
    </w:p>
    <w:p w14:paraId="6E90A1FD" w14:textId="77777777" w:rsidR="009A78D5" w:rsidRPr="00FC5004" w:rsidRDefault="00000000">
      <w:pPr>
        <w:pStyle w:val="Corpsdetexte"/>
        <w:rPr>
          <w:lang w:val="en-US"/>
        </w:rPr>
      </w:pPr>
      <w:r>
        <w:t xml:space="preserve">[4] Miner, M.A. (1945). Cumulative Damage in Fatigue. </w:t>
      </w:r>
      <w:r>
        <w:rPr>
          <w:lang w:val="en-US"/>
        </w:rPr>
        <w:t>Journal of the Engineering Mechanics Division.</w:t>
      </w:r>
    </w:p>
    <w:p w14:paraId="3DA3586D" w14:textId="77777777" w:rsidR="009A78D5" w:rsidRPr="00FC5004" w:rsidRDefault="00000000">
      <w:pPr>
        <w:pStyle w:val="Corpsdetexte"/>
        <w:rPr>
          <w:lang w:val="en-US"/>
        </w:rPr>
      </w:pPr>
      <w:r>
        <w:rPr>
          <w:lang w:val="en-US"/>
        </w:rPr>
        <w:t>[5] Palmgren, A. (1947). A Probabilistic Theory of Cumulative Damage.</w:t>
      </w:r>
    </w:p>
    <w:p w14:paraId="3E842EA1" w14:textId="77777777" w:rsidR="009A78D5" w:rsidRPr="00FC5004" w:rsidRDefault="00000000">
      <w:pPr>
        <w:pStyle w:val="Corpsdetexte"/>
        <w:rPr>
          <w:lang w:val="en-US"/>
        </w:rPr>
      </w:pPr>
      <w:r>
        <w:rPr>
          <w:lang w:val="en-US"/>
        </w:rPr>
        <w:t>[6] Basquin, O.H. (1910). “The exponential law of endurance tests.” Proceedings of the ASTM, Vol. 10, pp. 625–630.</w:t>
      </w:r>
    </w:p>
    <w:p w14:paraId="6FFDB8F1" w14:textId="77777777" w:rsidR="009A78D5" w:rsidRPr="00FC5004" w:rsidRDefault="00000000">
      <w:pPr>
        <w:pStyle w:val="Corpsdetexte"/>
        <w:rPr>
          <w:lang w:val="en-US"/>
        </w:rPr>
      </w:pPr>
      <w:r>
        <w:rPr>
          <w:lang w:val="en-US"/>
        </w:rPr>
        <w:t>[7] Derouineau, J.L. (OSTIV Publication). “Extension of Glider Life using Structural Life Monitoring.”</w:t>
      </w:r>
    </w:p>
    <w:p w14:paraId="73ACE950" w14:textId="77777777" w:rsidR="009A78D5" w:rsidRPr="00FC5004" w:rsidRDefault="00000000">
      <w:pPr>
        <w:pStyle w:val="Corpsdetexte"/>
        <w:rPr>
          <w:lang w:val="en-US"/>
        </w:rPr>
      </w:pPr>
      <w:r>
        <w:rPr>
          <w:lang w:val="en-US"/>
        </w:rPr>
        <w:t>[8] Kossira, H. and Reinke, W. “Festigkeit von modernen GFK-Konstruktionen für Segelflugzeuge - Bestimmung eines Belastungskollektives.” IFL-IB 84-01, Technische Universität Braunschweig.</w:t>
      </w:r>
    </w:p>
    <w:p w14:paraId="4B7F9454" w14:textId="77777777" w:rsidR="009A78D5" w:rsidRPr="00FC5004" w:rsidRDefault="00000000">
      <w:pPr>
        <w:pStyle w:val="Corpsdetexte"/>
        <w:rPr>
          <w:lang w:val="en-US"/>
        </w:rPr>
      </w:pPr>
      <w:r>
        <w:rPr>
          <w:lang w:val="en-US"/>
        </w:rPr>
        <w:t xml:space="preserve">[9] Mandell, J. F., Samborsky, D. D., Agastra, P., Sears, A. T. and Wilson, T. J. (2010). </w:t>
      </w:r>
      <w:r>
        <w:rPr>
          <w:i/>
          <w:iCs/>
          <w:lang w:val="en-US"/>
        </w:rPr>
        <w:t>Analysis of SNL/MSU/DOE Fatigue Database Trends for Wind Turbine Blade Materials.</w:t>
      </w:r>
      <w:r>
        <w:rPr>
          <w:lang w:val="en-US"/>
        </w:rPr>
        <w:t xml:space="preserve"> Sandia Contractor Report SAND2010-7052. Sandia National Laboratories.</w:t>
      </w:r>
    </w:p>
    <w:p w14:paraId="786A3480" w14:textId="77777777" w:rsidR="009A78D5" w:rsidRPr="00FC5004" w:rsidRDefault="00000000">
      <w:pPr>
        <w:pStyle w:val="Corpsdetexte"/>
        <w:rPr>
          <w:lang w:val="en-US"/>
        </w:rPr>
      </w:pPr>
      <w:r>
        <w:rPr>
          <w:lang w:val="en-US"/>
        </w:rPr>
        <w:t>[10] Samborsky, D. D., Agastra, P. and Mandell, J. F. (2012). “The SNL/MSU/DOE Fatigue of Composite Materials Database: Recent Trends.” AIAA/ASME Wind Energy Symposium.</w:t>
      </w:r>
    </w:p>
    <w:p w14:paraId="1D6D1879" w14:textId="77777777" w:rsidR="009A78D5" w:rsidRPr="00FC5004" w:rsidRDefault="00000000">
      <w:pPr>
        <w:pStyle w:val="Corpsdetexte"/>
        <w:rPr>
          <w:lang w:val="en-US"/>
        </w:rPr>
      </w:pPr>
      <w:r>
        <w:rPr>
          <w:lang w:val="en-US"/>
        </w:rPr>
        <w:t xml:space="preserve">[11] Harris, B. (ed.) (2003). </w:t>
      </w:r>
      <w:r>
        <w:rPr>
          <w:i/>
          <w:iCs/>
          <w:lang w:val="en-US"/>
        </w:rPr>
        <w:t>Fatigue in Composites: Science and Technology of the Fatigue Response of Fibre-Reinforced Plastics</w:t>
      </w:r>
      <w:r>
        <w:rPr>
          <w:lang w:val="en-US"/>
        </w:rPr>
        <w:t>. Woodhead Publishing.</w:t>
      </w:r>
    </w:p>
    <w:p w14:paraId="7D50AB1A" w14:textId="77777777" w:rsidR="009A78D5" w:rsidRPr="00FC5004" w:rsidRDefault="00000000">
      <w:pPr>
        <w:pStyle w:val="Corpsdetexte"/>
        <w:rPr>
          <w:lang w:val="en-US"/>
        </w:rPr>
      </w:pPr>
      <w:r>
        <w:rPr>
          <w:lang w:val="en-US"/>
        </w:rPr>
        <w:t xml:space="preserve">[12] Talreja, R. (1985). </w:t>
      </w:r>
      <w:r>
        <w:rPr>
          <w:i/>
          <w:iCs/>
          <w:lang w:val="en-US"/>
        </w:rPr>
        <w:t>Fatigue of Composite Materials</w:t>
      </w:r>
      <w:r>
        <w:rPr>
          <w:lang w:val="en-US"/>
        </w:rPr>
        <w:t>. Technomic Publishing.</w:t>
      </w:r>
    </w:p>
    <w:p w14:paraId="1AC0F9C9" w14:textId="77777777" w:rsidR="009A78D5" w:rsidRDefault="00000000">
      <w:pPr>
        <w:pStyle w:val="Corpsdetexte"/>
      </w:pPr>
      <w:r>
        <w:rPr>
          <w:lang w:val="en-US"/>
        </w:rPr>
        <w:t xml:space="preserve">[13] Bathias, C. (1999). </w:t>
      </w:r>
      <w:r>
        <w:rPr>
          <w:i/>
          <w:iCs/>
          <w:lang w:val="en-US"/>
        </w:rPr>
        <w:t>Fatigue of Materials and Structures: Application to Design and Damage</w:t>
      </w:r>
      <w:r>
        <w:rPr>
          <w:lang w:val="en-US"/>
        </w:rPr>
        <w:t xml:space="preserve">. </w:t>
      </w:r>
      <w:r>
        <w:t>Wiley.</w:t>
      </w:r>
      <w:bookmarkEnd w:id="52"/>
    </w:p>
    <w:sectPr w:rsidR="009A78D5">
      <w:headerReference w:type="even" r:id="rId9"/>
      <w:headerReference w:type="default" r:id="rId10"/>
      <w:footerReference w:type="even" r:id="rId11"/>
      <w:footerReference w:type="default" r:id="rId12"/>
      <w:headerReference w:type="first" r:id="rId13"/>
      <w:footerReference w:type="first" r:id="rId14"/>
      <w:pgSz w:w="11906" w:h="16838"/>
      <w:pgMar w:top="1757" w:right="1134" w:bottom="1020" w:left="1134" w:header="680" w:footer="680" w:gutter="0"/>
      <w:pgNumType w:start="1"/>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12094" w14:textId="77777777" w:rsidR="003F087B" w:rsidRDefault="003F087B">
      <w:pPr>
        <w:spacing w:after="0"/>
      </w:pPr>
      <w:r>
        <w:separator/>
      </w:r>
    </w:p>
  </w:endnote>
  <w:endnote w:type="continuationSeparator" w:id="0">
    <w:p w14:paraId="165FCDBF" w14:textId="77777777" w:rsidR="003F087B" w:rsidRDefault="003F08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C66D9174-5AC3-420D-A629-30610DE783B8}"/>
  </w:font>
  <w:font w:name="Times New Roman">
    <w:panose1 w:val="02020603050405020304"/>
    <w:charset w:val="00"/>
    <w:family w:val="roman"/>
    <w:pitch w:val="variable"/>
    <w:sig w:usb0="E0002EFF" w:usb1="C000785B" w:usb2="00000009" w:usb3="00000000" w:csb0="000001FF" w:csb1="00000000"/>
    <w:embedRegular r:id="rId2" w:fontKey="{3E02DDC0-EC04-4A22-B4EB-B2DE66A23D3A}"/>
    <w:embedBold r:id="rId3" w:fontKey="{856DBDF9-867F-4FEC-9D36-5FBF368983CD}"/>
    <w:embedItalic r:id="rId4" w:fontKey="{AC0C8FE8-5FD6-4A82-A448-25D759AB17CC}"/>
    <w:embedBoldItalic r:id="rId5" w:fontKey="{55ADAEAB-B8EC-42B5-A6C8-49D512B0E3F4}"/>
  </w:font>
  <w:font w:name="Courier New">
    <w:panose1 w:val="02070309020205020404"/>
    <w:charset w:val="00"/>
    <w:family w:val="modern"/>
    <w:pitch w:val="fixed"/>
    <w:sig w:usb0="E0002EFF" w:usb1="C0007843" w:usb2="00000009" w:usb3="00000000" w:csb0="000001FF" w:csb1="00000000"/>
    <w:embedRegular r:id="rId6" w:fontKey="{B8995D03-16B6-48D9-ADC8-712DC645900A}"/>
  </w:font>
  <w:font w:name="Wingdings">
    <w:panose1 w:val="05000000000000000000"/>
    <w:charset w:val="02"/>
    <w:family w:val="auto"/>
    <w:pitch w:val="variable"/>
    <w:sig w:usb0="00000000" w:usb1="10000000" w:usb2="00000000" w:usb3="00000000" w:csb0="80000000" w:csb1="00000000"/>
    <w:embedRegular r:id="rId7" w:fontKey="{62F5F1F3-926E-4C97-B12C-2E3F3619ED86}"/>
  </w:font>
  <w:font w:name="Calibri">
    <w:panose1 w:val="020F0502020204030204"/>
    <w:charset w:val="00"/>
    <w:family w:val="swiss"/>
    <w:pitch w:val="variable"/>
    <w:sig w:usb0="E4002EFF" w:usb1="C200247B" w:usb2="00000009" w:usb3="00000000" w:csb0="000001FF" w:csb1="00000000"/>
    <w:embedRegular r:id="rId8" w:fontKey="{458E81DE-F72B-42AF-BFB5-CA4BC5588686}"/>
    <w:embedBold r:id="rId9" w:fontKey="{BFC2A739-5081-4073-9932-4463EF35ACE6}"/>
    <w:embedBoldItalic r:id="rId10" w:fontKey="{1F25C7C8-CE2B-4257-A41A-1020834F27B1}"/>
  </w:font>
  <w:font w:name="Open Sans">
    <w:charset w:val="00"/>
    <w:family w:val="swiss"/>
    <w:pitch w:val="variable"/>
    <w:sig w:usb0="E00002EF" w:usb1="4000205B" w:usb2="00000028" w:usb3="00000000" w:csb0="0000019F" w:csb1="00000000"/>
    <w:embedRegular r:id="rId11" w:fontKey="{B1E2E762-6C30-4F84-BC11-EB535CA6EF63}"/>
    <w:embedBold r:id="rId12" w:fontKey="{58A60CD3-7A26-4B5E-BE0D-8B3BDF635421}"/>
    <w:embedItalic r:id="rId13" w:fontKey="{08A2E0F7-DC8F-4906-8708-B469A6FDA9E5}"/>
    <w:embedBoldItalic r:id="rId14" w:fontKey="{905E7D0C-8836-48B2-9E1A-10BB1D05B92A}"/>
  </w:font>
  <w:font w:name="Liberation Sans">
    <w:altName w:val="Arial"/>
    <w:charset w:val="01"/>
    <w:family w:val="swiss"/>
    <w:pitch w:val="variable"/>
    <w:embedRegular r:id="rId15" w:fontKey="{36699408-4183-4F03-B949-D8B886465D6C}"/>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6" w:fontKey="{D4F77E88-60A9-4ECE-AF13-74FA5750A459}"/>
  </w:font>
  <w:font w:name="Cambria Math">
    <w:panose1 w:val="02040503050406030204"/>
    <w:charset w:val="00"/>
    <w:family w:val="roman"/>
    <w:pitch w:val="variable"/>
    <w:sig w:usb0="E00006FF" w:usb1="420024FF" w:usb2="02000000" w:usb3="00000000" w:csb0="0000019F" w:csb1="00000000"/>
    <w:embedRegular r:id="rId17" w:fontKey="{B6F11E22-6220-48CA-83D0-CD01D1D0EE33}"/>
    <w:embedItalic r:id="rId18" w:fontKey="{56E272D7-EF0D-4DC2-A5E4-DFF2260F96BC}"/>
  </w:font>
  <w:font w:name="Cambria">
    <w:panose1 w:val="02040503050406030204"/>
    <w:charset w:val="00"/>
    <w:family w:val="roman"/>
    <w:pitch w:val="variable"/>
    <w:sig w:usb0="E00006FF" w:usb1="420024FF" w:usb2="02000000" w:usb3="00000000" w:csb0="0000019F" w:csb1="00000000"/>
    <w:embedRegular r:id="rId19" w:fontKey="{621192CF-E10B-449C-B6AC-D5438E4A3E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2EAE1" w14:textId="77777777" w:rsidR="009A78D5" w:rsidRDefault="009A78D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3D066" w14:textId="77777777" w:rsidR="009A78D5" w:rsidRDefault="00000000">
    <w:pPr>
      <w:tabs>
        <w:tab w:val="center" w:pos="4680"/>
        <w:tab w:val="right" w:pos="9360"/>
      </w:tabs>
      <w:rPr>
        <w:color w:val="000000"/>
      </w:rPr>
    </w:pPr>
    <w:r>
      <w:fldChar w:fldCharType="begin"/>
    </w:r>
    <w:r>
      <w:instrText xml:space="preserve"> PAGE </w:instrText>
    </w:r>
    <w:r>
      <w:fldChar w:fldCharType="separate"/>
    </w:r>
    <w:r>
      <w:t>22</w:t>
    </w:r>
    <w:r>
      <w:fldChar w:fldCharType="end"/>
    </w:r>
  </w:p>
  <w:p w14:paraId="1EBEC015" w14:textId="77777777" w:rsidR="009A78D5" w:rsidRDefault="009A78D5">
    <w:pP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57ADC" w14:textId="77777777" w:rsidR="009A78D5" w:rsidRDefault="00000000">
    <w:pPr>
      <w:tabs>
        <w:tab w:val="center" w:pos="4680"/>
        <w:tab w:val="right" w:pos="9360"/>
      </w:tabs>
      <w:rPr>
        <w:color w:val="000000"/>
      </w:rPr>
    </w:pPr>
    <w:r>
      <w:fldChar w:fldCharType="begin"/>
    </w:r>
    <w:r>
      <w:instrText xml:space="preserve"> PAGE </w:instrText>
    </w:r>
    <w:r>
      <w:fldChar w:fldCharType="separate"/>
    </w:r>
    <w:r>
      <w:t>22</w:t>
    </w:r>
    <w:r>
      <w:fldChar w:fldCharType="end"/>
    </w:r>
  </w:p>
  <w:p w14:paraId="6B273A3D" w14:textId="77777777" w:rsidR="009A78D5" w:rsidRDefault="009A78D5">
    <w:pP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36A56" w14:textId="77777777" w:rsidR="003F087B" w:rsidRDefault="003F087B">
      <w:pPr>
        <w:spacing w:after="0"/>
      </w:pPr>
      <w:r>
        <w:separator/>
      </w:r>
    </w:p>
  </w:footnote>
  <w:footnote w:type="continuationSeparator" w:id="0">
    <w:p w14:paraId="30E597EB" w14:textId="77777777" w:rsidR="003F087B" w:rsidRDefault="003F08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94DD5" w14:textId="77777777" w:rsidR="009A78D5" w:rsidRDefault="009A78D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jc w:val="center"/>
      <w:tblBorders>
        <w:top w:val="nil"/>
        <w:left w:val="nil"/>
        <w:bottom w:val="nil"/>
        <w:right w:val="nil"/>
        <w:insideH w:val="nil"/>
        <w:insideV w:val="nil"/>
      </w:tblBorders>
      <w:tblLayout w:type="fixed"/>
      <w:tblLook w:val="04A0" w:firstRow="1" w:lastRow="0" w:firstColumn="1" w:lastColumn="0" w:noHBand="0" w:noVBand="1"/>
    </w:tblPr>
    <w:tblGrid>
      <w:gridCol w:w="1361"/>
      <w:gridCol w:w="6406"/>
      <w:gridCol w:w="1871"/>
    </w:tblGrid>
    <w:tr w:rsidR="009A78D5" w14:paraId="710F4157" w14:textId="77777777">
      <w:trPr>
        <w:jc w:val="center"/>
      </w:trPr>
      <w:tc>
        <w:tcPr>
          <w:tcW w:w="1361" w:type="dxa"/>
          <w:vAlign w:val="center"/>
        </w:tcPr>
        <w:p w14:paraId="52B3F043" w14:textId="77777777" w:rsidR="009A78D5" w:rsidRDefault="00000000">
          <w:pPr>
            <w:spacing w:after="0"/>
          </w:pPr>
          <w:r>
            <w:rPr>
              <w:noProof/>
            </w:rPr>
            <w:drawing>
              <wp:inline distT="0" distB="0" distL="0" distR="0" wp14:anchorId="16EBB55E" wp14:editId="6C5932FC">
                <wp:extent cx="792000" cy="570462"/>
                <wp:effectExtent l="0" t="0" r="8255" b="1270"/>
                <wp:docPr id="59868299" name="Picture 5986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cstate="screen">
                          <a:extLst>
                            <a:ext uri="{28A0092B-C50C-407E-A947-70E740481C1C}">
                              <a14:useLocalDpi xmlns:a14="http://schemas.microsoft.com/office/drawing/2010/main"/>
                            </a:ext>
                          </a:extLst>
                        </a:blip>
                        <a:stretch>
                          <a:fillRect/>
                        </a:stretch>
                      </pic:blipFill>
                      <pic:spPr>
                        <a:xfrm>
                          <a:off x="0" y="0"/>
                          <a:ext cx="792000" cy="570462"/>
                        </a:xfrm>
                        <a:prstGeom prst="rect">
                          <a:avLst/>
                        </a:prstGeom>
                      </pic:spPr>
                    </pic:pic>
                  </a:graphicData>
                </a:graphic>
              </wp:inline>
            </w:drawing>
          </w:r>
        </w:p>
      </w:tc>
      <w:tc>
        <w:tcPr>
          <w:tcW w:w="6406" w:type="dxa"/>
          <w:vAlign w:val="center"/>
        </w:tcPr>
        <w:p w14:paraId="5C152303" w14:textId="77777777" w:rsidR="009A78D5" w:rsidRDefault="00000000">
          <w:pPr>
            <w:spacing w:after="0"/>
            <w:jc w:val="center"/>
          </w:pPr>
          <w:r>
            <w:rPr>
              <w:b/>
              <w:i/>
              <w:color w:val="009DD4"/>
              <w:sz w:val="26"/>
            </w:rPr>
            <w:t>Structural Life Monitoring</w:t>
          </w:r>
        </w:p>
      </w:tc>
      <w:tc>
        <w:tcPr>
          <w:tcW w:w="1871" w:type="dxa"/>
          <w:vAlign w:val="center"/>
        </w:tcPr>
        <w:p w14:paraId="31ED20C7" w14:textId="77777777" w:rsidR="009A78D5" w:rsidRDefault="00000000">
          <w:pPr>
            <w:spacing w:after="0"/>
            <w:jc w:val="center"/>
          </w:pPr>
          <w:r>
            <w:rPr>
              <w:noProof/>
            </w:rPr>
            <w:drawing>
              <wp:inline distT="0" distB="0" distL="0" distR="0" wp14:anchorId="7D0326CF" wp14:editId="46F15F3A">
                <wp:extent cx="827999" cy="279584"/>
                <wp:effectExtent l="0" t="0" r="0" b="6350"/>
                <wp:docPr id="1188768788" name="Picture 1188768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 cstate="screen">
                          <a:extLst>
                            <a:ext uri="{28A0092B-C50C-407E-A947-70E740481C1C}">
                              <a14:useLocalDpi xmlns:a14="http://schemas.microsoft.com/office/drawing/2010/main"/>
                            </a:ext>
                          </a:extLst>
                        </a:blip>
                        <a:stretch>
                          <a:fillRect/>
                        </a:stretch>
                      </pic:blipFill>
                      <pic:spPr>
                        <a:xfrm>
                          <a:off x="0" y="0"/>
                          <a:ext cx="827999" cy="279584"/>
                        </a:xfrm>
                        <a:prstGeom prst="rect">
                          <a:avLst/>
                        </a:prstGeom>
                      </pic:spPr>
                    </pic:pic>
                  </a:graphicData>
                </a:graphic>
              </wp:inline>
            </w:drawing>
          </w:r>
        </w:p>
      </w:tc>
    </w:tr>
  </w:tbl>
  <w:p w14:paraId="714A98A5" w14:textId="77777777" w:rsidR="009A78D5" w:rsidRDefault="009A78D5">
    <w:pPr>
      <w:pBdr>
        <w:bottom w:val="single" w:sz="12" w:space="1" w:color="808080"/>
      </w:pBd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jc w:val="center"/>
      <w:tblLayout w:type="fixed"/>
      <w:tblLook w:val="04A0" w:firstRow="1" w:lastRow="0" w:firstColumn="1" w:lastColumn="0" w:noHBand="0" w:noVBand="1"/>
    </w:tblPr>
    <w:tblGrid>
      <w:gridCol w:w="3213"/>
      <w:gridCol w:w="3213"/>
      <w:gridCol w:w="3213"/>
    </w:tblGrid>
    <w:tr w:rsidR="009A78D5" w14:paraId="623BBE8A" w14:textId="77777777">
      <w:trPr>
        <w:jc w:val="center"/>
      </w:trPr>
      <w:tc>
        <w:tcPr>
          <w:tcW w:w="3213" w:type="dxa"/>
          <w:vAlign w:val="center"/>
        </w:tcPr>
        <w:p w14:paraId="05E5E06F" w14:textId="77777777" w:rsidR="009A78D5" w:rsidRDefault="00000000">
          <w:pPr>
            <w:spacing w:after="0"/>
          </w:pPr>
          <w:r>
            <w:rPr>
              <w:noProof/>
            </w:rPr>
            <w:drawing>
              <wp:inline distT="0" distB="0" distL="0" distR="0" wp14:anchorId="5872DBC0" wp14:editId="34BDF85B">
                <wp:extent cx="791845" cy="570865"/>
                <wp:effectExtent l="0" t="0" r="0" b="0"/>
                <wp:docPr id="1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pic:cNvPicPr>
                          <a:picLocks noChangeAspect="1" noChangeArrowheads="1"/>
                        </pic:cNvPicPr>
                      </pic:nvPicPr>
                      <pic:blipFill>
                        <a:blip r:embed="rId1" cstate="screen">
                          <a:extLst>
                            <a:ext uri="{28A0092B-C50C-407E-A947-70E740481C1C}">
                              <a14:useLocalDpi xmlns:a14="http://schemas.microsoft.com/office/drawing/2010/main"/>
                            </a:ext>
                          </a:extLst>
                        </a:blip>
                        <a:stretch>
                          <a:fillRect/>
                        </a:stretch>
                      </pic:blipFill>
                      <pic:spPr bwMode="auto">
                        <a:xfrm>
                          <a:off x="0" y="0"/>
                          <a:ext cx="791845" cy="570865"/>
                        </a:xfrm>
                        <a:prstGeom prst="rect">
                          <a:avLst/>
                        </a:prstGeom>
                        <a:noFill/>
                      </pic:spPr>
                    </pic:pic>
                  </a:graphicData>
                </a:graphic>
              </wp:inline>
            </w:drawing>
          </w:r>
        </w:p>
      </w:tc>
      <w:tc>
        <w:tcPr>
          <w:tcW w:w="3213" w:type="dxa"/>
          <w:vAlign w:val="center"/>
        </w:tcPr>
        <w:p w14:paraId="5EDFC5C2" w14:textId="77777777" w:rsidR="009A78D5" w:rsidRDefault="00000000">
          <w:pPr>
            <w:spacing w:after="0"/>
            <w:jc w:val="center"/>
          </w:pPr>
          <w:r>
            <w:rPr>
              <w:b/>
              <w:i/>
              <w:color w:val="009DD4"/>
              <w:sz w:val="32"/>
            </w:rPr>
            <w:t>Structural Life Monitoring</w:t>
          </w:r>
        </w:p>
      </w:tc>
      <w:tc>
        <w:tcPr>
          <w:tcW w:w="3213" w:type="dxa"/>
          <w:vAlign w:val="center"/>
        </w:tcPr>
        <w:p w14:paraId="49B28F99" w14:textId="77777777" w:rsidR="009A78D5" w:rsidRDefault="00000000">
          <w:pPr>
            <w:spacing w:after="0"/>
            <w:jc w:val="right"/>
          </w:pPr>
          <w:r>
            <w:rPr>
              <w:noProof/>
            </w:rPr>
            <w:drawing>
              <wp:inline distT="0" distB="0" distL="0" distR="0" wp14:anchorId="48EA31D7" wp14:editId="2035384F">
                <wp:extent cx="1007745" cy="340360"/>
                <wp:effectExtent l="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noChangeArrowheads="1"/>
                        </pic:cNvPicPr>
                      </pic:nvPicPr>
                      <pic:blipFill>
                        <a:blip r:embed="rId2" cstate="screen">
                          <a:extLst>
                            <a:ext uri="{28A0092B-C50C-407E-A947-70E740481C1C}">
                              <a14:useLocalDpi xmlns:a14="http://schemas.microsoft.com/office/drawing/2010/main"/>
                            </a:ext>
                          </a:extLst>
                        </a:blip>
                        <a:stretch>
                          <a:fillRect/>
                        </a:stretch>
                      </pic:blipFill>
                      <pic:spPr bwMode="auto">
                        <a:xfrm>
                          <a:off x="0" y="0"/>
                          <a:ext cx="1007745" cy="340360"/>
                        </a:xfrm>
                        <a:prstGeom prst="rect">
                          <a:avLst/>
                        </a:prstGeom>
                        <a:noFill/>
                      </pic:spPr>
                    </pic:pic>
                  </a:graphicData>
                </a:graphic>
              </wp:inline>
            </w:drawing>
          </w:r>
        </w:p>
      </w:tc>
    </w:tr>
  </w:tbl>
  <w:p w14:paraId="2909ABCC" w14:textId="77777777" w:rsidR="009A78D5" w:rsidRDefault="009A78D5">
    <w:pPr>
      <w:pBdr>
        <w:bottom w:val="single" w:sz="12" w:space="1" w:color="808080"/>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6E5B"/>
    <w:multiLevelType w:val="hybridMultilevel"/>
    <w:tmpl w:val="C4883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081099"/>
    <w:multiLevelType w:val="hybridMultilevel"/>
    <w:tmpl w:val="DD1E4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696FBA"/>
    <w:multiLevelType w:val="hybridMultilevel"/>
    <w:tmpl w:val="226AB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0D475A"/>
    <w:multiLevelType w:val="hybridMultilevel"/>
    <w:tmpl w:val="26AAB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005D01"/>
    <w:multiLevelType w:val="hybridMultilevel"/>
    <w:tmpl w:val="80606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0D1F7B"/>
    <w:multiLevelType w:val="hybridMultilevel"/>
    <w:tmpl w:val="D1A8B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0036713">
    <w:abstractNumId w:val="1"/>
  </w:num>
  <w:num w:numId="2" w16cid:durableId="203955411">
    <w:abstractNumId w:val="4"/>
  </w:num>
  <w:num w:numId="3" w16cid:durableId="1327518471">
    <w:abstractNumId w:val="0"/>
  </w:num>
  <w:num w:numId="4" w16cid:durableId="1463184474">
    <w:abstractNumId w:val="5"/>
  </w:num>
  <w:num w:numId="5" w16cid:durableId="1002316710">
    <w:abstractNumId w:val="3"/>
  </w:num>
  <w:num w:numId="6" w16cid:durableId="1500536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8D5"/>
    <w:rsid w:val="00030075"/>
    <w:rsid w:val="00035437"/>
    <w:rsid w:val="000453EB"/>
    <w:rsid w:val="00071712"/>
    <w:rsid w:val="000A1E1A"/>
    <w:rsid w:val="001E1F5E"/>
    <w:rsid w:val="00333BBB"/>
    <w:rsid w:val="003F087B"/>
    <w:rsid w:val="00403E50"/>
    <w:rsid w:val="004F2580"/>
    <w:rsid w:val="005762D6"/>
    <w:rsid w:val="00621D3C"/>
    <w:rsid w:val="0072162C"/>
    <w:rsid w:val="007D4F14"/>
    <w:rsid w:val="00876A64"/>
    <w:rsid w:val="00883163"/>
    <w:rsid w:val="008B2183"/>
    <w:rsid w:val="00926B66"/>
    <w:rsid w:val="00997F2D"/>
    <w:rsid w:val="009A78D5"/>
    <w:rsid w:val="00A35C65"/>
    <w:rsid w:val="00A516E7"/>
    <w:rsid w:val="00AE6C6B"/>
    <w:rsid w:val="00BD0039"/>
    <w:rsid w:val="00C10C11"/>
    <w:rsid w:val="00C94F0D"/>
    <w:rsid w:val="00DC36FD"/>
    <w:rsid w:val="00DE2DD4"/>
    <w:rsid w:val="00DF4621"/>
    <w:rsid w:val="00E4563A"/>
    <w:rsid w:val="00EA466E"/>
    <w:rsid w:val="00EE528B"/>
    <w:rsid w:val="00F42440"/>
    <w:rsid w:val="00FC50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52C61"/>
  <w15:docId w15:val="{D4A34E1B-BED9-412C-AEB0-7F2DAC99E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60"/>
    </w:pPr>
    <w:rPr>
      <w:rFonts w:ascii="Open Sans" w:eastAsia="Open Sans" w:hAnsi="Open Sans" w:cs="Open Sans"/>
      <w:color w:val="333333"/>
      <w:lang w:val="fr-FR"/>
    </w:rPr>
  </w:style>
  <w:style w:type="paragraph" w:styleId="Titre1">
    <w:name w:val="heading 1"/>
    <w:basedOn w:val="Normal"/>
    <w:next w:val="Normal"/>
    <w:link w:val="Titre1Car"/>
    <w:uiPriority w:val="9"/>
    <w:qFormat/>
    <w:pPr>
      <w:ind w:left="630" w:right="303"/>
      <w:jc w:val="center"/>
      <w:outlineLvl w:val="0"/>
    </w:pPr>
    <w:rPr>
      <w:b/>
      <w:bCs/>
      <w:i/>
      <w:iCs/>
      <w:sz w:val="40"/>
      <w:szCs w:val="40"/>
    </w:rPr>
  </w:style>
  <w:style w:type="paragraph" w:styleId="Titre2">
    <w:name w:val="heading 2"/>
    <w:basedOn w:val="Normal"/>
    <w:next w:val="Normal"/>
    <w:uiPriority w:val="9"/>
    <w:unhideWhenUsed/>
    <w:qFormat/>
    <w:pPr>
      <w:ind w:left="568"/>
      <w:outlineLvl w:val="1"/>
    </w:pPr>
    <w:rPr>
      <w:b/>
      <w:bCs/>
      <w:sz w:val="24"/>
      <w:szCs w:val="24"/>
    </w:rPr>
  </w:style>
  <w:style w:type="paragraph" w:styleId="Titre3">
    <w:name w:val="heading 3"/>
    <w:basedOn w:val="Normal"/>
    <w:next w:val="Normal"/>
    <w:link w:val="Titre3Car"/>
    <w:uiPriority w:val="9"/>
    <w:unhideWhenUsed/>
    <w:qFormat/>
    <w:pPr>
      <w:ind w:left="568"/>
      <w:outlineLvl w:val="2"/>
    </w:pPr>
    <w:rPr>
      <w:b/>
      <w:bCs/>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9C2E6C"/>
    <w:rPr>
      <w:rFonts w:ascii="Calibri" w:eastAsia="Calibri" w:hAnsi="Calibri" w:cs="Calibri"/>
    </w:rPr>
  </w:style>
  <w:style w:type="character" w:customStyle="1" w:styleId="PieddepageCar">
    <w:name w:val="Pied de page Car"/>
    <w:basedOn w:val="Policepardfaut"/>
    <w:link w:val="Pieddepage"/>
    <w:uiPriority w:val="99"/>
    <w:qFormat/>
    <w:rsid w:val="009C2E6C"/>
    <w:rPr>
      <w:rFonts w:ascii="Calibri" w:eastAsia="Calibri" w:hAnsi="Calibri" w:cs="Calibri"/>
    </w:rPr>
  </w:style>
  <w:style w:type="character" w:customStyle="1" w:styleId="Titre1Car">
    <w:name w:val="Titre 1 Car"/>
    <w:basedOn w:val="Policepardfaut"/>
    <w:link w:val="Titre1"/>
    <w:uiPriority w:val="9"/>
    <w:qFormat/>
    <w:rsid w:val="00432FD5"/>
    <w:rPr>
      <w:rFonts w:ascii="Calibri" w:eastAsia="Calibri" w:hAnsi="Calibri" w:cs="Calibri"/>
      <w:b/>
      <w:bCs/>
      <w:i/>
      <w:iCs/>
      <w:sz w:val="40"/>
      <w:szCs w:val="40"/>
    </w:rPr>
  </w:style>
  <w:style w:type="character" w:customStyle="1" w:styleId="Titre3Car">
    <w:name w:val="Titre 3 Car"/>
    <w:basedOn w:val="Policepardfaut"/>
    <w:link w:val="Titre3"/>
    <w:uiPriority w:val="9"/>
    <w:qFormat/>
    <w:rsid w:val="00432FD5"/>
    <w:rPr>
      <w:rFonts w:ascii="Calibri" w:eastAsia="Calibri" w:hAnsi="Calibri" w:cs="Calibri"/>
      <w:b/>
      <w:bCs/>
    </w:rPr>
  </w:style>
  <w:style w:type="character" w:styleId="Lienhypertexte">
    <w:name w:val="Hyperlink"/>
    <w:basedOn w:val="Policepardfaut"/>
    <w:uiPriority w:val="99"/>
    <w:unhideWhenUsed/>
    <w:rsid w:val="00FE6329"/>
    <w:rPr>
      <w:color w:val="0000FF" w:themeColor="hyperlink"/>
      <w:u w:val="single"/>
    </w:rPr>
  </w:style>
  <w:style w:type="character" w:styleId="Mentionnonrsolue">
    <w:name w:val="Unresolved Mention"/>
    <w:basedOn w:val="Policepardfaut"/>
    <w:uiPriority w:val="99"/>
    <w:semiHidden/>
    <w:unhideWhenUsed/>
    <w:qFormat/>
    <w:rsid w:val="00FE6329"/>
    <w:rPr>
      <w:color w:val="605E5C"/>
      <w:shd w:val="clear" w:color="auto" w:fill="E1DFDD"/>
    </w:rPr>
  </w:style>
  <w:style w:type="character" w:customStyle="1" w:styleId="IndexLink">
    <w:name w:val="Index Link"/>
    <w:qFormat/>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qFormat/>
    <w:rPr>
      <w:color w:val="40A070"/>
    </w:rPr>
  </w:style>
  <w:style w:type="character" w:customStyle="1" w:styleId="FloatTok">
    <w:name w:val="FloatTok"/>
    <w:qFormat/>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qFormat/>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qFormat/>
    <w:rPr>
      <w:b/>
      <w:color w:val="008000"/>
    </w:rPr>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qFormat/>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qFormat/>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qFormat/>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uiPriority w:val="1"/>
    <w:qFormat/>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re">
    <w:name w:val="Title"/>
    <w:basedOn w:val="Normal"/>
    <w:next w:val="Normal"/>
    <w:uiPriority w:val="10"/>
    <w:qFormat/>
    <w:pPr>
      <w:keepNext/>
      <w:keepLines/>
      <w:spacing w:before="480" w:after="120"/>
    </w:pPr>
    <w:rPr>
      <w:b/>
      <w:bCs/>
      <w:sz w:val="72"/>
      <w:szCs w:val="72"/>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qFormat/>
    <w:rsid w:val="000B1DA6"/>
    <w:rPr>
      <w:rFonts w:ascii="Times New Roman" w:hAnsi="Times New Roman" w:cs="Times New Roman"/>
      <w:sz w:val="24"/>
      <w:szCs w:val="24"/>
    </w:rPr>
  </w:style>
  <w:style w:type="paragraph" w:customStyle="1" w:styleId="HeaderandFooter">
    <w:name w:val="Header and Footer"/>
    <w:basedOn w:val="Normal"/>
    <w:qFormat/>
  </w:style>
  <w:style w:type="paragraph" w:styleId="En-tte">
    <w:name w:val="header"/>
    <w:basedOn w:val="Normal"/>
    <w:link w:val="En-tteCar"/>
    <w:uiPriority w:val="99"/>
    <w:unhideWhenUsed/>
    <w:rsid w:val="009C2E6C"/>
    <w:pPr>
      <w:tabs>
        <w:tab w:val="center" w:pos="4680"/>
        <w:tab w:val="right" w:pos="9360"/>
      </w:tabs>
    </w:pPr>
  </w:style>
  <w:style w:type="paragraph" w:styleId="Pieddepage">
    <w:name w:val="footer"/>
    <w:basedOn w:val="Normal"/>
    <w:link w:val="PieddepageCar"/>
    <w:uiPriority w:val="99"/>
    <w:unhideWhenUsed/>
    <w:rsid w:val="009C2E6C"/>
    <w:pPr>
      <w:tabs>
        <w:tab w:val="center" w:pos="4680"/>
        <w:tab w:val="right" w:pos="9360"/>
      </w:tabs>
    </w:p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SLMHeading1">
    <w:name w:val="SLM Heading 1"/>
    <w:basedOn w:val="Normal"/>
    <w:qFormat/>
    <w:pPr>
      <w:keepNext/>
      <w:spacing w:before="200" w:after="80"/>
      <w:outlineLvl w:val="0"/>
    </w:pPr>
    <w:rPr>
      <w:b/>
      <w:sz w:val="26"/>
    </w:rPr>
  </w:style>
  <w:style w:type="paragraph" w:customStyle="1" w:styleId="SLMHeading2">
    <w:name w:val="SLM Heading 2"/>
    <w:basedOn w:val="Normal"/>
    <w:qFormat/>
    <w:pPr>
      <w:keepNext/>
      <w:spacing w:before="160" w:after="40"/>
      <w:outlineLvl w:val="1"/>
    </w:pPr>
    <w:rPr>
      <w:b/>
      <w:i/>
      <w:sz w:val="23"/>
    </w:rPr>
  </w:style>
  <w:style w:type="paragraph" w:customStyle="1" w:styleId="SLMHeading3">
    <w:name w:val="SLM Heading 3"/>
    <w:basedOn w:val="Normal"/>
    <w:qFormat/>
    <w:pPr>
      <w:keepNext/>
      <w:spacing w:before="120" w:after="40"/>
      <w:outlineLvl w:val="2"/>
    </w:pPr>
    <w:rPr>
      <w:b/>
      <w:i/>
      <w:sz w:val="21"/>
    </w:rPr>
  </w:style>
  <w:style w:type="paragraph" w:customStyle="1" w:styleId="SLMTitle">
    <w:name w:val="SLM Title"/>
    <w:basedOn w:val="Normal"/>
    <w:qFormat/>
    <w:pPr>
      <w:spacing w:after="0"/>
      <w:jc w:val="center"/>
    </w:pPr>
    <w:rPr>
      <w:b/>
      <w:i/>
      <w:color w:val="000000"/>
      <w:sz w:val="40"/>
    </w:rPr>
  </w:style>
  <w:style w:type="paragraph" w:customStyle="1" w:styleId="SLMSubtitle">
    <w:name w:val="SLM Subtitle"/>
    <w:basedOn w:val="Normal"/>
    <w:qFormat/>
    <w:pPr>
      <w:spacing w:before="280" w:after="240"/>
      <w:jc w:val="center"/>
    </w:pPr>
    <w:rPr>
      <w:b/>
      <w:color w:val="000000"/>
      <w:sz w:val="24"/>
    </w:rPr>
  </w:style>
  <w:style w:type="paragraph" w:styleId="TM1">
    <w:name w:val="toc 1"/>
    <w:uiPriority w:val="39"/>
    <w:pPr>
      <w:widowControl w:val="0"/>
      <w:spacing w:line="199" w:lineRule="auto"/>
    </w:pPr>
    <w:rPr>
      <w:rFonts w:ascii="Open Sans" w:eastAsia="Open Sans" w:hAnsi="Open Sans" w:cs="Open Sans"/>
      <w:sz w:val="17"/>
      <w:szCs w:val="17"/>
    </w:rPr>
  </w:style>
  <w:style w:type="paragraph" w:styleId="TM2">
    <w:name w:val="toc 2"/>
    <w:uiPriority w:val="39"/>
    <w:pPr>
      <w:widowControl w:val="0"/>
      <w:spacing w:line="199" w:lineRule="auto"/>
      <w:ind w:left="300"/>
    </w:pPr>
    <w:rPr>
      <w:rFonts w:ascii="Open Sans" w:eastAsia="Open Sans" w:hAnsi="Open Sans" w:cs="Open Sans"/>
      <w:sz w:val="17"/>
      <w:szCs w:val="17"/>
    </w:rPr>
  </w:style>
  <w:style w:type="paragraph" w:styleId="TM3">
    <w:name w:val="toc 3"/>
    <w:uiPriority w:val="39"/>
    <w:pPr>
      <w:widowControl w:val="0"/>
      <w:spacing w:line="199" w:lineRule="auto"/>
      <w:ind w:left="600"/>
    </w:pPr>
    <w:rPr>
      <w:rFonts w:ascii="Open Sans" w:eastAsia="Open Sans" w:hAnsi="Open Sans" w:cs="Open Sans"/>
      <w:sz w:val="17"/>
      <w:szCs w:val="17"/>
    </w:rPr>
  </w:style>
  <w:style w:type="paragraph" w:customStyle="1" w:styleId="FrameContentsuser">
    <w:name w:val="Frame Contents (user)"/>
    <w:basedOn w:val="Normal"/>
    <w:qFormat/>
  </w:style>
  <w:style w:type="paragraph" w:customStyle="1" w:styleId="SourceCode">
    <w:name w:val="Source Code"/>
    <w:basedOn w:val="Normal"/>
    <w:qFormat/>
  </w:style>
  <w:style w:type="table" w:customStyle="1" w:styleId="TableNormal">
    <w:name w:val="TableNormal"/>
    <w:tblPr>
      <w:tblCellMar>
        <w:top w:w="100" w:type="dxa"/>
        <w:left w:w="100" w:type="dxa"/>
        <w:bottom w:w="100" w:type="dxa"/>
        <w:right w:w="100" w:type="dxa"/>
      </w:tblCellMar>
    </w:tblPr>
  </w:style>
  <w:style w:type="paragraph" w:styleId="Rvision">
    <w:name w:val="Revision"/>
    <w:hidden/>
    <w:uiPriority w:val="99"/>
    <w:semiHidden/>
    <w:rsid w:val="00DF4621"/>
    <w:pPr>
      <w:suppressAutoHyphens w:val="0"/>
    </w:pPr>
    <w:rPr>
      <w:rFonts w:ascii="Open Sans" w:eastAsia="Open Sans" w:hAnsi="Open Sans" w:cs="Open Sans"/>
      <w:color w:val="333333"/>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7510</Words>
  <Characters>41307</Characters>
  <Application>Microsoft Office Word</Application>
  <DocSecurity>0</DocSecurity>
  <Lines>344</Lines>
  <Paragraphs>97</Paragraphs>
  <ScaleCrop>false</ScaleCrop>
  <Company/>
  <LinksUpToDate>false</LinksUpToDate>
  <CharactersWithSpaces>48720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JLD</dc:creator>
  <cp:lastModifiedBy>Jl Deroui</cp:lastModifiedBy>
  <cp:revision>2</cp:revision>
  <dcterms:created xsi:type="dcterms:W3CDTF">2026-08-23T09:12:00Z</dcterms:created>
  <dcterms:modified xsi:type="dcterms:W3CDTF">2026-08-23T09:12:00Z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2026-07-05T13:05:23Z</dcterms:created>
  <dc:creator/>
  <dc:description/>
  <dc:language>en-US</dc:language>
  <cp:lastModifiedBy/>
  <dcterms:modified xsi:type="dcterms:W3CDTF">2026-07-05T13:25:33Z</dcterms:modified>
  <cp:revision>1</cp:revision>
  <dc:subject/>
  <dc:title/>
</cp:coreProperties>
</file>