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TableGrid"/>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sidRPr="00C372DE">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79285916">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F0" w:rsidRPr="00C372DE">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sidRPr="00C372DE">
              <w:rPr>
                <w:rFonts w:asciiTheme="minorHAnsi" w:hAnsiTheme="minorHAnsi" w:cs="Arial"/>
                <w:b/>
                <w:sz w:val="28"/>
                <w:szCs w:val="28"/>
              </w:rPr>
              <w:tab/>
            </w:r>
            <w:r w:rsidR="00D80EF0" w:rsidRPr="00C372DE">
              <w:rPr>
                <w:rFonts w:asciiTheme="minorHAnsi" w:hAnsiTheme="minorHAnsi" w:cs="Arial"/>
                <w:b/>
                <w:sz w:val="28"/>
                <w:szCs w:val="28"/>
              </w:rPr>
              <w:t>REVIEW</w:t>
            </w:r>
          </w:p>
          <w:p w14:paraId="372EDEBD" w14:textId="77777777" w:rsidR="00D80EF0" w:rsidRPr="00C372DE" w:rsidRDefault="00D80EF0" w:rsidP="00E97787">
            <w:pPr>
              <w:spacing w:after="0"/>
              <w:ind w:left="1985"/>
              <w:jc w:val="center"/>
              <w:rPr>
                <w:rFonts w:ascii="Verdana" w:hAnsi="Verdana" w:cs="Arial"/>
              </w:rPr>
            </w:pPr>
            <w:r w:rsidRPr="00C372DE">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sidRPr="00C372DE">
              <w:rPr>
                <w:rFonts w:asciiTheme="minorHAnsi" w:hAnsiTheme="minorHAnsi" w:cs="Arial"/>
                <w:b/>
                <w:sz w:val="22"/>
                <w:szCs w:val="22"/>
              </w:rPr>
              <w:t>APPLICABILITY:</w:t>
            </w:r>
          </w:p>
        </w:tc>
        <w:tc>
          <w:tcPr>
            <w:tcW w:w="4140" w:type="dxa"/>
            <w:gridSpan w:val="2"/>
            <w:tcBorders>
              <w:left w:val="nil"/>
              <w:bottom w:val="single" w:sz="4" w:space="0" w:color="auto"/>
            </w:tcBorders>
          </w:tcPr>
          <w:p w14:paraId="69DD1643" w14:textId="77777777" w:rsidR="0019665E" w:rsidRPr="00C372DE" w:rsidRDefault="00A431E2" w:rsidP="0019665E">
            <w:pPr>
              <w:tabs>
                <w:tab w:val="left" w:pos="3402"/>
              </w:tabs>
              <w:spacing w:before="60" w:after="0"/>
              <w:ind w:left="0"/>
              <w:jc w:val="left"/>
              <w:rPr>
                <w:rFonts w:asciiTheme="minorHAnsi" w:hAnsiTheme="minorHAnsi" w:cs="Arial"/>
                <w:sz w:val="22"/>
                <w:szCs w:val="22"/>
              </w:rPr>
            </w:pPr>
            <w:r w:rsidRPr="00C372DE">
              <w:rPr>
                <w:rFonts w:asciiTheme="minorHAnsi" w:hAnsiTheme="minorHAnsi" w:cs="Arial"/>
                <w:sz w:val="22"/>
                <w:szCs w:val="22"/>
              </w:rPr>
              <w:t>FFVP</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sidRPr="00C372DE">
              <w:rPr>
                <w:rFonts w:asciiTheme="minorHAnsi" w:hAnsiTheme="minorHAnsi" w:cs="Arial"/>
                <w:sz w:val="22"/>
                <w:szCs w:val="22"/>
              </w:rPr>
              <w:t>Next ACTION:</w:t>
            </w:r>
          </w:p>
        </w:tc>
        <w:tc>
          <w:tcPr>
            <w:tcW w:w="1812" w:type="dxa"/>
            <w:tcBorders>
              <w:left w:val="nil"/>
              <w:bottom w:val="single" w:sz="4" w:space="0" w:color="auto"/>
            </w:tcBorders>
          </w:tcPr>
          <w:p w14:paraId="1997671D" w14:textId="77777777" w:rsidR="0019665E" w:rsidRPr="00C372DE" w:rsidRDefault="0019665E" w:rsidP="0019665E">
            <w:pPr>
              <w:tabs>
                <w:tab w:val="left" w:pos="3402"/>
              </w:tabs>
              <w:spacing w:after="0"/>
              <w:ind w:left="-108"/>
              <w:jc w:val="left"/>
              <w:rPr>
                <w:rFonts w:asciiTheme="minorHAnsi" w:hAnsiTheme="minorHAnsi" w:cs="Arial"/>
                <w:sz w:val="22"/>
                <w:szCs w:val="22"/>
              </w:rPr>
            </w:pPr>
          </w:p>
          <w:p w14:paraId="605B9009" w14:textId="77777777" w:rsidR="003B7927"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01</w:t>
            </w:r>
          </w:p>
          <w:p w14:paraId="33B19491" w14:textId="5C876C7E" w:rsidR="0019665E" w:rsidRPr="00C372DE" w:rsidRDefault="005E732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05/06</w:t>
            </w:r>
            <w:r w:rsidR="003B7927" w:rsidRPr="00C372DE">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Draft</w:t>
            </w:r>
          </w:p>
          <w:p w14:paraId="35FA8A62" w14:textId="77777777" w:rsidR="0019665E" w:rsidRPr="00C372DE" w:rsidRDefault="0019665E" w:rsidP="0019665E">
            <w:pPr>
              <w:spacing w:after="0"/>
              <w:ind w:left="-108"/>
              <w:jc w:val="left"/>
              <w:rPr>
                <w:rFonts w:asciiTheme="minorHAnsi" w:hAnsiTheme="minorHAnsi" w:cs="Arial"/>
                <w:sz w:val="22"/>
                <w:szCs w:val="22"/>
              </w:rPr>
            </w:pPr>
            <w:proofErr w:type="spellStart"/>
            <w:r w:rsidRPr="00C372DE">
              <w:rPr>
                <w:rFonts w:asciiTheme="minorHAnsi" w:hAnsiTheme="minorHAnsi" w:cs="Arial"/>
                <w:sz w:val="22"/>
                <w:szCs w:val="22"/>
              </w:rPr>
              <w:t>xxxxx</w:t>
            </w:r>
            <w:proofErr w:type="spellEnd"/>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sidRPr="00C4777F">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sidRPr="00C4777F">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sidRPr="00C372DE">
              <w:rPr>
                <w:rFonts w:ascii="CIDFont+F1" w:hAnsi="CIDFont+F1" w:cs="CIDFont+F1"/>
                <w:spacing w:val="0"/>
                <w:sz w:val="22"/>
                <w:szCs w:val="22"/>
                <w:lang w:eastAsia="en-GB"/>
              </w:rPr>
              <w:t>Means of Compliance</w:t>
            </w:r>
            <w:r w:rsidR="008A69AD" w:rsidRPr="00C372DE">
              <w:rPr>
                <w:rFonts w:ascii="CIDFont+F1" w:hAnsi="CIDFont+F1" w:cs="CIDFont+F1"/>
                <w:spacing w:val="0"/>
                <w:sz w:val="22"/>
                <w:szCs w:val="22"/>
                <w:lang w:eastAsia="en-GB"/>
              </w:rPr>
              <w:t xml:space="preserve"> (</w:t>
            </w:r>
            <w:proofErr w:type="spellStart"/>
            <w:r w:rsidR="008A69AD" w:rsidRPr="00C372DE">
              <w:rPr>
                <w:rFonts w:ascii="CIDFont+F1" w:hAnsi="CIDFont+F1" w:cs="CIDFont+F1"/>
                <w:spacing w:val="0"/>
                <w:sz w:val="22"/>
                <w:szCs w:val="22"/>
                <w:lang w:eastAsia="en-GB"/>
              </w:rPr>
              <w:t>MoC</w:t>
            </w:r>
            <w:proofErr w:type="spellEnd"/>
            <w:r w:rsidR="008A69AD" w:rsidRPr="00C372DE">
              <w:rPr>
                <w:rFonts w:ascii="CIDFont+F1" w:hAnsi="CIDFont+F1" w:cs="CIDFont+F1"/>
                <w:spacing w:val="0"/>
                <w:sz w:val="22"/>
                <w:szCs w:val="22"/>
                <w:lang w:eastAsia="en-GB"/>
              </w:rPr>
              <w:t>)</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CS 22.</w:t>
            </w:r>
            <w:r w:rsidR="00A431E2" w:rsidRPr="00C372DE">
              <w:rPr>
                <w:rFonts w:asciiTheme="minorHAnsi" w:hAnsiTheme="minorHAnsi" w:cstheme="minorHAnsi"/>
                <w:sz w:val="22"/>
                <w:szCs w:val="22"/>
              </w:rPr>
              <w:t>627</w:t>
            </w:r>
            <w:r w:rsidR="003B7927" w:rsidRPr="00C372DE">
              <w:t xml:space="preserve"> </w:t>
            </w:r>
            <w:r w:rsidR="003B7927" w:rsidRPr="00C372DE">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 </w:t>
            </w:r>
            <w:r w:rsidR="003B7927" w:rsidRPr="00C372DE">
              <w:rPr>
                <w:rFonts w:asciiTheme="minorHAnsi" w:hAnsiTheme="minorHAnsi" w:cstheme="minorHAnsi"/>
                <w:sz w:val="22"/>
                <w:szCs w:val="22"/>
              </w:rPr>
              <w:t>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sidRPr="00C372DE">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In all cases, EASA grants a safe-life limit based on conservative certification assumptions intended to cover the approved </w:t>
      </w:r>
      <w:proofErr w:type="gramStart"/>
      <w:r w:rsidRPr="00C372DE">
        <w:rPr>
          <w:rFonts w:asciiTheme="minorHAnsi" w:hAnsiTheme="minorHAnsi" w:cstheme="minorHAnsi"/>
          <w:sz w:val="22"/>
          <w:szCs w:val="22"/>
        </w:rPr>
        <w:t>type</w:t>
      </w:r>
      <w:proofErr w:type="gramEnd"/>
      <w:r w:rsidRPr="00C372DE">
        <w:rPr>
          <w:rFonts w:asciiTheme="minorHAnsi" w:hAnsiTheme="minorHAnsi" w:cstheme="minorHAnsi"/>
          <w:sz w:val="22"/>
          <w:szCs w:val="22"/>
        </w:rPr>
        <w:t xml:space="preserve"> operation. The 12,000-hour limit applied to many composite sailplanes reflects both historical uncertainty regarding composite fatigue </w:t>
      </w:r>
      <w:proofErr w:type="spellStart"/>
      <w:r w:rsidRPr="00C372DE">
        <w:rPr>
          <w:rFonts w:asciiTheme="minorHAnsi" w:hAnsiTheme="minorHAnsi" w:cstheme="minorHAnsi"/>
          <w:sz w:val="22"/>
          <w:szCs w:val="22"/>
        </w:rPr>
        <w:t>behaviour</w:t>
      </w:r>
      <w:proofErr w:type="spellEnd"/>
      <w:r w:rsidRPr="00C372DE">
        <w:rPr>
          <w:rFonts w:asciiTheme="minorHAnsi" w:hAnsiTheme="minorHAnsi" w:cstheme="minorHAnsi"/>
          <w:sz w:val="22"/>
          <w:szCs w:val="22"/>
        </w:rPr>
        <w:t xml:space="preserve"> and the conservatism of the reference utilization spectrum, which represents a full operational usage envelope and may exceed the measured operational usage of a significant portion of the fleet. </w:t>
      </w:r>
      <w:proofErr w:type="gramStart"/>
      <w:r w:rsidR="00BB4029" w:rsidRPr="00C372DE">
        <w:rPr>
          <w:rFonts w:asciiTheme="minorHAnsi" w:hAnsiTheme="minorHAnsi" w:cstheme="minorHAnsi"/>
          <w:sz w:val="22"/>
          <w:szCs w:val="22"/>
        </w:rPr>
        <w:t>Operational experience</w:t>
      </w:r>
      <w:r w:rsidR="00BB4029">
        <w:rPr>
          <w:rFonts w:asciiTheme="minorHAnsi" w:hAnsiTheme="minorHAnsi" w:cstheme="minorHAnsi"/>
          <w:sz w:val="22"/>
          <w:szCs w:val="22"/>
        </w:rPr>
        <w:t>,</w:t>
      </w:r>
      <w:proofErr w:type="gramEnd"/>
      <w:r w:rsidR="00BB4029">
        <w:rPr>
          <w:rFonts w:asciiTheme="minorHAnsi" w:hAnsiTheme="minorHAnsi" w:cstheme="minorHAnsi"/>
          <w:sz w:val="22"/>
          <w:szCs w:val="22"/>
        </w:rPr>
        <w:t xml:space="preserve"> </w:t>
      </w:r>
      <w:r w:rsidRPr="00C372DE">
        <w:rPr>
          <w:rFonts w:asciiTheme="minorHAnsi" w:hAnsiTheme="minorHAnsi" w:cstheme="minorHAnsi"/>
          <w:sz w:val="22"/>
          <w:szCs w:val="22"/>
        </w:rPr>
        <w:t>published composite data, full-scale fatigue tests, and analytical comparisons indicate that this limit is conservative with respect to typical measured operational usage.</w:t>
      </w:r>
    </w:p>
    <w:p w14:paraId="7C44DF84" w14:textId="6325DE21" w:rsidR="00670BAF" w:rsidRPr="00C372DE" w:rsidRDefault="006438BC"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Similar measured-usage principles have been used in aviation</w:t>
      </w:r>
      <w:r w:rsidR="00375A30">
        <w:rPr>
          <w:rFonts w:asciiTheme="minorHAnsi" w:hAnsiTheme="minorHAnsi" w:cstheme="minorHAnsi"/>
          <w:sz w:val="22"/>
          <w:szCs w:val="22"/>
        </w:rPr>
        <w:t>, including</w:t>
      </w:r>
      <w:r w:rsidR="00765AD3">
        <w:rPr>
          <w:rFonts w:asciiTheme="minorHAnsi" w:hAnsiTheme="minorHAnsi" w:cstheme="minorHAnsi"/>
          <w:sz w:val="22"/>
          <w:szCs w:val="22"/>
        </w:rPr>
        <w:t xml:space="preserve"> Structural Health Monitoring </w:t>
      </w:r>
      <w:r w:rsidRPr="00AA746A">
        <w:rPr>
          <w:rFonts w:asciiTheme="minorHAnsi" w:hAnsiTheme="minorHAnsi" w:cstheme="minorHAnsi"/>
          <w:sz w:val="22"/>
          <w:szCs w:val="22"/>
        </w:rPr>
        <w:t xml:space="preserve">and Individual Aircraft Tracking, particularly in military aviation where aircraft may experience missions significantly </w:t>
      </w:r>
      <w:proofErr w:type="gramStart"/>
      <w:r w:rsidR="00A9198A" w:rsidRPr="00AA746A">
        <w:rPr>
          <w:rFonts w:asciiTheme="minorHAnsi" w:hAnsiTheme="minorHAnsi" w:cstheme="minorHAnsi"/>
          <w:sz w:val="22"/>
          <w:szCs w:val="22"/>
        </w:rPr>
        <w:t>different</w:t>
      </w:r>
      <w:proofErr w:type="gramEnd"/>
      <w:r w:rsidR="00A9198A">
        <w:rPr>
          <w:rFonts w:asciiTheme="minorHAnsi" w:hAnsiTheme="minorHAnsi" w:cstheme="minorHAnsi"/>
          <w:sz w:val="22"/>
          <w:szCs w:val="22"/>
        </w:rPr>
        <w:t xml:space="preserve"> </w:t>
      </w:r>
      <w:r w:rsidRPr="00AA746A">
        <w:rPr>
          <w:rFonts w:asciiTheme="minorHAnsi" w:hAnsiTheme="minorHAnsi" w:cstheme="minorHAnsi"/>
          <w:sz w:val="22"/>
          <w:szCs w:val="22"/>
        </w:rPr>
        <w:t>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The proposed measured-usage fatigue monitoring method does not claim direct transferability from </w:t>
      </w:r>
      <w:r w:rsidR="00765AD3">
        <w:rPr>
          <w:rFonts w:asciiTheme="minorHAnsi" w:hAnsiTheme="minorHAnsi" w:cstheme="minorHAnsi"/>
          <w:sz w:val="22"/>
          <w:szCs w:val="22"/>
        </w:rPr>
        <w:t xml:space="preserve">SHM or </w:t>
      </w:r>
      <w:r w:rsidRPr="00AA746A">
        <w:rPr>
          <w:rFonts w:asciiTheme="minorHAnsi" w:hAnsiTheme="minorHAnsi" w:cstheme="minorHAnsi"/>
          <w:sz w:val="22"/>
          <w:szCs w:val="22"/>
        </w:rPr>
        <w:t>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safe-life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safe-life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sidRPr="00AA746A">
        <w:rPr>
          <w:rFonts w:asciiTheme="minorHAnsi" w:hAnsiTheme="minorHAnsi" w:cstheme="minorHAnsi"/>
          <w:sz w:val="22"/>
          <w:szCs w:val="22"/>
        </w:rPr>
        <w:t>DISCUSSION</w:t>
      </w:r>
    </w:p>
    <w:p w14:paraId="60AF2C45" w14:textId="1B327111"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EASA POSITION (Issue 1, dated xx-xxx-</w:t>
      </w:r>
      <w:proofErr w:type="spellStart"/>
      <w:r w:rsidRPr="00AA746A">
        <w:rPr>
          <w:rFonts w:asciiTheme="minorHAnsi" w:hAnsiTheme="minorHAnsi" w:cstheme="minorHAnsi"/>
          <w:sz w:val="22"/>
          <w:szCs w:val="22"/>
        </w:rPr>
        <w:t>yyyy</w:t>
      </w:r>
      <w:proofErr w:type="spellEnd"/>
      <w:r w:rsidRPr="00AA746A">
        <w:rPr>
          <w:rFonts w:asciiTheme="minorHAnsi" w:hAnsiTheme="minorHAnsi" w:cstheme="minorHAnsi"/>
          <w:sz w:val="22"/>
          <w:szCs w:val="22"/>
        </w:rPr>
        <w:t>) (drafted by applicant)</w:t>
      </w:r>
      <w:r w:rsidRPr="00AA746A">
        <w:rPr>
          <w:rFonts w:asciiTheme="minorHAnsi" w:hAnsiTheme="minorHAnsi" w:cstheme="minorHAnsi"/>
          <w:sz w:val="22"/>
          <w:szCs w:val="22"/>
        </w:rPr>
        <w:br/>
      </w:r>
      <w:r w:rsidR="006C40D2" w:rsidRPr="006C40D2">
        <w:rPr>
          <w:rFonts w:asciiTheme="minorHAnsi" w:hAnsiTheme="minorHAnsi" w:cstheme="minorHAnsi"/>
          <w:sz w:val="22"/>
          <w:szCs w:val="22"/>
        </w:rPr>
        <w:t>EASA may accept measured-usage fatigue monitoring as an Alternative Means of Compliance to CS 22.627 for individual composite sailplanes with an EASA-recognized Type Certificate Data Sheet and an established safe-life limit, provided all requirements of Appendix A are met.</w:t>
      </w:r>
      <w:r w:rsidRPr="00AA746A">
        <w:rPr>
          <w:rFonts w:asciiTheme="minorHAnsi" w:hAnsiTheme="minorHAnsi" w:cstheme="minorHAnsi"/>
          <w:sz w:val="22"/>
          <w:szCs w:val="22"/>
        </w:rPr>
        <w:br/>
        <w:t>This acceptance: (a) applies on a per-aircraft serial-number basis; (b) does not allow any modification to the fatigue metric value associated with the certified safe-life basis, the certified flight envelope limits, the certified structural load limits, or the original structural substantiation; and (c) is valid only if the Instructions for Continued Airworthiness associated with the monitoring system</w:t>
      </w:r>
      <w:r w:rsidR="008F0272">
        <w:rPr>
          <w:rFonts w:asciiTheme="minorHAnsi" w:hAnsiTheme="minorHAnsi" w:cstheme="minorHAnsi"/>
          <w:sz w:val="22"/>
          <w:szCs w:val="22"/>
        </w:rPr>
        <w:t>,</w:t>
      </w:r>
      <w:r w:rsidRPr="00AA746A">
        <w:rPr>
          <w:rFonts w:asciiTheme="minorHAnsi" w:hAnsiTheme="minorHAnsi" w:cstheme="minorHAnsi"/>
          <w:sz w:val="22"/>
          <w:szCs w:val="22"/>
        </w:rPr>
        <w:t xml:space="preserve"> </w:t>
      </w:r>
      <w:r w:rsidR="008F0272" w:rsidRPr="008F0272">
        <w:rPr>
          <w:rFonts w:asciiTheme="minorHAnsi" w:hAnsiTheme="minorHAnsi" w:cstheme="minorHAnsi"/>
          <w:sz w:val="22"/>
          <w:szCs w:val="22"/>
        </w:rPr>
        <w:t>including required inspections,</w:t>
      </w:r>
      <w:r w:rsidR="008F0272">
        <w:rPr>
          <w:rFonts w:asciiTheme="minorHAnsi" w:hAnsiTheme="minorHAnsi" w:cstheme="minorHAnsi"/>
          <w:sz w:val="22"/>
          <w:szCs w:val="22"/>
        </w:rPr>
        <w:t xml:space="preserve"> </w:t>
      </w:r>
      <w:r w:rsidRPr="00AA746A">
        <w:rPr>
          <w:rFonts w:asciiTheme="minorHAnsi" w:hAnsiTheme="minorHAnsi" w:cstheme="minorHAnsi"/>
          <w:sz w:val="22"/>
          <w:szCs w:val="22"/>
        </w:rPr>
        <w:t>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BodyText3"/>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APPLICANT’S</w:t>
      </w:r>
      <w:r w:rsidR="00FA470E" w:rsidRPr="00AA746A">
        <w:rPr>
          <w:rFonts w:asciiTheme="minorHAnsi" w:hAnsiTheme="minorHAnsi" w:cstheme="minorHAnsi"/>
          <w:sz w:val="22"/>
          <w:szCs w:val="22"/>
        </w:rPr>
        <w:t xml:space="preserve"> POSITION</w:t>
      </w:r>
      <w:r w:rsidR="00CD1ED3" w:rsidRPr="00AA746A">
        <w:rPr>
          <w:rFonts w:asciiTheme="minorHAnsi" w:hAnsiTheme="minorHAnsi" w:cstheme="minorHAnsi"/>
          <w:sz w:val="22"/>
          <w:szCs w:val="22"/>
        </w:rPr>
        <w:t xml:space="preserve"> (Issue </w:t>
      </w:r>
      <w:r w:rsidR="003608E4" w:rsidRPr="00AA746A">
        <w:rPr>
          <w:rFonts w:asciiTheme="minorHAnsi" w:hAnsiTheme="minorHAnsi" w:cstheme="minorHAnsi"/>
          <w:sz w:val="22"/>
          <w:szCs w:val="22"/>
        </w:rPr>
        <w:t>xx</w:t>
      </w:r>
      <w:r w:rsidR="00B61FA3" w:rsidRPr="00AA746A">
        <w:rPr>
          <w:rFonts w:asciiTheme="minorHAnsi" w:hAnsiTheme="minorHAnsi" w:cstheme="minorHAnsi"/>
          <w:sz w:val="22"/>
          <w:szCs w:val="22"/>
        </w:rPr>
        <w:t xml:space="preserve">, dated </w:t>
      </w:r>
      <w:r w:rsidRPr="00AA746A">
        <w:rPr>
          <w:rFonts w:asciiTheme="minorHAnsi" w:hAnsiTheme="minorHAnsi" w:cstheme="minorHAnsi"/>
          <w:sz w:val="22"/>
          <w:szCs w:val="22"/>
        </w:rPr>
        <w:t>xx</w:t>
      </w:r>
      <w:r w:rsidR="00BC77D0" w:rsidRPr="00AA746A">
        <w:rPr>
          <w:rFonts w:asciiTheme="minorHAnsi" w:hAnsiTheme="minorHAnsi" w:cstheme="minorHAnsi"/>
          <w:sz w:val="22"/>
          <w:szCs w:val="22"/>
        </w:rPr>
        <w:t>-</w:t>
      </w:r>
      <w:r w:rsidR="00BA0A0B" w:rsidRPr="00AA746A">
        <w:rPr>
          <w:rFonts w:asciiTheme="minorHAnsi" w:hAnsiTheme="minorHAnsi" w:cstheme="minorHAnsi"/>
          <w:sz w:val="22"/>
          <w:szCs w:val="22"/>
        </w:rPr>
        <w:t>MAY</w:t>
      </w:r>
      <w:r w:rsidR="008A69AD" w:rsidRPr="00AA746A">
        <w:rPr>
          <w:rFonts w:asciiTheme="minorHAnsi" w:hAnsiTheme="minorHAnsi" w:cstheme="minorHAnsi"/>
          <w:sz w:val="22"/>
          <w:szCs w:val="22"/>
        </w:rPr>
        <w:t>-202</w:t>
      </w:r>
      <w:r w:rsidR="00BA0A0B" w:rsidRPr="00AA746A">
        <w:rPr>
          <w:rFonts w:asciiTheme="minorHAnsi" w:hAnsiTheme="minorHAnsi" w:cstheme="minorHAnsi"/>
          <w:sz w:val="22"/>
          <w:szCs w:val="22"/>
        </w:rPr>
        <w:t>6</w:t>
      </w:r>
      <w:r w:rsidR="00B61FA3" w:rsidRPr="00AA746A">
        <w:rPr>
          <w:rFonts w:asciiTheme="minorHAnsi" w:hAnsiTheme="minorHAnsi" w:cstheme="minorHAnsi"/>
          <w:sz w:val="22"/>
          <w:szCs w:val="22"/>
        </w:rPr>
        <w:t>)</w:t>
      </w:r>
      <w:r w:rsidR="00CF4B68" w:rsidRPr="00AA746A">
        <w:rPr>
          <w:rFonts w:asciiTheme="minorHAnsi" w:hAnsiTheme="minorHAnsi" w:cstheme="minorHAnsi"/>
          <w:sz w:val="22"/>
          <w:szCs w:val="22"/>
        </w:rPr>
        <w:fldChar w:fldCharType="begin"/>
      </w:r>
      <w:r w:rsidR="00CF4B68" w:rsidRPr="00AA746A">
        <w:rPr>
          <w:rFonts w:asciiTheme="minorHAnsi" w:hAnsiTheme="minorHAnsi" w:cstheme="minorHAnsi"/>
          <w:sz w:val="22"/>
          <w:szCs w:val="22"/>
        </w:rPr>
        <w:instrText xml:space="preserve">  </w:instrText>
      </w:r>
      <w:r w:rsidR="00CF4B68" w:rsidRPr="00AA746A">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The </w:t>
      </w:r>
      <w:r w:rsidR="00A431E2" w:rsidRPr="00C372DE">
        <w:rPr>
          <w:rFonts w:asciiTheme="minorHAnsi" w:hAnsiTheme="minorHAnsi" w:cstheme="minorHAnsi"/>
          <w:sz w:val="22"/>
          <w:szCs w:val="22"/>
        </w:rPr>
        <w:t>FFVP</w:t>
      </w:r>
      <w:r w:rsidRPr="00C372DE">
        <w:rPr>
          <w:rFonts w:asciiTheme="minorHAnsi" w:hAnsiTheme="minorHAnsi" w:cstheme="minorHAnsi"/>
          <w:sz w:val="22"/>
          <w:szCs w:val="22"/>
        </w:rPr>
        <w:t xml:space="preserve"> agrees with the EASA position and will use the </w:t>
      </w:r>
      <w:proofErr w:type="spellStart"/>
      <w:r w:rsidRPr="00C372DE">
        <w:rPr>
          <w:rFonts w:asciiTheme="minorHAnsi" w:hAnsiTheme="minorHAnsi" w:cstheme="minorHAnsi"/>
          <w:sz w:val="22"/>
          <w:szCs w:val="22"/>
        </w:rPr>
        <w:t>MoC</w:t>
      </w:r>
      <w:proofErr w:type="spellEnd"/>
      <w:r w:rsidRPr="00C372DE">
        <w:rPr>
          <w:rFonts w:asciiTheme="minorHAnsi" w:hAnsiTheme="minorHAnsi" w:cstheme="minorHAnsi"/>
          <w:sz w:val="22"/>
          <w:szCs w:val="22"/>
        </w:rPr>
        <w:t xml:space="preserve">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C</w:t>
      </w:r>
      <w:r w:rsidR="00FA470E" w:rsidRPr="00AA746A">
        <w:rPr>
          <w:rFonts w:asciiTheme="minorHAnsi" w:hAnsiTheme="minorHAnsi" w:cstheme="minorHAnsi"/>
          <w:sz w:val="22"/>
          <w:szCs w:val="22"/>
        </w:rPr>
        <w:t>ONCLUSION</w:t>
      </w:r>
      <w:r w:rsidR="00F925D6" w:rsidRPr="00AA746A">
        <w:rPr>
          <w:rFonts w:asciiTheme="minorHAnsi" w:hAnsiTheme="minorHAnsi" w:cstheme="minorHAnsi"/>
          <w:sz w:val="22"/>
          <w:szCs w:val="22"/>
        </w:rPr>
        <w:t xml:space="preserve"> </w:t>
      </w:r>
      <w:r w:rsidR="00CD1ED3" w:rsidRPr="00AA746A">
        <w:rPr>
          <w:rFonts w:asciiTheme="minorHAnsi" w:hAnsiTheme="minorHAnsi" w:cstheme="minorHAnsi"/>
          <w:sz w:val="22"/>
          <w:szCs w:val="22"/>
        </w:rPr>
        <w:t>(</w:t>
      </w:r>
      <w:r w:rsidR="00BC77D0" w:rsidRPr="00AA746A">
        <w:rPr>
          <w:rFonts w:asciiTheme="minorHAnsi" w:hAnsiTheme="minorHAnsi" w:cstheme="minorHAnsi"/>
          <w:sz w:val="22"/>
          <w:szCs w:val="22"/>
        </w:rPr>
        <w:t>Issue xx, date</w:t>
      </w:r>
      <w:r w:rsidR="00F925D6" w:rsidRPr="00AA746A">
        <w:rPr>
          <w:rFonts w:asciiTheme="minorHAnsi" w:hAnsiTheme="minorHAnsi" w:cstheme="minorHAnsi"/>
          <w:sz w:val="22"/>
          <w:szCs w:val="22"/>
        </w:rPr>
        <w:t>)</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sidRPr="00AA746A">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sidRPr="00C372DE">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sidRPr="00C372DE">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sidRPr="00C372DE">
              <w:rPr>
                <w:rFonts w:asciiTheme="minorHAnsi" w:hAnsiTheme="minorHAnsi" w:cstheme="minorHAnsi"/>
                <w:spacing w:val="0"/>
                <w:sz w:val="18"/>
                <w:szCs w:val="18"/>
                <w:lang w:eastAsia="en-GB"/>
              </w:rPr>
              <w:t>1</w:t>
            </w:r>
          </w:p>
        </w:tc>
        <w:tc>
          <w:tcPr>
            <w:tcW w:w="1276" w:type="dxa"/>
            <w:vAlign w:val="center"/>
          </w:tcPr>
          <w:p w14:paraId="4EF97A68"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53D9D16E" w14:textId="77777777"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sidRPr="00C372DE">
              <w:rPr>
                <w:rFonts w:asciiTheme="minorHAnsi" w:hAnsiTheme="minorHAnsi" w:cstheme="minorHAnsi"/>
                <w:spacing w:val="0"/>
                <w:lang w:eastAsia="en-GB"/>
              </w:rPr>
              <w:t>Initial issue</w:t>
            </w:r>
          </w:p>
        </w:tc>
      </w:tr>
      <w:tr w:rsidR="00F43F1B" w:rsidRPr="00C372DE" w14:paraId="0D801E77" w14:textId="77777777">
        <w:trPr>
          <w:trHeight w:val="340"/>
        </w:trPr>
        <w:tc>
          <w:tcPr>
            <w:tcW w:w="850" w:type="dxa"/>
            <w:vAlign w:val="center"/>
          </w:tcPr>
          <w:p w14:paraId="646A3CA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5AA5567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3F3DD5E"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sidRPr="00C372DE">
        <w:rPr>
          <w:rFonts w:asciiTheme="minorHAnsi" w:hAnsiTheme="minorHAnsi"/>
          <w:snapToGrid w:val="0"/>
          <w:sz w:val="22"/>
          <w:szCs w:val="22"/>
        </w:rPr>
        <w:br w:type="page"/>
      </w:r>
    </w:p>
    <w:p w14:paraId="3EDDCE62" w14:textId="77777777" w:rsidR="008A4ED4" w:rsidRDefault="00000000">
      <w:pPr>
        <w:pStyle w:val="Heading1"/>
        <w:spacing w:before="0" w:after="120"/>
        <w:ind w:left="0"/>
        <w:jc w:val="left"/>
      </w:pPr>
      <w:r>
        <w:rPr>
          <w:b w:val="0"/>
        </w:rPr>
        <w:lastRenderedPageBreak/>
        <w:t>Appendix A – Proposed Means of Compliance for Measured-Usage Fatigue Monitoring</w:t>
      </w:r>
    </w:p>
    <w:p w14:paraId="5E434F1B" w14:textId="62CA2A56"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For a glider with an established safe-life limit, a system for monitoring in-service usage may support operation beyond the originally established safe-life </w:t>
      </w:r>
      <w:r w:rsidR="00375A30">
        <w:rPr>
          <w:rFonts w:asciiTheme="minorHAnsi" w:hAnsiTheme="minorHAnsi" w:cstheme="minorHAnsi"/>
          <w:sz w:val="22"/>
          <w:szCs w:val="22"/>
        </w:rPr>
        <w:t>limit</w:t>
      </w:r>
      <w:r w:rsidRPr="00AA746A">
        <w:rPr>
          <w:rFonts w:asciiTheme="minorHAnsi" w:hAnsiTheme="minorHAnsi" w:cstheme="minorHAnsi"/>
          <w:sz w:val="22"/>
          <w:szCs w:val="22"/>
        </w:rPr>
        <w:t xml:space="preserve">, </w:t>
      </w:r>
      <w:r w:rsidR="008F0272" w:rsidRPr="008F0272">
        <w:rPr>
          <w:rFonts w:asciiTheme="minorHAnsi" w:hAnsiTheme="minorHAnsi" w:cstheme="minorHAnsi"/>
          <w:sz w:val="22"/>
          <w:szCs w:val="22"/>
        </w:rPr>
        <w:t>provided that the metric used to monitor fatigue remains below the approved reference metric value associated with the certified safe-life</w:t>
      </w:r>
      <w:r w:rsidR="008F0272">
        <w:rPr>
          <w:rFonts w:asciiTheme="minorHAnsi" w:hAnsiTheme="minorHAnsi" w:cstheme="minorHAnsi"/>
          <w:sz w:val="22"/>
          <w:szCs w:val="22"/>
        </w:rPr>
        <w:t xml:space="preserve"> </w:t>
      </w:r>
      <w:r w:rsidRPr="00AA746A">
        <w:rPr>
          <w:rFonts w:asciiTheme="minorHAnsi" w:hAnsiTheme="minorHAnsi" w:cstheme="minorHAnsi"/>
          <w:sz w:val="22"/>
          <w:szCs w:val="22"/>
        </w:rPr>
        <w:t>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Fatigue-severity metric:</w:t>
      </w:r>
      <w:r w:rsidRPr="00AA746A">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p>
    <w:p w14:paraId="4A644A83"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spectrum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A reference spectrum should be selected to represent the envelope of possible glider usages within the approved applicability domain and should be recognized as a means of compliance. For Utility-category operation, the </w:t>
      </w:r>
      <w:proofErr w:type="spellStart"/>
      <w:r w:rsidRPr="00AA746A">
        <w:rPr>
          <w:rFonts w:asciiTheme="minorHAnsi" w:hAnsiTheme="minorHAnsi" w:cstheme="minorHAnsi"/>
          <w:sz w:val="22"/>
          <w:szCs w:val="22"/>
        </w:rPr>
        <w:t>Kossira</w:t>
      </w:r>
      <w:proofErr w:type="spellEnd"/>
      <w:r w:rsidRPr="00AA746A">
        <w:rPr>
          <w:rFonts w:asciiTheme="minorHAnsi" w:hAnsiTheme="minorHAnsi" w:cstheme="minorHAnsi"/>
          <w:sz w:val="22"/>
          <w:szCs w:val="22"/>
        </w:rPr>
        <w:t xml:space="preserve">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metric value:</w:t>
      </w:r>
      <w:r w:rsidRPr="00AA746A">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an exposure equal to three times the certified safe-life limit corresponds to a metric value of one (1). In that case, the metric value corresponding to the certified safe-life limit is one third of the metric value associated with the safety-factored exposure. This normalization shall not be interpreted as evidence that the structure would fail at that exposure; it is a conservative reference normalization for the measured-usage comparison.</w:t>
      </w:r>
    </w:p>
    <w:p w14:paraId="6FFF687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Real usage spectrum:</w:t>
      </w:r>
      <w:r w:rsidRPr="00AA746A">
        <w:rPr>
          <w:rFonts w:asciiTheme="minorHAnsi" w:hAnsiTheme="minorHAnsi" w:cstheme="minorHAnsi"/>
          <w:sz w:val="22"/>
          <w:szCs w:val="22"/>
        </w:rPr>
        <w:br/>
        <w:t xml:space="preserve">A real usage spectrum should be established to represent the load variations and fatigue-relevant usage </w:t>
      </w:r>
      <w:proofErr w:type="gramStart"/>
      <w:r w:rsidRPr="00AA746A">
        <w:rPr>
          <w:rFonts w:asciiTheme="minorHAnsi" w:hAnsiTheme="minorHAnsi" w:cstheme="minorHAnsi"/>
          <w:sz w:val="22"/>
          <w:szCs w:val="22"/>
        </w:rPr>
        <w:t>actually sustained</w:t>
      </w:r>
      <w:proofErr w:type="gramEnd"/>
      <w:r w:rsidRPr="00AA746A">
        <w:rPr>
          <w:rFonts w:asciiTheme="minorHAnsi" w:hAnsiTheme="minorHAnsi" w:cstheme="minorHAnsi"/>
          <w:sz w:val="22"/>
          <w:szCs w:val="22"/>
        </w:rPr>
        <w:t xml:space="preserve"> by an individual glider. To allow comparison between the reference spectrum and the real usage spectrum, the real usage spectrum should be developed using a methodology consistent with the one used to establish the reference spectrum. When a </w:t>
      </w:r>
      <w:proofErr w:type="spellStart"/>
      <w:r w:rsidRPr="00AA746A">
        <w:rPr>
          <w:rFonts w:asciiTheme="minorHAnsi" w:hAnsiTheme="minorHAnsi" w:cstheme="minorHAnsi"/>
          <w:sz w:val="22"/>
          <w:szCs w:val="22"/>
        </w:rPr>
        <w:t>Kossira</w:t>
      </w:r>
      <w:proofErr w:type="spellEnd"/>
      <w:r w:rsidRPr="00AA746A">
        <w:rPr>
          <w:rFonts w:asciiTheme="minorHAnsi" w:hAnsiTheme="minorHAnsi" w:cstheme="minorHAnsi"/>
          <w:sz w:val="22"/>
          <w:szCs w:val="22"/>
        </w:rPr>
        <w:t xml:space="preserve"> &amp; Reinke reference spectrum is used, the </w:t>
      </w:r>
      <w:proofErr w:type="spellStart"/>
      <w:r w:rsidRPr="00AA746A">
        <w:rPr>
          <w:rFonts w:asciiTheme="minorHAnsi" w:hAnsiTheme="minorHAnsi" w:cstheme="minorHAnsi"/>
          <w:sz w:val="22"/>
          <w:szCs w:val="22"/>
        </w:rPr>
        <w:t>Kossira</w:t>
      </w:r>
      <w:proofErr w:type="spellEnd"/>
      <w:r w:rsidRPr="00AA746A">
        <w:rPr>
          <w:rFonts w:asciiTheme="minorHAnsi" w:hAnsiTheme="minorHAnsi" w:cstheme="minorHAnsi"/>
          <w:sz w:val="22"/>
          <w:szCs w:val="22"/>
        </w:rPr>
        <w:t xml:space="preserve"> &amp; Reinke counting methodology is considered acceptable. Any period for which valid measured usage data </w:t>
      </w:r>
      <w:proofErr w:type="gramStart"/>
      <w:r w:rsidRPr="00AA746A">
        <w:rPr>
          <w:rFonts w:asciiTheme="minorHAnsi" w:hAnsiTheme="minorHAnsi" w:cstheme="minorHAnsi"/>
          <w:sz w:val="22"/>
          <w:szCs w:val="22"/>
        </w:rPr>
        <w:t>are</w:t>
      </w:r>
      <w:proofErr w:type="gramEnd"/>
      <w:r w:rsidRPr="00AA746A">
        <w:rPr>
          <w:rFonts w:asciiTheme="minorHAnsi" w:hAnsiTheme="minorHAnsi" w:cstheme="minorHAnsi"/>
          <w:sz w:val="22"/>
          <w:szCs w:val="22"/>
        </w:rPr>
        <w:t xml:space="preserv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Measurement system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Composite fatigue parameter:</w:t>
      </w:r>
      <w:r w:rsidRPr="00AA746A">
        <w:rPr>
          <w:rFonts w:asciiTheme="minorHAnsi" w:hAnsiTheme="minorHAnsi" w:cstheme="minorHAnsi"/>
          <w:sz w:val="22"/>
          <w:szCs w:val="22"/>
        </w:rPr>
        <w:br/>
        <w:t xml:space="preserve">When the metric is developed using Palmgren-Miner and Basquin models, the Basquin parameter </w:t>
      </w:r>
      <w:r w:rsidRPr="00AA746A">
        <w:rPr>
          <w:rFonts w:asciiTheme="minorHAnsi" w:hAnsiTheme="minorHAnsi" w:cstheme="minorHAnsi"/>
          <w:sz w:val="22"/>
          <w:szCs w:val="22"/>
        </w:rPr>
        <w:lastRenderedPageBreak/>
        <w:t xml:space="preserve">should be based on recognized composite-structure fatigue data representative of composite primary structures used in gliders. The parameter should be selected conservatively, </w:t>
      </w:r>
      <w:proofErr w:type="gramStart"/>
      <w:r w:rsidRPr="00AA746A">
        <w:rPr>
          <w:rFonts w:asciiTheme="minorHAnsi" w:hAnsiTheme="minorHAnsi" w:cstheme="minorHAnsi"/>
          <w:sz w:val="22"/>
          <w:szCs w:val="22"/>
        </w:rPr>
        <w:t>in order to</w:t>
      </w:r>
      <w:proofErr w:type="gramEnd"/>
      <w:r w:rsidRPr="00AA746A">
        <w:rPr>
          <w:rFonts w:asciiTheme="minorHAnsi" w:hAnsiTheme="minorHAnsi" w:cstheme="minorHAnsi"/>
          <w:sz w:val="22"/>
          <w:szCs w:val="22"/>
        </w:rPr>
        <w:t xml:space="preserve">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Reference-versus-real comparison:</w:t>
      </w:r>
      <w:r w:rsidRPr="00AA746A">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safe-life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Instructions for Continued Airworthiness and operational control:</w:t>
      </w:r>
      <w:r w:rsidRPr="00AA746A">
        <w:rPr>
          <w:rFonts w:asciiTheme="minorHAnsi" w:hAnsiTheme="minorHAnsi" w:cstheme="minorHAnsi"/>
          <w:sz w:val="22"/>
          <w:szCs w:val="22"/>
        </w:rPr>
        <w:br/>
        <w:t xml:space="preserve">Instructions for Continued Airworthiness should be developed so that the benefits and limitations of measured-usage fatigue monitoring are correctly </w:t>
      </w:r>
      <w:proofErr w:type="gramStart"/>
      <w:r w:rsidRPr="00AA746A">
        <w:rPr>
          <w:rFonts w:asciiTheme="minorHAnsi" w:hAnsiTheme="minorHAnsi" w:cstheme="minorHAnsi"/>
          <w:sz w:val="22"/>
          <w:szCs w:val="22"/>
        </w:rPr>
        <w:t>taken into account</w:t>
      </w:r>
      <w:proofErr w:type="gramEnd"/>
      <w:r w:rsidRPr="00AA746A">
        <w:rPr>
          <w:rFonts w:asciiTheme="minorHAnsi" w:hAnsiTheme="minorHAnsi" w:cstheme="minorHAnsi"/>
          <w:sz w:val="22"/>
          <w:szCs w:val="22"/>
        </w:rPr>
        <w:t xml:space="preserve">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4971" w14:textId="77777777" w:rsidR="00F8461A" w:rsidRPr="00C372DE" w:rsidRDefault="00F8461A">
      <w:r w:rsidRPr="00C372DE">
        <w:separator/>
      </w:r>
    </w:p>
  </w:endnote>
  <w:endnote w:type="continuationSeparator" w:id="0">
    <w:p w14:paraId="21801DE9" w14:textId="77777777" w:rsidR="00F8461A" w:rsidRPr="00C372DE" w:rsidRDefault="00F8461A">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Footer"/>
      <w:ind w:left="0"/>
      <w:rPr>
        <w:rFonts w:asciiTheme="minorHAnsi" w:hAnsiTheme="minorHAnsi" w:cstheme="minorHAnsi"/>
      </w:rPr>
    </w:pPr>
  </w:p>
  <w:p w14:paraId="74C8AFE9"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Hyperlink"/>
          <w:rFonts w:ascii="Calibri" w:hAnsi="Calibri"/>
          <w:sz w:val="16"/>
          <w:szCs w:val="22"/>
        </w:rPr>
        <w:t xml:space="preserve">Regulation (EC) No </w:t>
      </w:r>
      <w:r w:rsidR="005D3EA5" w:rsidRPr="00C372DE">
        <w:rPr>
          <w:rStyle w:val="Hyperlink"/>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Footer"/>
      <w:ind w:left="0"/>
      <w:rPr>
        <w:rFonts w:asciiTheme="minorHAnsi" w:hAnsiTheme="minorHAnsi" w:cstheme="minorHAnsi"/>
      </w:rPr>
    </w:pPr>
  </w:p>
  <w:p w14:paraId="4201E56A"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E366" w14:textId="77777777" w:rsidR="00F8461A" w:rsidRPr="00C372DE" w:rsidRDefault="00F8461A">
      <w:r w:rsidRPr="00C372DE">
        <w:separator/>
      </w:r>
    </w:p>
  </w:footnote>
  <w:footnote w:type="continuationSeparator" w:id="0">
    <w:p w14:paraId="45E7881A" w14:textId="77777777" w:rsidR="00F8461A" w:rsidRPr="00C372DE" w:rsidRDefault="00F8461A">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Header"/>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Header"/>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Header"/>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Header"/>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100076"/>
    <w:rsid w:val="00100B1D"/>
    <w:rsid w:val="00102000"/>
    <w:rsid w:val="001031D1"/>
    <w:rsid w:val="0010461C"/>
    <w:rsid w:val="0010699C"/>
    <w:rsid w:val="00110C0F"/>
    <w:rsid w:val="00114A65"/>
    <w:rsid w:val="00116770"/>
    <w:rsid w:val="00120A8E"/>
    <w:rsid w:val="00132F85"/>
    <w:rsid w:val="001416F7"/>
    <w:rsid w:val="00144C61"/>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75A30"/>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3F70"/>
    <w:rsid w:val="005A41A0"/>
    <w:rsid w:val="005B470E"/>
    <w:rsid w:val="005B5B81"/>
    <w:rsid w:val="005C3045"/>
    <w:rsid w:val="005C36F0"/>
    <w:rsid w:val="005C5052"/>
    <w:rsid w:val="005D2F8B"/>
    <w:rsid w:val="005D3EA5"/>
    <w:rsid w:val="005D74B9"/>
    <w:rsid w:val="005E7322"/>
    <w:rsid w:val="005E7BB8"/>
    <w:rsid w:val="005E7E75"/>
    <w:rsid w:val="005F2DEB"/>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C40D2"/>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027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06F2"/>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A51DA"/>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61A"/>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Heading1">
    <w:name w:val="heading 1"/>
    <w:basedOn w:val="Normal"/>
    <w:next w:val="Normal"/>
    <w:link w:val="Heading1Char"/>
    <w:qFormat/>
    <w:rsid w:val="00882964"/>
    <w:pPr>
      <w:keepNext/>
      <w:spacing w:before="240" w:after="60"/>
      <w:outlineLvl w:val="0"/>
    </w:pPr>
    <w:rPr>
      <w:rFonts w:cs="Arial"/>
      <w:b/>
      <w:bCs/>
      <w:kern w:val="32"/>
      <w:sz w:val="32"/>
      <w:szCs w:val="32"/>
    </w:rPr>
  </w:style>
  <w:style w:type="paragraph" w:styleId="Heading2">
    <w:name w:val="heading 2"/>
    <w:basedOn w:val="Normal"/>
    <w:next w:val="Normal"/>
    <w:qFormat/>
    <w:rsid w:val="00882964"/>
    <w:pPr>
      <w:keepNext/>
      <w:spacing w:before="240" w:after="60"/>
      <w:outlineLvl w:val="1"/>
    </w:pPr>
    <w:rPr>
      <w:rFonts w:cs="Arial"/>
      <w:b/>
      <w:bCs/>
      <w:i/>
      <w:iCs/>
      <w:sz w:val="28"/>
      <w:szCs w:val="28"/>
    </w:rPr>
  </w:style>
  <w:style w:type="paragraph" w:styleId="Heading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Heading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882964"/>
    <w:pPr>
      <w:spacing w:before="240" w:after="60"/>
      <w:outlineLvl w:val="4"/>
    </w:pPr>
    <w:rPr>
      <w:b/>
      <w:bCs/>
      <w:i/>
      <w:iCs/>
      <w:sz w:val="26"/>
      <w:szCs w:val="26"/>
    </w:rPr>
  </w:style>
  <w:style w:type="paragraph" w:styleId="Heading6">
    <w:name w:val="heading 6"/>
    <w:basedOn w:val="Normal"/>
    <w:next w:val="Normal"/>
    <w:link w:val="Heading6Char"/>
    <w:uiPriority w:val="9"/>
    <w:qFormat/>
    <w:rsid w:val="00287112"/>
    <w:pPr>
      <w:spacing w:before="240" w:after="60"/>
      <w:outlineLvl w:val="5"/>
    </w:pPr>
    <w:rPr>
      <w:rFonts w:ascii="Calibri" w:hAnsi="Calibri"/>
      <w:b/>
      <w:bCs/>
      <w:sz w:val="22"/>
      <w:szCs w:val="22"/>
      <w:lang w:val="x-none"/>
    </w:rPr>
  </w:style>
  <w:style w:type="paragraph" w:styleId="Heading7">
    <w:name w:val="heading 7"/>
    <w:basedOn w:val="Normal"/>
    <w:next w:val="Normal"/>
    <w:link w:val="Heading7Ch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F50FD"/>
  </w:style>
  <w:style w:type="table" w:styleId="TableGrid">
    <w:name w:val="Table Grid"/>
    <w:basedOn w:val="Table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BodyText">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BodyTextIndent">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BodyTextIndent3">
    <w:name w:val="Body Text Indent 3"/>
    <w:basedOn w:val="Normal"/>
    <w:rsid w:val="00515E17"/>
    <w:pPr>
      <w:spacing w:after="120"/>
      <w:ind w:left="283"/>
    </w:pPr>
    <w:rPr>
      <w:sz w:val="16"/>
      <w:szCs w:val="16"/>
    </w:rPr>
  </w:style>
  <w:style w:type="paragraph" w:styleId="BodyText2">
    <w:name w:val="Body Text 2"/>
    <w:basedOn w:val="Normal"/>
    <w:rsid w:val="00515E17"/>
    <w:pPr>
      <w:spacing w:after="120" w:line="480" w:lineRule="auto"/>
    </w:pPr>
  </w:style>
  <w:style w:type="paragraph" w:styleId="BodyTextIndent2">
    <w:name w:val="Body Text Indent 2"/>
    <w:basedOn w:val="Normal"/>
    <w:rsid w:val="00515E17"/>
    <w:pPr>
      <w:spacing w:after="120" w:line="480" w:lineRule="auto"/>
      <w:ind w:left="283"/>
    </w:pPr>
  </w:style>
  <w:style w:type="paragraph" w:customStyle="1" w:styleId="Titre5">
    <w:name w:val="Titre 5"/>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
    <w:name w:val="Titre 6"/>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
    <w:name w:val="Retrait corps de texte"/>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
    <w:name w:val="Retrait corps de texte 3"/>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
    <w:name w:val="Corps de texte"/>
    <w:basedOn w:val="Normal"/>
    <w:rsid w:val="00515E17"/>
    <w:pPr>
      <w:widowControl w:val="0"/>
      <w:spacing w:after="0"/>
      <w:ind w:left="0"/>
      <w:jc w:val="left"/>
    </w:pPr>
    <w:rPr>
      <w:spacing w:val="0"/>
      <w:sz w:val="22"/>
      <w:lang w:val="fr-FR" w:eastAsia="de-DE"/>
    </w:rPr>
  </w:style>
  <w:style w:type="paragraph" w:customStyle="1" w:styleId="Commentaire">
    <w:name w:val="Commentaire"/>
    <w:basedOn w:val="Normal"/>
    <w:rsid w:val="00515E17"/>
    <w:pPr>
      <w:widowControl w:val="0"/>
      <w:spacing w:after="0"/>
      <w:ind w:left="0"/>
      <w:jc w:val="left"/>
    </w:pPr>
    <w:rPr>
      <w:rFonts w:ascii="Times New Roman" w:hAnsi="Times New Roman"/>
      <w:spacing w:val="0"/>
    </w:rPr>
  </w:style>
  <w:style w:type="character" w:customStyle="1" w:styleId="Marquedecommentaire">
    <w:name w:val="Marque de commentaire"/>
    <w:rsid w:val="00515E17"/>
    <w:rPr>
      <w:sz w:val="16"/>
    </w:rPr>
  </w:style>
  <w:style w:type="paragraph" w:customStyle="1" w:styleId="Titre2">
    <w:name w:val="Titre 2"/>
    <w:basedOn w:val="Normal"/>
    <w:next w:val="Normal"/>
    <w:rsid w:val="00515E17"/>
    <w:pPr>
      <w:keepNext/>
      <w:widowControl w:val="0"/>
      <w:spacing w:after="0"/>
      <w:ind w:left="0"/>
      <w:jc w:val="left"/>
    </w:pPr>
    <w:rPr>
      <w:spacing w:val="0"/>
      <w:sz w:val="22"/>
      <w:u w:val="single"/>
    </w:rPr>
  </w:style>
  <w:style w:type="paragraph" w:styleId="BalloonText">
    <w:name w:val="Balloon Text"/>
    <w:basedOn w:val="Normal"/>
    <w:link w:val="BalloonTextChar"/>
    <w:uiPriority w:val="99"/>
    <w:semiHidden/>
    <w:rsid w:val="00515E17"/>
    <w:rPr>
      <w:rFonts w:ascii="Tahoma" w:hAnsi="Tahoma" w:cs="Tahoma"/>
      <w:sz w:val="16"/>
      <w:szCs w:val="16"/>
    </w:rPr>
  </w:style>
  <w:style w:type="paragraph" w:styleId="BodyText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CommentReference">
    <w:name w:val="annotation reference"/>
    <w:semiHidden/>
    <w:rsid w:val="00144C61"/>
    <w:rPr>
      <w:sz w:val="16"/>
      <w:szCs w:val="16"/>
    </w:rPr>
  </w:style>
  <w:style w:type="paragraph" w:styleId="CommentText">
    <w:name w:val="annotation text"/>
    <w:basedOn w:val="Normal"/>
    <w:semiHidden/>
    <w:rsid w:val="00144C61"/>
  </w:style>
  <w:style w:type="paragraph" w:styleId="CommentSubject">
    <w:name w:val="annotation subject"/>
    <w:basedOn w:val="CommentText"/>
    <w:next w:val="CommentText"/>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Header">
    <w:name w:val="header"/>
    <w:aliases w:val="WP Header"/>
    <w:basedOn w:val="Normal"/>
    <w:link w:val="HeaderChar"/>
    <w:rsid w:val="00FC0096"/>
    <w:pPr>
      <w:tabs>
        <w:tab w:val="center" w:pos="4153"/>
        <w:tab w:val="right" w:pos="8306"/>
      </w:tabs>
    </w:pPr>
  </w:style>
  <w:style w:type="paragraph" w:styleId="Footer">
    <w:name w:val="footer"/>
    <w:aliases w:val="pie de página"/>
    <w:basedOn w:val="Normal"/>
    <w:link w:val="FooterCh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Hyperlink">
    <w:name w:val="Hyperlink"/>
    <w:uiPriority w:val="99"/>
    <w:rsid w:val="00AC476F"/>
    <w:rPr>
      <w:color w:val="0000FF"/>
      <w:u w:val="single"/>
    </w:rPr>
  </w:style>
  <w:style w:type="character" w:styleId="FollowedHyperlink">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FooterChar">
    <w:name w:val="Footer Char"/>
    <w:aliases w:val="pie de página Char"/>
    <w:basedOn w:val="DefaultParagraphFont"/>
    <w:link w:val="Footer"/>
    <w:uiPriority w:val="99"/>
    <w:rsid w:val="000D6836"/>
    <w:rPr>
      <w:rFonts w:ascii="Arial" w:hAnsi="Arial"/>
      <w:spacing w:val="-2"/>
      <w:lang w:eastAsia="zh-CN"/>
    </w:rPr>
  </w:style>
  <w:style w:type="paragraph" w:styleId="ListParagraph">
    <w:name w:val="List Paragraph"/>
    <w:basedOn w:val="Normal"/>
    <w:uiPriority w:val="34"/>
    <w:qFormat/>
    <w:rsid w:val="00B61FA3"/>
    <w:pPr>
      <w:ind w:left="720"/>
      <w:contextualSpacing/>
    </w:pPr>
  </w:style>
  <w:style w:type="character" w:customStyle="1" w:styleId="HeaderChar">
    <w:name w:val="Header Char"/>
    <w:aliases w:val="WP Header Char"/>
    <w:link w:val="Header"/>
    <w:rsid w:val="00966577"/>
    <w:rPr>
      <w:rFonts w:ascii="Arial" w:hAnsi="Arial"/>
      <w:spacing w:val="-2"/>
      <w:lang w:eastAsia="zh-CN"/>
    </w:rPr>
  </w:style>
  <w:style w:type="character" w:customStyle="1" w:styleId="Heading6Char">
    <w:name w:val="Heading 6 Char"/>
    <w:basedOn w:val="DefaultParagraphFont"/>
    <w:link w:val="Heading6"/>
    <w:uiPriority w:val="9"/>
    <w:rsid w:val="00287112"/>
    <w:rPr>
      <w:rFonts w:ascii="Calibri" w:hAnsi="Calibri"/>
      <w:b/>
      <w:bCs/>
      <w:spacing w:val="-2"/>
      <w:sz w:val="22"/>
      <w:szCs w:val="22"/>
      <w:lang w:val="x-none" w:eastAsia="zh-CN"/>
    </w:rPr>
  </w:style>
  <w:style w:type="character" w:customStyle="1" w:styleId="Heading7Char">
    <w:name w:val="Heading 7 Char"/>
    <w:basedOn w:val="DefaultParagraphFont"/>
    <w:link w:val="Heading7"/>
    <w:rsid w:val="00287112"/>
    <w:rPr>
      <w:sz w:val="24"/>
      <w:szCs w:val="24"/>
      <w:lang w:val="pt-BR" w:eastAsia="pt-BR"/>
    </w:rPr>
  </w:style>
  <w:style w:type="paragraph" w:customStyle="1" w:styleId="Titre51">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
    <w:name w:val="Commentaire1"/>
    <w:basedOn w:val="Normal"/>
    <w:rsid w:val="00287112"/>
    <w:pPr>
      <w:widowControl w:val="0"/>
      <w:spacing w:after="0"/>
      <w:ind w:left="0"/>
      <w:jc w:val="left"/>
    </w:pPr>
    <w:rPr>
      <w:rFonts w:ascii="Times New Roman" w:hAnsi="Times New Roman"/>
      <w:spacing w:val="0"/>
    </w:rPr>
  </w:style>
  <w:style w:type="paragraph" w:styleId="Caption">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Heading1Char">
    <w:name w:val="Heading 1 Char"/>
    <w:link w:val="Heading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Heading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BalloonTextChar">
    <w:name w:val="Balloon Text Char"/>
    <w:link w:val="BalloonText"/>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DefaultParagraphFont"/>
    <w:rsid w:val="0098674E"/>
  </w:style>
  <w:style w:type="paragraph" w:styleId="Re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358dc2d-5dac-4cc2-8ed1-5c2041965753" ContentTypeId="0x010100A14FE9BE6CE84F1BB23C774EC08C4AEA2D01"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5.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2.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3.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4.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5.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2</cp:revision>
  <cp:lastPrinted>2026-06-05T23:00:00Z</cp:lastPrinted>
  <dcterms:created xsi:type="dcterms:W3CDTF">2026-06-06T12:28:00Z</dcterms:created>
  <dcterms:modified xsi:type="dcterms:W3CDTF">2026-06-06T12:28:00Z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