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pStyle w:val="Title"/>
      </w:pPr>
      <w:r>
        <w:t>Calidad del dato antes del algoritmo: aprendizajes de un tablero de liquidaciones de transporte especial</w:t>
      </w:r>
    </w:p>
    <w:p>
      <w:pPr>
        <w:ind w:firstLine="0"/>
        <w:jc w:val="center"/>
      </w:pPr>
      <w:r>
        <w:t>Camilo Cepeda Orduz</w:t>
      </w:r>
    </w:p>
    <w:p>
      <w:pPr>
        <w:ind w:firstLine="0"/>
        <w:jc w:val="center"/>
      </w:pPr>
      <w:r>
        <w:t>Fundación de Educación Superior San José</w:t>
      </w:r>
    </w:p>
    <w:p>
      <w:pPr>
        <w:ind w:firstLine="0"/>
        <w:jc w:val="center"/>
      </w:pPr>
      <w:r>
        <w:t>Opción de grado: Seminario de Inteligencia Artificial (2026-2)</w:t>
      </w:r>
    </w:p>
    <w:p>
      <w:pPr>
        <w:ind w:firstLine="0"/>
        <w:jc w:val="center"/>
      </w:pPr>
      <w:r>
        <w:t>Octubre de 2026</w:t>
      </w:r>
    </w:p>
    <w:p>
      <w:r>
        <w:br w:type="page"/>
      </w:r>
    </w:p>
    <w:p>
      <w:pPr>
        <w:pStyle w:val="Title"/>
      </w:pPr>
      <w:r>
        <w:t>Calidad del dato antes del algoritmo: aprendizajes de un tablero de liquidaciones de transporte especial</w:t>
      </w:r>
    </w:p>
    <w:p>
      <w:pPr>
        <w:keepLines/>
        <w:widowControl/>
        <w:ind w:firstLine="720"/>
      </w:pPr>
      <w:r>
        <w:t>En proyectos de inteligencia artificial, la atención suele centrarse en el modelo y su capacidad predictiva. Pero en una liquidación, la utilidad de una salida automatizada depende de que los registros representen lo ocurrido: un duplicado puede inflar un valor, una referencia rota impedir su conciliación y una fecha incompleta alterar el tiempo de ciclo. La calidad del dato repercute así en la lectura operativa.</w:t>
      </w:r>
    </w:p>
    <w:p>
      <w:pPr>
        <w:keepLines/>
        <w:widowControl/>
        <w:ind w:firstLine="720"/>
      </w:pPr>
      <w:r>
        <w:t>¿Puede un algoritmo compensar los defectos de los datos que recibe? La calidad no se reduce a la exactitud: también importan la completitud, la relación con la fuente, la oportunidad y la utilidad para una decisión concreta (Wang &amp; Strong, 1996). Por ello, medirla exige definir qué significa “adecuado” para cada uso.</w:t>
      </w:r>
    </w:p>
    <w:p>
      <w:pPr>
        <w:keepLines/>
        <w:widowControl/>
        <w:ind w:firstLine="720"/>
      </w:pPr>
      <w:r>
        <w:t>Este ensayo sostiene que validar y documentar los datos debe preceder a la automatización con inteligencia artificial. La tesis se examina a partir de LIQUIDA, proyecto académico que implementó ETL, análisis exploratorio y un tablero Power BI para liquidaciones de transporte especial. No entrenó un modelo predictivo: usa datos sintéticos para estudiar preparación y lectura, no el desempeño de una empresa real.</w:t>
      </w:r>
    </w:p>
    <w:p>
      <w:pPr>
        <w:keepNext/>
        <w:spacing w:line="48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La calidad como condición de la analítica y la inteligencia artificial</w:t>
      </w:r>
    </w:p>
    <w:p>
      <w:pPr>
        <w:keepLines/>
        <w:widowControl/>
        <w:ind w:firstLine="720"/>
      </w:pPr>
      <w:r>
        <w:t>La calidad depende del uso. Un dato válido en una tabla puede ser insuficiente para conciliar pagos si carece de soporte. La norma ISO/IEC 25012 distingue atributos propios de los datos y otros que dependen del sistema que los produce o consume (International Organization for Standardization, 2008). Así, una noción amplia se traduce en controles observables: completitud, unicidad, integridad referencial, consistencia y oportunidad.</w:t>
      </w:r>
    </w:p>
    <w:p>
      <w:pPr>
        <w:keepLines/>
        <w:widowControl/>
        <w:ind w:firstLine="720"/>
      </w:pPr>
      <w:r>
        <w:t>Estos controles forman parte del ciclo analítico, no son una tarea aislada. CRISP-DM conecta comprensión del negocio, preparación y evaluación de los datos (Chapman et al., 2000). En aprendizaje automático, dependencias, señales cambiantes y mantenimiento pueden acumular deuda técnica (Sculley et al., 2015); decisiones poco visibles de recolección, etiquetado o limpieza también pueden propagarse a resultados posteriores (Sambasivan et al., 2021).</w:t>
      </w:r>
    </w:p>
    <w:p>
      <w:pPr>
        <w:keepNext/>
        <w:spacing w:line="48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El proyecto de liquidación y la evidencia disponible</w:t>
      </w:r>
    </w:p>
    <w:p>
      <w:pPr>
        <w:keepLines/>
        <w:widowControl/>
        <w:ind w:firstLine="720"/>
      </w:pPr>
      <w:r>
        <w:t>LIQUIDA integra cabeceras, ítems e historial de estados. El ETL en Python normaliza campos, depura registros, calcula variables y ejecuta nueve validaciones; sus tablas alimentan tres vistas de un informe Power BI. El análisis comprende 134 liquidaciones, 4.448 ítems limpios y 428 eventos de estado, todos sintéticos y creados con fines académicos.</w:t>
      </w:r>
    </w:p>
    <w:p>
      <w:pPr>
        <w:keepLines/>
        <w:widowControl/>
        <w:ind w:firstLine="720"/>
      </w:pPr>
      <w:r>
        <w:t>Se partió de 4.536 ítems: se retiraron 66 duplicados exactos y 22 filas sin liquidación relacionada. De los 4.448 restantes, 356 (8,0 %) no tenían número de planilla. El faltante exige cotejo documental, pero no demuestra que el servicio no se prestó. Ocho validaciones quedaron “OK”; la novena avisó de una diferencia superior al 1 % entre cabecera y detalle en una liquidación. Es una alerta para revisar, no un error confirmado.</w:t>
      </w:r>
    </w:p>
    <w:p>
      <w:pPr>
        <w:keepLines/>
        <w:widowControl/>
        <w:ind w:firstLine="720"/>
      </w:pPr>
      <w:r>
        <w:t>El EDA también calculó un puntaje compuesto de calidad de 89,6/100. Resume dimensiones definidas para este ejercicio, pero depende de las reglas y ponderaciones elegidas: no es certificación, medida normalizada ni KPI operativo del tablero. Debe leerse junto a sus componentes.</w:t>
      </w:r>
    </w:p>
    <w:p>
      <w:pPr>
        <w:keepLines/>
        <w:widowControl/>
        <w:ind w:firstLine="720"/>
      </w:pPr>
      <w:r>
        <w:t>Las tres páginas del informe separan la visión ejecutiva, el detalle operacional y los tiempos comparativos. Esa navegación permite pasar de la síntesis a la exploración, pero no convierte un valor agregado en una explicación causal ni en una predicción. Al segmentar por período cambia el conjunto comparado; por eso, además del valor, deben comunicarse el filtro aplicado y la cantidad de casos que lo sustentan.</w:t>
      </w:r>
    </w:p>
    <w:p>
      <w:pPr>
        <w:keepNext/>
        <w:spacing w:line="48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Interpretar los indicadores sin exceder la evidencia</w:t>
      </w:r>
    </w:p>
    <w:p>
      <w:pPr>
        <w:keepLines/>
        <w:widowControl/>
        <w:ind w:firstLine="720"/>
      </w:pPr>
      <w:r>
        <w:t>La regla del rango intercuartílico de Tukey (1977) señaló 122 valores unitarios como atípicos (2,7 % de los ítems depurados). “Atípico” indica distancia respecto de la distribución central, no fraude ni error confirmado. La alerta puede priorizar una revisión; antes de ajustar un pago, una persona debe contrastarla con la tarifa, el servicio y sus soportes.</w:t>
      </w:r>
    </w:p>
    <w:p>
      <w:pPr>
        <w:keepLines/>
        <w:widowControl/>
        <w:ind w:firstLine="720"/>
      </w:pPr>
      <w:r>
        <w:t>Los tiempos exigen denominadores visibles: el ciclo liquidación-facturación promedió 18,1 días en 75 casos facturados con duración registrada; la transición liquidada-aprobada, 10,8 días en 98 eventos. Describen el conjunto sintético, no prueban un cuello de botella ni una mejora. Comparar períodos requiere mantener definiciones y filtros equivalentes.</w:t>
      </w:r>
    </w:p>
    <w:p>
      <w:pPr>
        <w:keepLines/>
        <w:widowControl/>
        <w:ind w:firstLine="720"/>
      </w:pPr>
      <w:r>
        <w:t>Podría objetarse que un modelo robusto tolera ruido. Algunas técnicas resisten errores aleatorios, pero no determinan si un campo faltante debe existir, si una fuente tiene el significado esperado o qué regla de negocio aplicar. Northcutt et al. (2021) hallaron errores de etiquetado en diez conjuntos de prueba de aprendizaje automático; su promedio de 3,3 % no es trasladable a liquidaciones, pero recuerda que hasta los datos de referencia requieren auditoría. La lección es metodológica, no una comparación de tasas.</w:t>
      </w:r>
    </w:p>
    <w:p>
      <w:pPr>
        <w:keepNext/>
        <w:spacing w:line="48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Gobernanza antes de automatizar</w:t>
      </w:r>
    </w:p>
    <w:p>
      <w:pPr>
        <w:keepLines/>
        <w:widowControl/>
        <w:ind w:firstLine="720"/>
      </w:pPr>
      <w:r>
        <w:t>Una práctica útil documenta la procedencia, los campos, las transformaciones, los denominadores y las reglas. Separa alertas de incidencias confirmadas, asigna responsables y registra las excepciones. Si LIQUIDA incorporara modelos, necesitaría etiquetas verificadas, datos de evaluación representativos, seguimiento de cambios y revisión humana en decisiones con efectos económicos o personales.</w:t>
      </w:r>
    </w:p>
    <w:p>
      <w:pPr>
        <w:keepLines/>
        <w:widowControl/>
        <w:ind w:firstLine="720"/>
      </w:pPr>
      <w:r>
        <w:t>Los datos sintéticos limitan las conclusiones: no describen a personas ni empresas reales. Si una fase posterior usara información personal, habría que revisar finalidades, accesos, seguridad y obligaciones aplicables, incluida la Ley Estatutaria 1581 de 2012 (Congreso de la República de Colombia, 2012). La limpieza técnica no reemplaza esa revisión.</w:t>
      </w:r>
    </w:p>
    <w:p>
      <w:pPr>
        <w:keepNext/>
        <w:spacing w:line="48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Conclusión</w:t>
      </w:r>
    </w:p>
    <w:p>
      <w:pPr>
        <w:keepLines/>
        <w:widowControl/>
        <w:ind w:firstLine="720"/>
      </w:pPr>
      <w:r>
        <w:t>LIQUIDA respalda una conclusión acotada: antes de confiar una decisión a un algoritmo, hay que conocer sus datos, controles e incertidumbres. El ETL y Power BI hicieron visibles duplicados, referencias rotas, soportes faltantes, atípicos y tiempos con muestras distintas. El conjunto sintético no demuestra predicción ni rendimiento empresarial, pero ofrece una base reproducible para preparar una eventual automatización. Primero se valida la evidencia; después se decide si la IA aporta valor.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Referencias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 xml:space="preserve">Chapman, P., Clinton, J., Kerber, R., Khabaza, T., Reinartz, T., Shearer, C., &amp; Wirth, R. (2000). </w:t>
      </w:r>
      <w:r>
        <w:rPr>
          <w:rFonts w:ascii="Times New Roman" w:hAnsi="Times New Roman"/>
          <w:i/>
          <w:color w:val="000000"/>
          <w:sz w:val="24"/>
        </w:rPr>
        <w:t>CRISP-DM 1.0: Step-by-step data mining guide</w:t>
      </w:r>
      <w:r>
        <w:rPr>
          <w:rFonts w:ascii="Times New Roman" w:hAnsi="Times New Roman"/>
          <w:i w:val="0"/>
          <w:color w:val="000000"/>
          <w:sz w:val="24"/>
        </w:rPr>
        <w:t>. CRISP-DM Consortium. https://www.the-modeling-agency.com/crisp-dm.pdf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>Congreso de la República de Colombia. (2012, 17 de octubre). Ley Estatutaria 1581 de 2012: Por la cual se dictan disposiciones generales para la protección de datos personales. Diario Oficial No. 48.587. https://www.funcionpublica.gov.co/eva/gestornormativo/norma.php?i=49981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 xml:space="preserve">International Organization for Standardization. (2008). </w:t>
      </w:r>
      <w:r>
        <w:rPr>
          <w:rFonts w:ascii="Times New Roman" w:hAnsi="Times New Roman"/>
          <w:i/>
          <w:color w:val="000000"/>
          <w:sz w:val="24"/>
        </w:rPr>
        <w:t>ISO/IEC 25012:2008: Software engineering—Software product quality requirements and evaluation (SQuaRE)—Data quality model</w:t>
      </w:r>
      <w:r>
        <w:rPr>
          <w:rFonts w:ascii="Times New Roman" w:hAnsi="Times New Roman"/>
          <w:i w:val="0"/>
          <w:color w:val="000000"/>
          <w:sz w:val="24"/>
        </w:rPr>
        <w:t>. https://www.iso.org/standard/35736.html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 xml:space="preserve">Northcutt, C. G., Athalye, A., &amp; Mueller, J. (2021). Pervasive label errors in test sets destabilize machine learning benchmarks. </w:t>
      </w:r>
      <w:r>
        <w:rPr>
          <w:rFonts w:ascii="Times New Roman" w:hAnsi="Times New Roman"/>
          <w:i/>
          <w:color w:val="000000"/>
          <w:sz w:val="24"/>
        </w:rPr>
        <w:t>Proceedings of the Neural Information Processing Systems Track on Datasets and Benchmarks, 1</w:t>
      </w:r>
      <w:r>
        <w:rPr>
          <w:rFonts w:ascii="Times New Roman" w:hAnsi="Times New Roman"/>
          <w:i w:val="0"/>
          <w:color w:val="000000"/>
          <w:sz w:val="24"/>
        </w:rPr>
        <w:t>. https://datasets-benchmarks-proceedings.neurips.cc/paper_files/paper/2021/hash/f2217062e9a397a1dca429e7d70bc6ca-Abstract.html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 xml:space="preserve">Sambasivan, N., Kapania, S., Highfill, H., Akrong, D., Paritosh, P., &amp; Aroyo, L. (2021). “Everyone wants to do the model work, not the data work”: Data cascades in high-stakes AI. In </w:t>
      </w:r>
      <w:r>
        <w:rPr>
          <w:rFonts w:ascii="Times New Roman" w:hAnsi="Times New Roman"/>
          <w:i/>
          <w:color w:val="000000"/>
          <w:sz w:val="24"/>
        </w:rPr>
        <w:t>Proceedings of the 2021 CHI Conference on Human Factors in Computing Systems</w:t>
      </w:r>
      <w:r>
        <w:rPr>
          <w:rFonts w:ascii="Times New Roman" w:hAnsi="Times New Roman"/>
          <w:i w:val="0"/>
          <w:color w:val="000000"/>
          <w:sz w:val="24"/>
        </w:rPr>
        <w:t xml:space="preserve"> (pp. 1-15). Association for Computing Machinery. https://doi.org/10.1145/3411764.3445518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 xml:space="preserve">Sculley, D., Holt, G., Golovin, D., Davydov, E., Phillips, T., Ebner, D., Chaudhary, V., Young, M., Crespo, J.-F., &amp; Dennison, D. (2015). Hidden technical debt in machine learning systems. </w:t>
      </w:r>
      <w:r>
        <w:rPr>
          <w:rFonts w:ascii="Times New Roman" w:hAnsi="Times New Roman"/>
          <w:i/>
          <w:color w:val="000000"/>
          <w:sz w:val="24"/>
        </w:rPr>
        <w:t>Advances in Neural Information Processing Systems, 28</w:t>
      </w:r>
      <w:r>
        <w:rPr>
          <w:rFonts w:ascii="Times New Roman" w:hAnsi="Times New Roman"/>
          <w:i w:val="0"/>
          <w:color w:val="000000"/>
          <w:sz w:val="24"/>
        </w:rPr>
        <w:t>, 2503-2511. https://proceedings.neurips.cc/paper_files/paper/2015/hash/86df7dcfd896fcaf2674f757a2463eba-Abstract.html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 xml:space="preserve">Tukey, J. W. (1977). </w:t>
      </w:r>
      <w:r>
        <w:rPr>
          <w:rFonts w:ascii="Times New Roman" w:hAnsi="Times New Roman"/>
          <w:i/>
          <w:color w:val="000000"/>
          <w:sz w:val="24"/>
        </w:rPr>
        <w:t>Exploratory data analysis</w:t>
      </w:r>
      <w:r>
        <w:rPr>
          <w:rFonts w:ascii="Times New Roman" w:hAnsi="Times New Roman"/>
          <w:i w:val="0"/>
          <w:color w:val="000000"/>
          <w:sz w:val="24"/>
        </w:rPr>
        <w:t>. Addison-Wesley.</w:t>
      </w:r>
    </w:p>
    <w:p>
      <w:pPr>
        <w:keepLines/>
        <w:ind w:left="720" w:hanging="720"/>
      </w:pPr>
      <w:r>
        <w:rPr>
          <w:rFonts w:ascii="Times New Roman" w:hAnsi="Times New Roman"/>
          <w:i w:val="0"/>
          <w:color w:val="000000"/>
          <w:sz w:val="24"/>
        </w:rPr>
        <w:t xml:space="preserve">Wang, R. Y., &amp; Strong, D. M. (1996). Beyond accuracy: What data quality means to data consumers. </w:t>
      </w:r>
      <w:r>
        <w:rPr>
          <w:rFonts w:ascii="Times New Roman" w:hAnsi="Times New Roman"/>
          <w:i/>
          <w:color w:val="000000"/>
          <w:sz w:val="24"/>
        </w:rPr>
        <w:t>Journal of Management Information Systems, 12</w:t>
      </w:r>
      <w:r>
        <w:rPr>
          <w:rFonts w:ascii="Times New Roman" w:hAnsi="Times New Roman"/>
          <w:i w:val="0"/>
          <w:color w:val="000000"/>
          <w:sz w:val="24"/>
        </w:rPr>
        <w:t>(4), 5-33. https://doi.org/10.1080/07421222.1996.11518099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Calidad del dato antes del algoritmo: aprendizajes de un tablero de liquidaciones de transporte especial</dc:title>
  <dc:subject>Ensayo académico en estilo APA 7 sobre calidad de datos y analítica</dc:subject>
  <dc:creator>Camilo Cepeda Orduz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