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EEADB" w14:textId="70294362" w:rsidR="00794562" w:rsidRDefault="00534855" w:rsidP="005C2EEF">
      <w:pPr>
        <w:jc w:val="center"/>
        <w:rPr>
          <w:b/>
          <w:bCs/>
        </w:rPr>
      </w:pPr>
      <w:r w:rsidRPr="008E4CDE">
        <w:rPr>
          <w:b/>
          <w:bCs/>
        </w:rPr>
        <w:t xml:space="preserve">The Weill </w:t>
      </w:r>
      <w:r w:rsidR="00F86D55">
        <w:rPr>
          <w:b/>
          <w:bCs/>
        </w:rPr>
        <w:t>Pulmonary Embolism</w:t>
      </w:r>
      <w:r w:rsidRPr="008E4CDE">
        <w:rPr>
          <w:b/>
          <w:bCs/>
        </w:rPr>
        <w:t xml:space="preserve"> </w:t>
      </w:r>
      <w:r w:rsidR="000642B3" w:rsidRPr="008E4CDE">
        <w:rPr>
          <w:b/>
          <w:bCs/>
        </w:rPr>
        <w:t>Appropriate</w:t>
      </w:r>
      <w:r w:rsidRPr="008E4CDE">
        <w:rPr>
          <w:b/>
          <w:bCs/>
        </w:rPr>
        <w:t xml:space="preserve"> Use Criteria (AUC)</w:t>
      </w:r>
      <w:r w:rsidR="00533CAD" w:rsidRPr="008E4CDE">
        <w:rPr>
          <w:b/>
          <w:bCs/>
        </w:rPr>
        <w:t xml:space="preserve"> </w:t>
      </w:r>
      <w:r w:rsidR="0097321A">
        <w:rPr>
          <w:b/>
          <w:bCs/>
        </w:rPr>
        <w:t>analyzes Wells Criteria and D-Dimer value</w:t>
      </w:r>
      <w:r w:rsidR="00794562">
        <w:rPr>
          <w:b/>
          <w:bCs/>
        </w:rPr>
        <w:t>.</w:t>
      </w:r>
    </w:p>
    <w:p w14:paraId="6568AF95" w14:textId="7AD8E4D0" w:rsidR="00534855" w:rsidRPr="008E4CDE" w:rsidRDefault="005C2EEF" w:rsidP="005C2EEF">
      <w:pPr>
        <w:jc w:val="center"/>
        <w:rPr>
          <w:b/>
          <w:bCs/>
        </w:rPr>
      </w:pPr>
      <w:r>
        <w:rPr>
          <w:b/>
          <w:bCs/>
        </w:rPr>
        <w:t xml:space="preserve">The AUC </w:t>
      </w:r>
      <w:r w:rsidR="00533CAD" w:rsidRPr="008E4CDE">
        <w:rPr>
          <w:b/>
          <w:bCs/>
        </w:rPr>
        <w:t xml:space="preserve">makes recommendations to optimize diagnostic </w:t>
      </w:r>
      <w:r w:rsidR="000642B3" w:rsidRPr="008E4CDE">
        <w:rPr>
          <w:b/>
          <w:bCs/>
        </w:rPr>
        <w:t>effectiveness</w:t>
      </w:r>
      <w:r w:rsidR="00A642EA" w:rsidRPr="008E4CDE">
        <w:rPr>
          <w:b/>
          <w:bCs/>
        </w:rPr>
        <w:t>.</w:t>
      </w:r>
    </w:p>
    <w:p w14:paraId="14867FD8" w14:textId="1ACC91A8" w:rsidR="008E4CDE" w:rsidRPr="00616BF6" w:rsidRDefault="000642B3" w:rsidP="00616BF6">
      <w:pPr>
        <w:spacing w:before="120"/>
        <w:jc w:val="center"/>
        <w:rPr>
          <w:b/>
          <w:bCs/>
        </w:rPr>
      </w:pPr>
      <w:r w:rsidRPr="005F7504">
        <w:rPr>
          <w:b/>
          <w:bCs/>
        </w:rPr>
        <w:t xml:space="preserve">The </w:t>
      </w:r>
      <w:r w:rsidR="00616BF6">
        <w:rPr>
          <w:b/>
          <w:bCs/>
        </w:rPr>
        <w:t>Pulmonary</w:t>
      </w:r>
      <w:r w:rsidRPr="005F7504">
        <w:rPr>
          <w:b/>
          <w:bCs/>
        </w:rPr>
        <w:t xml:space="preserve"> </w:t>
      </w:r>
      <w:r w:rsidR="00F86D55">
        <w:rPr>
          <w:b/>
          <w:bCs/>
        </w:rPr>
        <w:t xml:space="preserve">Embolism </w:t>
      </w:r>
      <w:r w:rsidRPr="005F7504">
        <w:rPr>
          <w:b/>
          <w:bCs/>
        </w:rPr>
        <w:t>AUC is activated</w:t>
      </w:r>
      <w:r w:rsidR="005F7504" w:rsidRPr="005F7504">
        <w:rPr>
          <w:b/>
          <w:bCs/>
        </w:rPr>
        <w:t xml:space="preserve"> </w:t>
      </w:r>
      <w:r w:rsidRPr="005F7504">
        <w:rPr>
          <w:b/>
          <w:bCs/>
        </w:rPr>
        <w:t xml:space="preserve">when a user orders </w:t>
      </w:r>
      <w:r w:rsidR="00616BF6">
        <w:rPr>
          <w:b/>
          <w:bCs/>
        </w:rPr>
        <w:t>a CT for Pulmonary Embolism</w:t>
      </w:r>
      <w:r w:rsidRPr="005F7504">
        <w:rPr>
          <w:b/>
          <w:bCs/>
        </w:rPr>
        <w:t>.</w:t>
      </w:r>
    </w:p>
    <w:p w14:paraId="1BBB88A5" w14:textId="7DCF34EB" w:rsidR="00A642EA" w:rsidRPr="008E4CDE" w:rsidRDefault="00A642EA" w:rsidP="008E4CDE">
      <w:pPr>
        <w:jc w:val="center"/>
        <w:rPr>
          <w:b/>
          <w:bCs/>
        </w:rPr>
      </w:pPr>
      <w:r w:rsidRPr="008E4CDE">
        <w:rPr>
          <w:b/>
          <w:bCs/>
        </w:rPr>
        <w:t xml:space="preserve">The </w:t>
      </w:r>
      <w:r w:rsidR="00ED100E">
        <w:rPr>
          <w:b/>
          <w:bCs/>
        </w:rPr>
        <w:t>Neck</w:t>
      </w:r>
      <w:r w:rsidRPr="008E4CDE">
        <w:rPr>
          <w:b/>
          <w:bCs/>
        </w:rPr>
        <w:t xml:space="preserve"> Pain AUC </w:t>
      </w:r>
      <w:r w:rsidR="000642B3" w:rsidRPr="008E4CDE">
        <w:rPr>
          <w:b/>
          <w:bCs/>
        </w:rPr>
        <w:t xml:space="preserve">recommends </w:t>
      </w:r>
      <w:r w:rsidRPr="008E4CDE">
        <w:rPr>
          <w:b/>
          <w:bCs/>
        </w:rPr>
        <w:t xml:space="preserve">one of the following </w:t>
      </w:r>
      <w:r w:rsidR="00616BF6">
        <w:rPr>
          <w:b/>
          <w:bCs/>
        </w:rPr>
        <w:t>three</w:t>
      </w:r>
      <w:r w:rsidRPr="008E4CDE">
        <w:rPr>
          <w:b/>
          <w:bCs/>
        </w:rPr>
        <w:t xml:space="preserve"> </w:t>
      </w:r>
      <w:r w:rsidR="00616BF6">
        <w:rPr>
          <w:b/>
          <w:bCs/>
        </w:rPr>
        <w:t>tests</w:t>
      </w:r>
      <w:r w:rsidR="000642B3" w:rsidRPr="008E4CDE">
        <w:rPr>
          <w:b/>
          <w:bCs/>
        </w:rPr>
        <w:t xml:space="preserve"> based on clinical condition</w:t>
      </w:r>
      <w:r w:rsidR="005C2EEF">
        <w:rPr>
          <w:b/>
          <w:bCs/>
        </w:rPr>
        <w:t>s</w:t>
      </w:r>
      <w:r w:rsid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5C2EEF" w14:paraId="4B938105" w14:textId="77777777" w:rsidTr="00DC471E">
        <w:tc>
          <w:tcPr>
            <w:tcW w:w="10790" w:type="dxa"/>
            <w:gridSpan w:val="2"/>
          </w:tcPr>
          <w:p w14:paraId="39B40E40" w14:textId="080C34EA" w:rsidR="005C2EEF" w:rsidRPr="00540A1A" w:rsidRDefault="005C2EEF" w:rsidP="00DC47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Recommended Imaging Procedures</w:t>
            </w:r>
          </w:p>
        </w:tc>
      </w:tr>
      <w:tr w:rsidR="005C2EEF" w14:paraId="7268769F" w14:textId="77777777" w:rsidTr="00DC471E">
        <w:tc>
          <w:tcPr>
            <w:tcW w:w="625" w:type="dxa"/>
          </w:tcPr>
          <w:p w14:paraId="74C97980" w14:textId="77777777" w:rsidR="005C2EEF" w:rsidRDefault="005C2EEF" w:rsidP="00DC471E">
            <w:r>
              <w:t>1</w:t>
            </w:r>
          </w:p>
        </w:tc>
        <w:tc>
          <w:tcPr>
            <w:tcW w:w="10165" w:type="dxa"/>
          </w:tcPr>
          <w:p w14:paraId="704717C9" w14:textId="2DB5AFF1" w:rsidR="005C2EEF" w:rsidRDefault="00616BF6" w:rsidP="00DC471E">
            <w:r>
              <w:t>CT Pulmonary Embolism</w:t>
            </w:r>
          </w:p>
        </w:tc>
      </w:tr>
      <w:tr w:rsidR="00554B4B" w14:paraId="7CF9D624" w14:textId="77777777" w:rsidTr="00554B4B">
        <w:tc>
          <w:tcPr>
            <w:tcW w:w="625" w:type="dxa"/>
          </w:tcPr>
          <w:p w14:paraId="3D57E600" w14:textId="7DDBF126" w:rsidR="00554B4B" w:rsidRDefault="00554B4B" w:rsidP="00ED100E">
            <w:r>
              <w:t>2</w:t>
            </w:r>
          </w:p>
        </w:tc>
        <w:tc>
          <w:tcPr>
            <w:tcW w:w="10165" w:type="dxa"/>
          </w:tcPr>
          <w:p w14:paraId="701F5481" w14:textId="04FA7E0A" w:rsidR="00554B4B" w:rsidRDefault="00616BF6" w:rsidP="00ED100E">
            <w:r>
              <w:t>US Lower Extremity</w:t>
            </w:r>
          </w:p>
        </w:tc>
      </w:tr>
      <w:tr w:rsidR="00554B4B" w14:paraId="2D0968E5" w14:textId="77777777" w:rsidTr="00554B4B">
        <w:tc>
          <w:tcPr>
            <w:tcW w:w="625" w:type="dxa"/>
          </w:tcPr>
          <w:p w14:paraId="179917E5" w14:textId="37FB0BD2" w:rsidR="00554B4B" w:rsidRDefault="00554B4B" w:rsidP="00ED100E">
            <w:r>
              <w:t>3</w:t>
            </w:r>
          </w:p>
        </w:tc>
        <w:tc>
          <w:tcPr>
            <w:tcW w:w="10165" w:type="dxa"/>
          </w:tcPr>
          <w:p w14:paraId="6736668F" w14:textId="454224D0" w:rsidR="00554B4B" w:rsidRDefault="00616BF6" w:rsidP="00ED100E">
            <w:r>
              <w:t>D-Dimer</w:t>
            </w:r>
          </w:p>
        </w:tc>
      </w:tr>
    </w:tbl>
    <w:p w14:paraId="25893BE9" w14:textId="77777777" w:rsidR="00616BF6" w:rsidRDefault="00616BF6" w:rsidP="00F05F6A">
      <w:pPr>
        <w:rPr>
          <w:b/>
          <w:bCs/>
          <w:sz w:val="32"/>
          <w:szCs w:val="32"/>
        </w:rPr>
      </w:pPr>
    </w:p>
    <w:p w14:paraId="7D309A2E" w14:textId="4BD42B2D" w:rsidR="008C3DC5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>Logic Tables</w:t>
      </w:r>
    </w:p>
    <w:p w14:paraId="185F4EF5" w14:textId="1B64CECB" w:rsidR="005C2EEF" w:rsidRDefault="00F05F6A" w:rsidP="005C2EEF">
      <w:pPr>
        <w:spacing w:after="0"/>
        <w:jc w:val="center"/>
        <w:rPr>
          <w:b/>
          <w:bCs/>
        </w:rPr>
      </w:pPr>
      <w:bookmarkStart w:id="0" w:name="_Hlk15990373"/>
      <w:r w:rsidRPr="005C2EEF">
        <w:rPr>
          <w:b/>
          <w:bCs/>
        </w:rPr>
        <w:t xml:space="preserve">The </w:t>
      </w:r>
      <w:r w:rsidR="008E4CDE" w:rsidRPr="005C2EEF">
        <w:rPr>
          <w:b/>
          <w:bCs/>
        </w:rPr>
        <w:t>f</w:t>
      </w:r>
      <w:r w:rsidRPr="005C2EEF">
        <w:rPr>
          <w:b/>
          <w:bCs/>
        </w:rPr>
        <w:t xml:space="preserve">ollowing </w:t>
      </w:r>
      <w:r w:rsidR="008E4CDE" w:rsidRPr="005C2EEF">
        <w:rPr>
          <w:b/>
          <w:bCs/>
        </w:rPr>
        <w:t xml:space="preserve">Clinical Condition Logic </w:t>
      </w:r>
      <w:r w:rsidRPr="005C2EEF">
        <w:rPr>
          <w:b/>
          <w:bCs/>
        </w:rPr>
        <w:t xml:space="preserve">Tables provide the </w:t>
      </w:r>
      <w:r w:rsidR="005C2EEF" w:rsidRPr="005C2EEF">
        <w:rPr>
          <w:b/>
          <w:bCs/>
        </w:rPr>
        <w:t xml:space="preserve">Shoulder </w:t>
      </w:r>
      <w:r w:rsidRPr="005C2EEF">
        <w:rPr>
          <w:b/>
          <w:bCs/>
        </w:rPr>
        <w:t>Pain AUC logic for each clinical condition.</w:t>
      </w:r>
    </w:p>
    <w:p w14:paraId="10B5AA52" w14:textId="6B983A21" w:rsidR="00F05F6A" w:rsidRPr="005C2EEF" w:rsidRDefault="00F05F6A" w:rsidP="005C2EEF">
      <w:pPr>
        <w:spacing w:after="0"/>
        <w:jc w:val="center"/>
        <w:rPr>
          <w:b/>
          <w:bCs/>
        </w:rPr>
      </w:pPr>
      <w:r w:rsidRPr="005C2EEF">
        <w:rPr>
          <w:b/>
          <w:bCs/>
        </w:rPr>
        <w:t>The logic inc</w:t>
      </w:r>
      <w:r w:rsidR="004E3119">
        <w:rPr>
          <w:b/>
          <w:bCs/>
        </w:rPr>
        <w:t>ludes</w:t>
      </w:r>
      <w:r w:rsidRPr="005C2EEF">
        <w:rPr>
          <w:b/>
          <w:bCs/>
        </w:rPr>
        <w:t xml:space="preserve"> prior</w:t>
      </w:r>
      <w:r w:rsidR="004E3119">
        <w:rPr>
          <w:b/>
          <w:bCs/>
        </w:rPr>
        <w:t xml:space="preserve">s, </w:t>
      </w:r>
      <w:r w:rsidRPr="005C2EEF">
        <w:rPr>
          <w:b/>
          <w:bCs/>
        </w:rPr>
        <w:t>contraindications</w:t>
      </w:r>
      <w:r w:rsidR="004E3119">
        <w:rPr>
          <w:b/>
          <w:bCs/>
        </w:rPr>
        <w:t xml:space="preserve">, metal reduction and advanced US techniques </w:t>
      </w:r>
      <w:r w:rsidR="008E4CDE" w:rsidRPr="005C2EEF">
        <w:rPr>
          <w:b/>
          <w:bCs/>
        </w:rPr>
        <w:t>where applicable</w:t>
      </w:r>
      <w:r w:rsidRPr="005C2EEF">
        <w:rPr>
          <w:b/>
          <w:bCs/>
        </w:rPr>
        <w:t>.</w:t>
      </w:r>
    </w:p>
    <w:bookmarkEnd w:id="0"/>
    <w:p w14:paraId="3B8CE8FF" w14:textId="5180BC72" w:rsidR="00F05F6A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 xml:space="preserve">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355"/>
      </w:tblGrid>
      <w:tr w:rsidR="008C3DC5" w14:paraId="63D50AC1" w14:textId="77777777" w:rsidTr="008C3DC5">
        <w:tc>
          <w:tcPr>
            <w:tcW w:w="1435" w:type="dxa"/>
          </w:tcPr>
          <w:p w14:paraId="0791CCD5" w14:textId="625C4AE9" w:rsidR="008C3DC5" w:rsidRDefault="008C3DC5" w:rsidP="00F05F6A">
            <w:r>
              <w:t>Value</w:t>
            </w:r>
          </w:p>
        </w:tc>
        <w:tc>
          <w:tcPr>
            <w:tcW w:w="9355" w:type="dxa"/>
          </w:tcPr>
          <w:p w14:paraId="7F6BC0EC" w14:textId="58434B0B" w:rsidR="008C3DC5" w:rsidRDefault="008C3DC5" w:rsidP="00F05F6A">
            <w:r>
              <w:t>Score</w:t>
            </w:r>
          </w:p>
        </w:tc>
      </w:tr>
      <w:tr w:rsidR="00850A26" w14:paraId="36D0A63B" w14:textId="77777777" w:rsidTr="00707AE9">
        <w:tc>
          <w:tcPr>
            <w:tcW w:w="1435" w:type="dxa"/>
            <w:shd w:val="clear" w:color="auto" w:fill="auto"/>
          </w:tcPr>
          <w:p w14:paraId="66617790" w14:textId="77777777" w:rsidR="00850A26" w:rsidRDefault="00850A26" w:rsidP="00707AE9">
            <w:r>
              <w:t>Blank</w:t>
            </w:r>
          </w:p>
        </w:tc>
        <w:tc>
          <w:tcPr>
            <w:tcW w:w="9355" w:type="dxa"/>
            <w:shd w:val="clear" w:color="auto" w:fill="auto"/>
          </w:tcPr>
          <w:p w14:paraId="4434C0AE" w14:textId="77777777" w:rsidR="00850A26" w:rsidRDefault="00850A26" w:rsidP="00707AE9">
            <w:r>
              <w:t>No Score Assigned</w:t>
            </w:r>
          </w:p>
        </w:tc>
      </w:tr>
      <w:tr w:rsidR="008C3DC5" w14:paraId="5780876B" w14:textId="77777777" w:rsidTr="00B62F0E">
        <w:tc>
          <w:tcPr>
            <w:tcW w:w="1435" w:type="dxa"/>
            <w:shd w:val="clear" w:color="auto" w:fill="D9D9D9" w:themeFill="background1" w:themeFillShade="D9"/>
          </w:tcPr>
          <w:p w14:paraId="7F0A730A" w14:textId="63BC1D51" w:rsidR="008C3DC5" w:rsidRDefault="008C3DC5" w:rsidP="00F05F6A">
            <w: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4EEC3A2C" w14:textId="6B01E1E8" w:rsidR="008C3DC5" w:rsidRDefault="008C3DC5" w:rsidP="00F05F6A">
            <w:r>
              <w:t>AUC Not Applicable</w:t>
            </w:r>
            <w:r w:rsidR="00F126E5">
              <w:t xml:space="preserve"> – Allows User to Proceed with Original Order</w:t>
            </w:r>
          </w:p>
        </w:tc>
      </w:tr>
      <w:tr w:rsidR="008C3DC5" w14:paraId="1BE4B088" w14:textId="77777777" w:rsidTr="00B62F0E">
        <w:tc>
          <w:tcPr>
            <w:tcW w:w="1435" w:type="dxa"/>
            <w:shd w:val="clear" w:color="auto" w:fill="FF0000"/>
          </w:tcPr>
          <w:p w14:paraId="78D8011D" w14:textId="42BD8F2E" w:rsidR="008C3DC5" w:rsidRDefault="008C3DC5" w:rsidP="00F05F6A">
            <w:r>
              <w:t>1</w:t>
            </w:r>
          </w:p>
        </w:tc>
        <w:tc>
          <w:tcPr>
            <w:tcW w:w="9355" w:type="dxa"/>
            <w:shd w:val="clear" w:color="auto" w:fill="FF0000"/>
          </w:tcPr>
          <w:p w14:paraId="11AFAF4C" w14:textId="00FD22AF" w:rsidR="008C3DC5" w:rsidRDefault="008C3DC5" w:rsidP="00F05F6A">
            <w:r>
              <w:t>Inappropriate</w:t>
            </w:r>
          </w:p>
        </w:tc>
      </w:tr>
      <w:tr w:rsidR="008C3DC5" w14:paraId="5A4AAF77" w14:textId="77777777" w:rsidTr="00B62F0E">
        <w:tc>
          <w:tcPr>
            <w:tcW w:w="1435" w:type="dxa"/>
            <w:shd w:val="clear" w:color="auto" w:fill="FFC000"/>
          </w:tcPr>
          <w:p w14:paraId="2F55148B" w14:textId="7D2AC0FB" w:rsidR="008C3DC5" w:rsidRDefault="008C3DC5" w:rsidP="00F05F6A">
            <w:r>
              <w:t>2</w:t>
            </w:r>
          </w:p>
        </w:tc>
        <w:tc>
          <w:tcPr>
            <w:tcW w:w="9355" w:type="dxa"/>
            <w:shd w:val="clear" w:color="auto" w:fill="FFC000"/>
          </w:tcPr>
          <w:p w14:paraId="6E01E8BE" w14:textId="19E3EF2E" w:rsidR="008C3DC5" w:rsidRDefault="008C3DC5" w:rsidP="00F05F6A">
            <w:r>
              <w:t>Contact Radiology</w:t>
            </w:r>
          </w:p>
        </w:tc>
      </w:tr>
      <w:tr w:rsidR="008C3DC5" w14:paraId="4A4CE59C" w14:textId="77777777" w:rsidTr="00B62F0E">
        <w:tc>
          <w:tcPr>
            <w:tcW w:w="1435" w:type="dxa"/>
            <w:shd w:val="clear" w:color="auto" w:fill="FFFF00"/>
          </w:tcPr>
          <w:p w14:paraId="7E3A5E8A" w14:textId="6C3A6540" w:rsidR="008C3DC5" w:rsidRDefault="008C3DC5" w:rsidP="00F05F6A">
            <w:r>
              <w:t>3</w:t>
            </w:r>
          </w:p>
        </w:tc>
        <w:tc>
          <w:tcPr>
            <w:tcW w:w="9355" w:type="dxa"/>
            <w:shd w:val="clear" w:color="auto" w:fill="FFFF00"/>
          </w:tcPr>
          <w:p w14:paraId="2049CD12" w14:textId="1D298812" w:rsidR="008C3DC5" w:rsidRDefault="008C3DC5" w:rsidP="00F05F6A">
            <w:r>
              <w:t>Appropriate</w:t>
            </w:r>
          </w:p>
        </w:tc>
      </w:tr>
      <w:tr w:rsidR="008C3DC5" w14:paraId="7A704885" w14:textId="77777777" w:rsidTr="00B62F0E">
        <w:tc>
          <w:tcPr>
            <w:tcW w:w="1435" w:type="dxa"/>
            <w:shd w:val="clear" w:color="auto" w:fill="00B050"/>
          </w:tcPr>
          <w:p w14:paraId="031162C0" w14:textId="174B430F" w:rsidR="008C3DC5" w:rsidRDefault="008C3DC5" w:rsidP="00F05F6A">
            <w:r>
              <w:t>4</w:t>
            </w:r>
          </w:p>
        </w:tc>
        <w:tc>
          <w:tcPr>
            <w:tcW w:w="9355" w:type="dxa"/>
            <w:shd w:val="clear" w:color="auto" w:fill="00B050"/>
          </w:tcPr>
          <w:p w14:paraId="4D060164" w14:textId="367CBAC7" w:rsidR="008C3DC5" w:rsidRDefault="008C3DC5" w:rsidP="00F05F6A">
            <w:r>
              <w:t>Appropriate Preferred</w:t>
            </w:r>
          </w:p>
        </w:tc>
      </w:tr>
    </w:tbl>
    <w:p w14:paraId="7D2CA94F" w14:textId="7D36D376" w:rsidR="00F05F6A" w:rsidRDefault="00F05F6A" w:rsidP="00F05F6A">
      <w:r>
        <w:t xml:space="preserve"> </w:t>
      </w:r>
    </w:p>
    <w:p w14:paraId="23A89EE4" w14:textId="4EB924BB" w:rsidR="00616BF6" w:rsidRPr="009C5835" w:rsidRDefault="00616BF6" w:rsidP="00616BF6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>Logic Table</w:t>
      </w:r>
      <w:r w:rsidR="00F86D55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6678"/>
        <w:gridCol w:w="1708"/>
        <w:gridCol w:w="803"/>
        <w:gridCol w:w="803"/>
        <w:gridCol w:w="803"/>
      </w:tblGrid>
      <w:tr w:rsidR="00616BF6" w:rsidRPr="00616BF6" w14:paraId="6C529F29" w14:textId="77777777" w:rsidTr="00F86D55">
        <w:trPr>
          <w:trHeight w:val="1103"/>
        </w:trPr>
        <w:tc>
          <w:tcPr>
            <w:tcW w:w="6678" w:type="dxa"/>
            <w:shd w:val="clear" w:color="auto" w:fill="F2F2F2" w:themeFill="background1" w:themeFillShade="F2"/>
            <w:vAlign w:val="bottom"/>
            <w:hideMark/>
          </w:tcPr>
          <w:p w14:paraId="29562ADA" w14:textId="25ECBB00" w:rsidR="00616BF6" w:rsidRPr="00616BF6" w:rsidRDefault="00616BF6">
            <w:pPr>
              <w:rPr>
                <w:b/>
                <w:bCs/>
              </w:rPr>
            </w:pPr>
            <w:r w:rsidRPr="00616BF6">
              <w:rPr>
                <w:b/>
                <w:bCs/>
              </w:rPr>
              <w:t>Base Condition</w:t>
            </w:r>
          </w:p>
        </w:tc>
        <w:tc>
          <w:tcPr>
            <w:tcW w:w="1708" w:type="dxa"/>
            <w:shd w:val="clear" w:color="auto" w:fill="F2F2F2" w:themeFill="background1" w:themeFillShade="F2"/>
            <w:hideMark/>
          </w:tcPr>
          <w:p w14:paraId="69B6A65D" w14:textId="05CEA481" w:rsidR="00616BF6" w:rsidRPr="00616BF6" w:rsidRDefault="00616BF6">
            <w:r w:rsidRPr="00616BF6">
              <w:t>Contraindication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textDirection w:val="btLr"/>
            <w:hideMark/>
          </w:tcPr>
          <w:p w14:paraId="1F192E54" w14:textId="77777777" w:rsidR="00616BF6" w:rsidRPr="00616BF6" w:rsidRDefault="00616BF6" w:rsidP="00616BF6">
            <w:r w:rsidRPr="00616BF6">
              <w:t>CT PE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textDirection w:val="btLr"/>
            <w:hideMark/>
          </w:tcPr>
          <w:p w14:paraId="24131F9D" w14:textId="77777777" w:rsidR="00616BF6" w:rsidRPr="00616BF6" w:rsidRDefault="00616BF6" w:rsidP="00616BF6">
            <w:r w:rsidRPr="00616BF6">
              <w:t xml:space="preserve">US </w:t>
            </w:r>
          </w:p>
        </w:tc>
        <w:tc>
          <w:tcPr>
            <w:tcW w:w="803" w:type="dxa"/>
            <w:shd w:val="clear" w:color="auto" w:fill="F2F2F2" w:themeFill="background1" w:themeFillShade="F2"/>
            <w:noWrap/>
            <w:textDirection w:val="btLr"/>
            <w:hideMark/>
          </w:tcPr>
          <w:p w14:paraId="0CB08E60" w14:textId="77777777" w:rsidR="00616BF6" w:rsidRPr="00616BF6" w:rsidRDefault="00616BF6" w:rsidP="00616BF6">
            <w:r w:rsidRPr="00616BF6">
              <w:t>D-Dimer</w:t>
            </w:r>
          </w:p>
        </w:tc>
      </w:tr>
      <w:tr w:rsidR="00616BF6" w:rsidRPr="00616BF6" w14:paraId="7A3B645E" w14:textId="77777777" w:rsidTr="00F86D55">
        <w:trPr>
          <w:trHeight w:val="315"/>
        </w:trPr>
        <w:tc>
          <w:tcPr>
            <w:tcW w:w="6678" w:type="dxa"/>
            <w:noWrap/>
            <w:hideMark/>
          </w:tcPr>
          <w:p w14:paraId="38B0E121" w14:textId="77777777" w:rsidR="00616BF6" w:rsidRPr="00616BF6" w:rsidRDefault="00616BF6">
            <w:r w:rsidRPr="00616BF6">
              <w:t>(Wells score &gt; 4 or D-dimer elevated)</w:t>
            </w:r>
          </w:p>
        </w:tc>
        <w:tc>
          <w:tcPr>
            <w:tcW w:w="1708" w:type="dxa"/>
            <w:noWrap/>
            <w:hideMark/>
          </w:tcPr>
          <w:p w14:paraId="74B984EE" w14:textId="77777777" w:rsidR="00616BF6" w:rsidRPr="00616BF6" w:rsidRDefault="00616BF6"/>
        </w:tc>
        <w:tc>
          <w:tcPr>
            <w:tcW w:w="803" w:type="dxa"/>
            <w:shd w:val="clear" w:color="auto" w:fill="00B050"/>
            <w:noWrap/>
            <w:hideMark/>
          </w:tcPr>
          <w:p w14:paraId="0C2D856A" w14:textId="77777777" w:rsidR="00616BF6" w:rsidRPr="00616BF6" w:rsidRDefault="00616BF6" w:rsidP="00616BF6">
            <w:r w:rsidRPr="00616BF6">
              <w:t>4</w:t>
            </w:r>
          </w:p>
        </w:tc>
        <w:tc>
          <w:tcPr>
            <w:tcW w:w="803" w:type="dxa"/>
            <w:noWrap/>
            <w:hideMark/>
          </w:tcPr>
          <w:p w14:paraId="4963FD29" w14:textId="77777777" w:rsidR="00616BF6" w:rsidRPr="00616BF6" w:rsidRDefault="00616BF6" w:rsidP="00616BF6">
            <w:r w:rsidRPr="00616BF6">
              <w:t xml:space="preserve"> </w:t>
            </w:r>
          </w:p>
        </w:tc>
        <w:tc>
          <w:tcPr>
            <w:tcW w:w="803" w:type="dxa"/>
            <w:noWrap/>
            <w:hideMark/>
          </w:tcPr>
          <w:p w14:paraId="1BF3FCF1" w14:textId="77777777" w:rsidR="00616BF6" w:rsidRPr="00616BF6" w:rsidRDefault="00616BF6" w:rsidP="00616BF6">
            <w:r w:rsidRPr="00616BF6">
              <w:t xml:space="preserve"> </w:t>
            </w:r>
          </w:p>
        </w:tc>
      </w:tr>
      <w:tr w:rsidR="00616BF6" w:rsidRPr="00616BF6" w14:paraId="5DC95D11" w14:textId="77777777" w:rsidTr="00F86D55">
        <w:trPr>
          <w:trHeight w:val="315"/>
        </w:trPr>
        <w:tc>
          <w:tcPr>
            <w:tcW w:w="6678" w:type="dxa"/>
            <w:noWrap/>
            <w:hideMark/>
          </w:tcPr>
          <w:p w14:paraId="53865A8A" w14:textId="48435361" w:rsidR="00616BF6" w:rsidRPr="00616BF6" w:rsidRDefault="00616BF6">
            <w:r w:rsidRPr="00616BF6">
              <w:t xml:space="preserve">(Wells score &gt; 4 or D-dimer elevated), </w:t>
            </w:r>
            <w:r w:rsidR="00F86D55">
              <w:t>R</w:t>
            </w:r>
            <w:r w:rsidRPr="00616BF6">
              <w:t xml:space="preserve">enal </w:t>
            </w:r>
            <w:r w:rsidR="00F86D55">
              <w:t>D</w:t>
            </w:r>
            <w:r w:rsidRPr="00616BF6">
              <w:t>isease/</w:t>
            </w:r>
            <w:r w:rsidR="00F86D55">
              <w:t>A</w:t>
            </w:r>
            <w:r w:rsidRPr="00616BF6">
              <w:t xml:space="preserve">llergy to </w:t>
            </w:r>
            <w:r w:rsidR="00F86D55">
              <w:t>C</w:t>
            </w:r>
            <w:r w:rsidRPr="00616BF6">
              <w:t>ontrast</w:t>
            </w:r>
          </w:p>
        </w:tc>
        <w:tc>
          <w:tcPr>
            <w:tcW w:w="1708" w:type="dxa"/>
            <w:noWrap/>
            <w:hideMark/>
          </w:tcPr>
          <w:p w14:paraId="644C4BA7" w14:textId="77777777" w:rsidR="00616BF6" w:rsidRPr="00616BF6" w:rsidRDefault="00616BF6">
            <w:r w:rsidRPr="00616BF6">
              <w:t>IOD</w:t>
            </w:r>
          </w:p>
        </w:tc>
        <w:tc>
          <w:tcPr>
            <w:tcW w:w="803" w:type="dxa"/>
            <w:shd w:val="clear" w:color="auto" w:fill="FFFF00"/>
            <w:noWrap/>
            <w:hideMark/>
          </w:tcPr>
          <w:p w14:paraId="5DFF389B" w14:textId="77777777" w:rsidR="00616BF6" w:rsidRPr="00616BF6" w:rsidRDefault="00616BF6" w:rsidP="00616BF6">
            <w:r w:rsidRPr="00616BF6">
              <w:t>3</w:t>
            </w:r>
          </w:p>
        </w:tc>
        <w:tc>
          <w:tcPr>
            <w:tcW w:w="803" w:type="dxa"/>
            <w:noWrap/>
            <w:hideMark/>
          </w:tcPr>
          <w:p w14:paraId="232B8494" w14:textId="77777777" w:rsidR="00616BF6" w:rsidRPr="00616BF6" w:rsidRDefault="00616BF6" w:rsidP="00616BF6">
            <w:r w:rsidRPr="00616BF6">
              <w:t xml:space="preserve"> </w:t>
            </w:r>
          </w:p>
        </w:tc>
        <w:tc>
          <w:tcPr>
            <w:tcW w:w="803" w:type="dxa"/>
            <w:noWrap/>
            <w:hideMark/>
          </w:tcPr>
          <w:p w14:paraId="5789D551" w14:textId="77777777" w:rsidR="00616BF6" w:rsidRPr="00616BF6" w:rsidRDefault="00616BF6" w:rsidP="00616BF6">
            <w:r w:rsidRPr="00616BF6">
              <w:t xml:space="preserve"> </w:t>
            </w:r>
          </w:p>
        </w:tc>
      </w:tr>
      <w:tr w:rsidR="00616BF6" w:rsidRPr="00616BF6" w14:paraId="691C7A6A" w14:textId="77777777" w:rsidTr="00F86D55">
        <w:trPr>
          <w:trHeight w:val="315"/>
        </w:trPr>
        <w:tc>
          <w:tcPr>
            <w:tcW w:w="6678" w:type="dxa"/>
            <w:noWrap/>
            <w:hideMark/>
          </w:tcPr>
          <w:p w14:paraId="11042A73" w14:textId="77777777" w:rsidR="00616BF6" w:rsidRPr="00616BF6" w:rsidRDefault="00616BF6">
            <w:r w:rsidRPr="00616BF6">
              <w:t>Wells &lt;= 4, D-dimer normal, not pregnant</w:t>
            </w:r>
          </w:p>
        </w:tc>
        <w:tc>
          <w:tcPr>
            <w:tcW w:w="1708" w:type="dxa"/>
            <w:noWrap/>
            <w:hideMark/>
          </w:tcPr>
          <w:p w14:paraId="67DD2603" w14:textId="77777777" w:rsidR="00616BF6" w:rsidRPr="00616BF6" w:rsidRDefault="00616BF6">
            <w:r w:rsidRPr="00616BF6">
              <w:t> </w:t>
            </w:r>
          </w:p>
        </w:tc>
        <w:tc>
          <w:tcPr>
            <w:tcW w:w="803" w:type="dxa"/>
            <w:shd w:val="clear" w:color="auto" w:fill="FF0000"/>
            <w:noWrap/>
            <w:hideMark/>
          </w:tcPr>
          <w:p w14:paraId="2A082FB0" w14:textId="77777777" w:rsidR="00616BF6" w:rsidRPr="00616BF6" w:rsidRDefault="00616BF6" w:rsidP="00616BF6">
            <w:r w:rsidRPr="00616BF6">
              <w:t>1</w:t>
            </w:r>
          </w:p>
        </w:tc>
        <w:tc>
          <w:tcPr>
            <w:tcW w:w="803" w:type="dxa"/>
            <w:noWrap/>
            <w:hideMark/>
          </w:tcPr>
          <w:p w14:paraId="171A2A50" w14:textId="77777777" w:rsidR="00616BF6" w:rsidRPr="00616BF6" w:rsidRDefault="00616BF6" w:rsidP="00616BF6">
            <w:r w:rsidRPr="00616BF6">
              <w:t xml:space="preserve"> </w:t>
            </w:r>
          </w:p>
        </w:tc>
        <w:tc>
          <w:tcPr>
            <w:tcW w:w="803" w:type="dxa"/>
            <w:noWrap/>
            <w:hideMark/>
          </w:tcPr>
          <w:p w14:paraId="61D5FB74" w14:textId="77777777" w:rsidR="00616BF6" w:rsidRPr="00616BF6" w:rsidRDefault="00616BF6" w:rsidP="00616BF6">
            <w:r w:rsidRPr="00616BF6">
              <w:t xml:space="preserve"> </w:t>
            </w:r>
          </w:p>
        </w:tc>
      </w:tr>
      <w:tr w:rsidR="00616BF6" w:rsidRPr="00616BF6" w14:paraId="299F0A94" w14:textId="77777777" w:rsidTr="00F86D55">
        <w:trPr>
          <w:trHeight w:val="315"/>
        </w:trPr>
        <w:tc>
          <w:tcPr>
            <w:tcW w:w="6678" w:type="dxa"/>
            <w:noWrap/>
            <w:hideMark/>
          </w:tcPr>
          <w:p w14:paraId="04911638" w14:textId="3A677ECD" w:rsidR="00616BF6" w:rsidRPr="00616BF6" w:rsidRDefault="00616BF6">
            <w:r w:rsidRPr="00616BF6">
              <w:t xml:space="preserve">Wells &lt;= 4, D-dimer normal, Pregnant, </w:t>
            </w:r>
            <w:r w:rsidR="00F86D55">
              <w:t>S</w:t>
            </w:r>
            <w:r w:rsidRPr="00616BF6">
              <w:t>igns</w:t>
            </w:r>
            <w:r w:rsidR="00F86D55">
              <w:t xml:space="preserve"> and Symptoms</w:t>
            </w:r>
            <w:r w:rsidRPr="00616BF6">
              <w:t xml:space="preserve"> of DVT</w:t>
            </w:r>
          </w:p>
        </w:tc>
        <w:tc>
          <w:tcPr>
            <w:tcW w:w="1708" w:type="dxa"/>
            <w:noWrap/>
            <w:hideMark/>
          </w:tcPr>
          <w:p w14:paraId="4D0E106D" w14:textId="77777777" w:rsidR="00616BF6" w:rsidRPr="00616BF6" w:rsidRDefault="00616BF6">
            <w:r w:rsidRPr="00616BF6">
              <w:t> </w:t>
            </w:r>
          </w:p>
        </w:tc>
        <w:tc>
          <w:tcPr>
            <w:tcW w:w="803" w:type="dxa"/>
            <w:shd w:val="clear" w:color="auto" w:fill="FF0000"/>
            <w:noWrap/>
            <w:hideMark/>
          </w:tcPr>
          <w:p w14:paraId="2F98F446" w14:textId="77777777" w:rsidR="00616BF6" w:rsidRPr="00616BF6" w:rsidRDefault="00616BF6" w:rsidP="00616BF6">
            <w:r w:rsidRPr="00616BF6">
              <w:t>1</w:t>
            </w:r>
          </w:p>
        </w:tc>
        <w:tc>
          <w:tcPr>
            <w:tcW w:w="803" w:type="dxa"/>
            <w:shd w:val="clear" w:color="auto" w:fill="00B050"/>
            <w:noWrap/>
            <w:hideMark/>
          </w:tcPr>
          <w:p w14:paraId="19DFF0A2" w14:textId="77777777" w:rsidR="00616BF6" w:rsidRPr="00616BF6" w:rsidRDefault="00616BF6" w:rsidP="00616BF6">
            <w:r w:rsidRPr="00616BF6">
              <w:t>4</w:t>
            </w:r>
          </w:p>
        </w:tc>
        <w:tc>
          <w:tcPr>
            <w:tcW w:w="803" w:type="dxa"/>
            <w:noWrap/>
            <w:hideMark/>
          </w:tcPr>
          <w:p w14:paraId="3F1F2A1A" w14:textId="77777777" w:rsidR="00616BF6" w:rsidRPr="00616BF6" w:rsidRDefault="00616BF6" w:rsidP="00616BF6">
            <w:r w:rsidRPr="00616BF6">
              <w:t xml:space="preserve"> </w:t>
            </w:r>
          </w:p>
        </w:tc>
      </w:tr>
      <w:tr w:rsidR="00616BF6" w:rsidRPr="00616BF6" w14:paraId="62626B79" w14:textId="77777777" w:rsidTr="00F86D55">
        <w:trPr>
          <w:trHeight w:val="315"/>
        </w:trPr>
        <w:tc>
          <w:tcPr>
            <w:tcW w:w="6678" w:type="dxa"/>
            <w:noWrap/>
            <w:hideMark/>
          </w:tcPr>
          <w:p w14:paraId="55658F27" w14:textId="1D2D867A" w:rsidR="00616BF6" w:rsidRPr="00616BF6" w:rsidRDefault="00616BF6">
            <w:r w:rsidRPr="00616BF6">
              <w:t xml:space="preserve">Wells &lt;= 4, D-dimer normal, Pregnant, no </w:t>
            </w:r>
            <w:r w:rsidR="00F86D55" w:rsidRPr="00F86D55">
              <w:t xml:space="preserve">Signs and Symptoms </w:t>
            </w:r>
            <w:r w:rsidRPr="00616BF6">
              <w:t>of DVT</w:t>
            </w:r>
          </w:p>
        </w:tc>
        <w:tc>
          <w:tcPr>
            <w:tcW w:w="1708" w:type="dxa"/>
            <w:noWrap/>
            <w:hideMark/>
          </w:tcPr>
          <w:p w14:paraId="3431BEA2" w14:textId="77777777" w:rsidR="00616BF6" w:rsidRPr="00616BF6" w:rsidRDefault="00616BF6">
            <w:r w:rsidRPr="00616BF6">
              <w:t> </w:t>
            </w:r>
          </w:p>
        </w:tc>
        <w:tc>
          <w:tcPr>
            <w:tcW w:w="803" w:type="dxa"/>
            <w:shd w:val="clear" w:color="auto" w:fill="FFC000"/>
            <w:noWrap/>
            <w:hideMark/>
          </w:tcPr>
          <w:p w14:paraId="736B232B" w14:textId="77777777" w:rsidR="00616BF6" w:rsidRPr="00616BF6" w:rsidRDefault="00616BF6" w:rsidP="00616BF6">
            <w:r w:rsidRPr="00616BF6">
              <w:t>2</w:t>
            </w:r>
          </w:p>
        </w:tc>
        <w:tc>
          <w:tcPr>
            <w:tcW w:w="803" w:type="dxa"/>
            <w:noWrap/>
            <w:hideMark/>
          </w:tcPr>
          <w:p w14:paraId="70310C0C" w14:textId="77777777" w:rsidR="00616BF6" w:rsidRPr="00616BF6" w:rsidRDefault="00616BF6" w:rsidP="00616BF6">
            <w:r w:rsidRPr="00616BF6">
              <w:t xml:space="preserve"> </w:t>
            </w:r>
          </w:p>
        </w:tc>
        <w:tc>
          <w:tcPr>
            <w:tcW w:w="803" w:type="dxa"/>
            <w:noWrap/>
            <w:hideMark/>
          </w:tcPr>
          <w:p w14:paraId="24A82A10" w14:textId="77777777" w:rsidR="00616BF6" w:rsidRPr="00616BF6" w:rsidRDefault="00616BF6" w:rsidP="00616BF6">
            <w:r w:rsidRPr="00616BF6">
              <w:t xml:space="preserve"> </w:t>
            </w:r>
          </w:p>
        </w:tc>
      </w:tr>
      <w:tr w:rsidR="00616BF6" w:rsidRPr="00616BF6" w14:paraId="73DA8409" w14:textId="77777777" w:rsidTr="00F86D55">
        <w:trPr>
          <w:trHeight w:val="315"/>
        </w:trPr>
        <w:tc>
          <w:tcPr>
            <w:tcW w:w="6678" w:type="dxa"/>
            <w:noWrap/>
            <w:hideMark/>
          </w:tcPr>
          <w:p w14:paraId="74C1DB9E" w14:textId="77777777" w:rsidR="00616BF6" w:rsidRPr="00616BF6" w:rsidRDefault="00616BF6">
            <w:r w:rsidRPr="00616BF6">
              <w:t>Wells 2-4, D-dimer not done</w:t>
            </w:r>
          </w:p>
        </w:tc>
        <w:tc>
          <w:tcPr>
            <w:tcW w:w="1708" w:type="dxa"/>
            <w:noWrap/>
            <w:hideMark/>
          </w:tcPr>
          <w:p w14:paraId="4C13345C" w14:textId="77777777" w:rsidR="00616BF6" w:rsidRPr="00616BF6" w:rsidRDefault="00616BF6"/>
        </w:tc>
        <w:tc>
          <w:tcPr>
            <w:tcW w:w="803" w:type="dxa"/>
            <w:shd w:val="clear" w:color="auto" w:fill="FF0000"/>
            <w:noWrap/>
            <w:hideMark/>
          </w:tcPr>
          <w:p w14:paraId="17CC7FEC" w14:textId="77777777" w:rsidR="00616BF6" w:rsidRPr="00616BF6" w:rsidRDefault="00616BF6" w:rsidP="00616BF6">
            <w:r w:rsidRPr="00616BF6">
              <w:t>1</w:t>
            </w:r>
          </w:p>
        </w:tc>
        <w:tc>
          <w:tcPr>
            <w:tcW w:w="803" w:type="dxa"/>
            <w:noWrap/>
            <w:hideMark/>
          </w:tcPr>
          <w:p w14:paraId="1B5433B0" w14:textId="77777777" w:rsidR="00616BF6" w:rsidRPr="00616BF6" w:rsidRDefault="00616BF6" w:rsidP="00616BF6">
            <w:r w:rsidRPr="00616BF6">
              <w:t xml:space="preserve"> </w:t>
            </w:r>
          </w:p>
        </w:tc>
        <w:tc>
          <w:tcPr>
            <w:tcW w:w="803" w:type="dxa"/>
            <w:shd w:val="clear" w:color="auto" w:fill="00B050"/>
            <w:noWrap/>
            <w:hideMark/>
          </w:tcPr>
          <w:p w14:paraId="084FAE33" w14:textId="77777777" w:rsidR="00616BF6" w:rsidRPr="00616BF6" w:rsidRDefault="00616BF6" w:rsidP="00616BF6">
            <w:r w:rsidRPr="00616BF6">
              <w:t>4</w:t>
            </w:r>
          </w:p>
        </w:tc>
      </w:tr>
      <w:tr w:rsidR="00616BF6" w:rsidRPr="00616BF6" w14:paraId="36E9B952" w14:textId="77777777" w:rsidTr="00F86D55">
        <w:trPr>
          <w:trHeight w:val="300"/>
        </w:trPr>
        <w:tc>
          <w:tcPr>
            <w:tcW w:w="6678" w:type="dxa"/>
            <w:noWrap/>
            <w:hideMark/>
          </w:tcPr>
          <w:p w14:paraId="21083F3D" w14:textId="77777777" w:rsidR="00616BF6" w:rsidRPr="00616BF6" w:rsidRDefault="00616BF6">
            <w:r w:rsidRPr="00616BF6">
              <w:t>Wells &lt; 2, PERC positive, D-dimer not done, not pregnant</w:t>
            </w:r>
          </w:p>
        </w:tc>
        <w:tc>
          <w:tcPr>
            <w:tcW w:w="1708" w:type="dxa"/>
            <w:noWrap/>
            <w:hideMark/>
          </w:tcPr>
          <w:p w14:paraId="546EC546" w14:textId="77777777" w:rsidR="00616BF6" w:rsidRPr="00616BF6" w:rsidRDefault="00616BF6">
            <w:r w:rsidRPr="00616BF6">
              <w:t> </w:t>
            </w:r>
          </w:p>
        </w:tc>
        <w:tc>
          <w:tcPr>
            <w:tcW w:w="803" w:type="dxa"/>
            <w:shd w:val="clear" w:color="auto" w:fill="FF0000"/>
            <w:noWrap/>
            <w:hideMark/>
          </w:tcPr>
          <w:p w14:paraId="3892FE86" w14:textId="77777777" w:rsidR="00616BF6" w:rsidRPr="00616BF6" w:rsidRDefault="00616BF6" w:rsidP="00616BF6">
            <w:r w:rsidRPr="00616BF6">
              <w:t>1</w:t>
            </w:r>
          </w:p>
        </w:tc>
        <w:tc>
          <w:tcPr>
            <w:tcW w:w="803" w:type="dxa"/>
            <w:noWrap/>
            <w:hideMark/>
          </w:tcPr>
          <w:p w14:paraId="7A3B2A53" w14:textId="77777777" w:rsidR="00616BF6" w:rsidRPr="00616BF6" w:rsidRDefault="00616BF6" w:rsidP="00616BF6">
            <w:r w:rsidRPr="00616BF6">
              <w:t xml:space="preserve"> </w:t>
            </w:r>
          </w:p>
        </w:tc>
        <w:tc>
          <w:tcPr>
            <w:tcW w:w="803" w:type="dxa"/>
            <w:shd w:val="clear" w:color="auto" w:fill="00B050"/>
            <w:noWrap/>
            <w:hideMark/>
          </w:tcPr>
          <w:p w14:paraId="4AD3B594" w14:textId="77777777" w:rsidR="00616BF6" w:rsidRPr="00616BF6" w:rsidRDefault="00616BF6" w:rsidP="00616BF6">
            <w:r w:rsidRPr="00616BF6">
              <w:t>4</w:t>
            </w:r>
          </w:p>
        </w:tc>
      </w:tr>
      <w:tr w:rsidR="00616BF6" w:rsidRPr="00616BF6" w14:paraId="23A36FE0" w14:textId="77777777" w:rsidTr="00F86D55">
        <w:trPr>
          <w:trHeight w:val="315"/>
        </w:trPr>
        <w:tc>
          <w:tcPr>
            <w:tcW w:w="6678" w:type="dxa"/>
            <w:noWrap/>
            <w:hideMark/>
          </w:tcPr>
          <w:p w14:paraId="3F774E5D" w14:textId="77777777" w:rsidR="00616BF6" w:rsidRPr="00616BF6" w:rsidRDefault="00616BF6">
            <w:r w:rsidRPr="00616BF6">
              <w:t>Wells &lt; 2, PERC negative, D-dimer not done, not pregnant</w:t>
            </w:r>
          </w:p>
        </w:tc>
        <w:tc>
          <w:tcPr>
            <w:tcW w:w="1708" w:type="dxa"/>
            <w:noWrap/>
            <w:hideMark/>
          </w:tcPr>
          <w:p w14:paraId="5F061BE0" w14:textId="77777777" w:rsidR="00616BF6" w:rsidRPr="00616BF6" w:rsidRDefault="00616BF6">
            <w:r w:rsidRPr="00616BF6">
              <w:t> </w:t>
            </w:r>
          </w:p>
        </w:tc>
        <w:tc>
          <w:tcPr>
            <w:tcW w:w="803" w:type="dxa"/>
            <w:shd w:val="clear" w:color="auto" w:fill="FF0000"/>
            <w:noWrap/>
            <w:hideMark/>
          </w:tcPr>
          <w:p w14:paraId="08685544" w14:textId="77777777" w:rsidR="00616BF6" w:rsidRPr="00616BF6" w:rsidRDefault="00616BF6" w:rsidP="00616BF6">
            <w:r w:rsidRPr="00616BF6">
              <w:t>1</w:t>
            </w:r>
          </w:p>
        </w:tc>
        <w:tc>
          <w:tcPr>
            <w:tcW w:w="803" w:type="dxa"/>
            <w:noWrap/>
            <w:hideMark/>
          </w:tcPr>
          <w:p w14:paraId="259BD2F8" w14:textId="77777777" w:rsidR="00616BF6" w:rsidRPr="00616BF6" w:rsidRDefault="00616BF6" w:rsidP="00616BF6">
            <w:r w:rsidRPr="00616BF6">
              <w:t xml:space="preserve"> </w:t>
            </w:r>
          </w:p>
        </w:tc>
        <w:tc>
          <w:tcPr>
            <w:tcW w:w="803" w:type="dxa"/>
            <w:noWrap/>
            <w:hideMark/>
          </w:tcPr>
          <w:p w14:paraId="65F92F96" w14:textId="77777777" w:rsidR="00616BF6" w:rsidRPr="00616BF6" w:rsidRDefault="00616BF6" w:rsidP="00616BF6">
            <w:r w:rsidRPr="00616BF6">
              <w:t xml:space="preserve"> </w:t>
            </w:r>
          </w:p>
        </w:tc>
      </w:tr>
      <w:tr w:rsidR="00616BF6" w:rsidRPr="00616BF6" w14:paraId="2523C128" w14:textId="77777777" w:rsidTr="00F86D55">
        <w:trPr>
          <w:trHeight w:val="315"/>
        </w:trPr>
        <w:tc>
          <w:tcPr>
            <w:tcW w:w="6678" w:type="dxa"/>
            <w:noWrap/>
            <w:hideMark/>
          </w:tcPr>
          <w:p w14:paraId="5007AACF" w14:textId="77777777" w:rsidR="00616BF6" w:rsidRPr="00616BF6" w:rsidRDefault="00616BF6">
            <w:r w:rsidRPr="00616BF6">
              <w:t>Wells &lt; 2, D-dimer not done, pregnant</w:t>
            </w:r>
          </w:p>
        </w:tc>
        <w:tc>
          <w:tcPr>
            <w:tcW w:w="1708" w:type="dxa"/>
            <w:noWrap/>
            <w:hideMark/>
          </w:tcPr>
          <w:p w14:paraId="51309726" w14:textId="77777777" w:rsidR="00616BF6" w:rsidRPr="00616BF6" w:rsidRDefault="00616BF6">
            <w:r w:rsidRPr="00616BF6">
              <w:t> </w:t>
            </w:r>
          </w:p>
        </w:tc>
        <w:tc>
          <w:tcPr>
            <w:tcW w:w="803" w:type="dxa"/>
            <w:shd w:val="clear" w:color="auto" w:fill="FF0000"/>
            <w:noWrap/>
            <w:hideMark/>
          </w:tcPr>
          <w:p w14:paraId="50235F60" w14:textId="77777777" w:rsidR="00616BF6" w:rsidRPr="00616BF6" w:rsidRDefault="00616BF6" w:rsidP="00616BF6">
            <w:r w:rsidRPr="00616BF6">
              <w:t>1</w:t>
            </w:r>
          </w:p>
        </w:tc>
        <w:tc>
          <w:tcPr>
            <w:tcW w:w="803" w:type="dxa"/>
            <w:noWrap/>
            <w:hideMark/>
          </w:tcPr>
          <w:p w14:paraId="780EC628" w14:textId="77777777" w:rsidR="00616BF6" w:rsidRPr="00616BF6" w:rsidRDefault="00616BF6" w:rsidP="00616BF6">
            <w:r w:rsidRPr="00616BF6">
              <w:t xml:space="preserve"> </w:t>
            </w:r>
          </w:p>
        </w:tc>
        <w:tc>
          <w:tcPr>
            <w:tcW w:w="803" w:type="dxa"/>
            <w:shd w:val="clear" w:color="auto" w:fill="00B050"/>
            <w:noWrap/>
            <w:hideMark/>
          </w:tcPr>
          <w:p w14:paraId="69D4D607" w14:textId="77777777" w:rsidR="00616BF6" w:rsidRPr="00616BF6" w:rsidRDefault="00616BF6" w:rsidP="00616BF6">
            <w:r w:rsidRPr="00616BF6">
              <w:t>4</w:t>
            </w:r>
          </w:p>
        </w:tc>
      </w:tr>
    </w:tbl>
    <w:p w14:paraId="3F012FAF" w14:textId="40A05A84" w:rsidR="00B74EF4" w:rsidRDefault="00B74EF4" w:rsidP="00616BF6"/>
    <w:p w14:paraId="62BD4A33" w14:textId="77777777" w:rsidR="005A5713" w:rsidRPr="005A5713" w:rsidRDefault="005A5713" w:rsidP="005A5713">
      <w:pPr>
        <w:jc w:val="center"/>
      </w:pPr>
    </w:p>
    <w:p w14:paraId="570A044D" w14:textId="77777777" w:rsidR="00BC2943" w:rsidRPr="00BC2943" w:rsidRDefault="00BC2943" w:rsidP="00BC2943">
      <w:pPr>
        <w:rPr>
          <w:b/>
          <w:bCs/>
          <w:sz w:val="32"/>
          <w:szCs w:val="32"/>
        </w:rPr>
      </w:pPr>
      <w:r w:rsidRPr="00BC2943">
        <w:rPr>
          <w:b/>
          <w:bCs/>
          <w:sz w:val="32"/>
          <w:szCs w:val="32"/>
        </w:rPr>
        <w:lastRenderedPageBreak/>
        <w:t>Sources</w:t>
      </w:r>
    </w:p>
    <w:p w14:paraId="2E1EA49F" w14:textId="09CCBCDB" w:rsidR="00EF355F" w:rsidRDefault="00BC2943" w:rsidP="00EF355F">
      <w:pPr>
        <w:spacing w:after="0"/>
        <w:jc w:val="center"/>
        <w:rPr>
          <w:b/>
          <w:bCs/>
        </w:rPr>
      </w:pPr>
      <w:r w:rsidRPr="008E4CDE">
        <w:rPr>
          <w:b/>
          <w:bCs/>
        </w:rPr>
        <w:t xml:space="preserve">The </w:t>
      </w:r>
      <w:r w:rsidR="00616BF6">
        <w:rPr>
          <w:b/>
          <w:bCs/>
        </w:rPr>
        <w:t>Pulmonary Embolism</w:t>
      </w:r>
      <w:r w:rsidRPr="008E4CDE">
        <w:rPr>
          <w:b/>
          <w:bCs/>
        </w:rPr>
        <w:t xml:space="preserve"> AUC has been developed by Weill Cornell Medicine utilizing</w:t>
      </w:r>
    </w:p>
    <w:p w14:paraId="3653E42D" w14:textId="4CEC53D1" w:rsidR="00BC2943" w:rsidRDefault="008E4CDE" w:rsidP="00EF355F">
      <w:pPr>
        <w:spacing w:after="0"/>
        <w:jc w:val="center"/>
        <w:rPr>
          <w:b/>
          <w:bCs/>
        </w:rPr>
      </w:pPr>
      <w:r w:rsidRPr="008E4CDE">
        <w:rPr>
          <w:b/>
          <w:bCs/>
        </w:rPr>
        <w:t xml:space="preserve">the following </w:t>
      </w:r>
      <w:r w:rsidR="00BC2943" w:rsidRPr="008E4CDE">
        <w:rPr>
          <w:b/>
          <w:bCs/>
        </w:rPr>
        <w:t>published sources</w:t>
      </w:r>
      <w:r w:rsidR="00EF355F">
        <w:rPr>
          <w:b/>
          <w:bCs/>
        </w:rPr>
        <w:t xml:space="preserve"> and Local Best Practice (LBP)</w:t>
      </w:r>
      <w:r w:rsidRPr="008E4CDE">
        <w:rPr>
          <w:b/>
          <w:bCs/>
        </w:rPr>
        <w:t>.</w:t>
      </w:r>
    </w:p>
    <w:p w14:paraId="215846C7" w14:textId="77777777" w:rsidR="00EF355F" w:rsidRPr="008E4CDE" w:rsidRDefault="00EF355F" w:rsidP="00EF355F">
      <w:pPr>
        <w:spacing w:after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85"/>
      </w:tblGrid>
      <w:tr w:rsidR="00BC2943" w:rsidRPr="00BC2943" w14:paraId="270AA41F" w14:textId="77777777" w:rsidTr="008E4CDE">
        <w:tc>
          <w:tcPr>
            <w:tcW w:w="805" w:type="dxa"/>
          </w:tcPr>
          <w:p w14:paraId="4B6562E5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No.</w:t>
            </w:r>
          </w:p>
        </w:tc>
        <w:tc>
          <w:tcPr>
            <w:tcW w:w="9985" w:type="dxa"/>
          </w:tcPr>
          <w:p w14:paraId="0B8FCF26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Source</w:t>
            </w:r>
          </w:p>
        </w:tc>
      </w:tr>
      <w:tr w:rsidR="00BC2943" w:rsidRPr="00BC2943" w14:paraId="4CCBF50B" w14:textId="77777777" w:rsidTr="008E4CDE">
        <w:tc>
          <w:tcPr>
            <w:tcW w:w="805" w:type="dxa"/>
          </w:tcPr>
          <w:p w14:paraId="5E46FF6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</w:t>
            </w:r>
          </w:p>
        </w:tc>
        <w:tc>
          <w:tcPr>
            <w:tcW w:w="9985" w:type="dxa"/>
          </w:tcPr>
          <w:p w14:paraId="64C0A021" w14:textId="04919C62" w:rsidR="00BC2943" w:rsidRPr="00BC2943" w:rsidRDefault="0097321A" w:rsidP="00BC2943">
            <w:pPr>
              <w:spacing w:after="160" w:line="259" w:lineRule="auto"/>
            </w:pPr>
            <w:r w:rsidRPr="0097321A">
              <w:t xml:space="preserve">Prospective validation of Wells Criteria in the evaluation of patients with suspected pulmonary embolism, Wolf SJ, McCubbin TR, </w:t>
            </w:r>
            <w:proofErr w:type="spellStart"/>
            <w:r w:rsidRPr="0097321A">
              <w:t>Feldhaus</w:t>
            </w:r>
            <w:proofErr w:type="spellEnd"/>
            <w:r w:rsidRPr="0097321A">
              <w:t xml:space="preserve"> KM, Faragher JP, Adcock DM. Prospective validation of Wells Criteria in the evaluation of patients with suspected pulmonary embolism. Ann </w:t>
            </w:r>
            <w:proofErr w:type="spellStart"/>
            <w:r w:rsidRPr="0097321A">
              <w:t>Emerg</w:t>
            </w:r>
            <w:proofErr w:type="spellEnd"/>
            <w:r w:rsidRPr="0097321A">
              <w:t xml:space="preserve"> Med, 2004 Nov 44(5):503-10., </w:t>
            </w:r>
            <w:r w:rsidRPr="0097321A">
              <w:br/>
            </w:r>
            <w:hyperlink r:id="rId7" w:history="1">
              <w:r w:rsidRPr="0097321A">
                <w:rPr>
                  <w:rStyle w:val="Hyperlink"/>
                </w:rPr>
                <w:t>https://www.ncbi.nlm.nih.gov/pubmed/15520710</w:t>
              </w:r>
            </w:hyperlink>
          </w:p>
        </w:tc>
      </w:tr>
      <w:tr w:rsidR="00BC2943" w:rsidRPr="00BC2943" w14:paraId="52799D29" w14:textId="77777777" w:rsidTr="008E4CDE">
        <w:tc>
          <w:tcPr>
            <w:tcW w:w="805" w:type="dxa"/>
          </w:tcPr>
          <w:p w14:paraId="478485C8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2</w:t>
            </w:r>
          </w:p>
        </w:tc>
        <w:tc>
          <w:tcPr>
            <w:tcW w:w="9985" w:type="dxa"/>
          </w:tcPr>
          <w:p w14:paraId="0BCCFFAF" w14:textId="0D68C82C" w:rsidR="00BC2943" w:rsidRPr="00BC2943" w:rsidRDefault="0097321A" w:rsidP="00BC2943">
            <w:pPr>
              <w:spacing w:after="160" w:line="259" w:lineRule="auto"/>
            </w:pPr>
            <w:r w:rsidRPr="0097321A">
              <w:t xml:space="preserve">Derivation of a simple clinical model to categorize patients probability of pulmonary embolism: increasing the models utility with the </w:t>
            </w:r>
            <w:proofErr w:type="spellStart"/>
            <w:r w:rsidRPr="0097321A">
              <w:t>SimpliRED</w:t>
            </w:r>
            <w:proofErr w:type="spellEnd"/>
            <w:r w:rsidRPr="0097321A">
              <w:t xml:space="preserve"> D-dimer, Wells PS, Anderson DR, Rodger M, Ginsberg JS, Kearon C, Gent M, </w:t>
            </w:r>
            <w:proofErr w:type="spellStart"/>
            <w:r w:rsidRPr="0097321A">
              <w:t>Turpie</w:t>
            </w:r>
            <w:proofErr w:type="spellEnd"/>
            <w:r w:rsidRPr="0097321A">
              <w:t xml:space="preserve"> AG, </w:t>
            </w:r>
            <w:proofErr w:type="spellStart"/>
            <w:r w:rsidRPr="0097321A">
              <w:t>Bormanis</w:t>
            </w:r>
            <w:proofErr w:type="spellEnd"/>
            <w:r w:rsidRPr="0097321A">
              <w:t xml:space="preserve"> J, Weitz J, Chamberlain M, Bowie D, Barnes D, Hirsh J. Derivation of a simple clinical model to categorize patients probability of pulmonary embolism: increasing the models utility with the </w:t>
            </w:r>
            <w:proofErr w:type="spellStart"/>
            <w:r w:rsidRPr="0097321A">
              <w:t>SimpliRED</w:t>
            </w:r>
            <w:proofErr w:type="spellEnd"/>
            <w:r w:rsidRPr="0097321A">
              <w:t xml:space="preserve"> D-dimer. </w:t>
            </w:r>
            <w:proofErr w:type="spellStart"/>
            <w:r w:rsidRPr="0097321A">
              <w:t>Thromb</w:t>
            </w:r>
            <w:proofErr w:type="spellEnd"/>
            <w:r w:rsidRPr="0097321A">
              <w:t xml:space="preserve"> </w:t>
            </w:r>
            <w:proofErr w:type="spellStart"/>
            <w:r w:rsidRPr="0097321A">
              <w:t>Haemost</w:t>
            </w:r>
            <w:proofErr w:type="spellEnd"/>
            <w:r w:rsidRPr="0097321A">
              <w:t>. 2000 Mar;83(3):416-20.,</w:t>
            </w:r>
            <w:r w:rsidRPr="0097321A">
              <w:br/>
            </w:r>
            <w:hyperlink r:id="rId8" w:history="1">
              <w:r w:rsidRPr="0097321A">
                <w:rPr>
                  <w:rStyle w:val="Hyperlink"/>
                </w:rPr>
                <w:t>https://www.ncbi.nlm.nih.gov/pubmed/10744147</w:t>
              </w:r>
            </w:hyperlink>
          </w:p>
        </w:tc>
      </w:tr>
      <w:tr w:rsidR="0097321A" w:rsidRPr="00BC2943" w14:paraId="42CE876F" w14:textId="77777777" w:rsidTr="008E4CDE">
        <w:tc>
          <w:tcPr>
            <w:tcW w:w="805" w:type="dxa"/>
          </w:tcPr>
          <w:p w14:paraId="3CB6F56A" w14:textId="63FCF4A9" w:rsidR="0097321A" w:rsidRPr="00BC2943" w:rsidRDefault="0097321A" w:rsidP="00BC2943">
            <w:r>
              <w:t>3</w:t>
            </w:r>
          </w:p>
        </w:tc>
        <w:tc>
          <w:tcPr>
            <w:tcW w:w="9985" w:type="dxa"/>
          </w:tcPr>
          <w:p w14:paraId="51F1C2E4" w14:textId="08EB16A1" w:rsidR="0097321A" w:rsidRPr="005C3343" w:rsidRDefault="0097321A" w:rsidP="00BC2943">
            <w:r w:rsidRPr="0097321A">
              <w:t xml:space="preserve">American Thoracic Society documents: an official American Thoracic Society/Society of Thoracic Radiology Clinical Practice Guideline--Evaluation of Suspected Pulmonary Embolism in Pregnancy, Leung AN, Bull TM, </w:t>
            </w:r>
            <w:proofErr w:type="spellStart"/>
            <w:r w:rsidRPr="0097321A">
              <w:t>Jaeschke</w:t>
            </w:r>
            <w:proofErr w:type="spellEnd"/>
            <w:r w:rsidRPr="0097321A">
              <w:t xml:space="preserve"> R, Lockwood CJ, </w:t>
            </w:r>
            <w:proofErr w:type="spellStart"/>
            <w:r w:rsidRPr="0097321A">
              <w:t>Boiselle</w:t>
            </w:r>
            <w:proofErr w:type="spellEnd"/>
            <w:r w:rsidRPr="0097321A">
              <w:t xml:space="preserve"> PM, Hurwitz LM, James AH, McCullough LB, </w:t>
            </w:r>
            <w:proofErr w:type="spellStart"/>
            <w:r w:rsidRPr="0097321A">
              <w:t>Menda</w:t>
            </w:r>
            <w:proofErr w:type="spellEnd"/>
            <w:r w:rsidRPr="0097321A">
              <w:t xml:space="preserve"> Y, </w:t>
            </w:r>
            <w:proofErr w:type="spellStart"/>
            <w:r w:rsidRPr="0097321A">
              <w:t>Paidas</w:t>
            </w:r>
            <w:proofErr w:type="spellEnd"/>
            <w:r w:rsidRPr="0097321A">
              <w:t xml:space="preserve"> MJ, Royal HD, </w:t>
            </w:r>
            <w:proofErr w:type="spellStart"/>
            <w:r w:rsidRPr="0097321A">
              <w:t>Tapson</w:t>
            </w:r>
            <w:proofErr w:type="spellEnd"/>
            <w:r w:rsidRPr="0097321A">
              <w:t xml:space="preserve"> VF, Winer-</w:t>
            </w:r>
            <w:proofErr w:type="spellStart"/>
            <w:r w:rsidRPr="0097321A">
              <w:t>Muram</w:t>
            </w:r>
            <w:proofErr w:type="spellEnd"/>
            <w:r w:rsidRPr="0097321A">
              <w:t xml:space="preserve"> HT, Chervenak FA, Cody DD, McNitt-Gray MF, Stave CD, Tuttle BD; ATS/STR Committee on Pulmonary Embolism in Pregnancy. American Thoracic Society documents: an official American Thoracic Society/Society of Thoracic Radiology Clinical Practice Guideline--Evaluation of Suspected Pulmonary Embolism in Pregnancy. Radiology. 2012 Feb;262(2):635-46., </w:t>
            </w:r>
            <w:r w:rsidRPr="0097321A">
              <w:br/>
            </w:r>
            <w:hyperlink r:id="rId9" w:history="1">
              <w:r w:rsidRPr="0097321A">
                <w:rPr>
                  <w:rStyle w:val="Hyperlink"/>
                </w:rPr>
                <w:t>https://www.ncbi.nlm.nih.gov/pubmed/22282185</w:t>
              </w:r>
            </w:hyperlink>
          </w:p>
        </w:tc>
      </w:tr>
    </w:tbl>
    <w:p w14:paraId="623C26AE" w14:textId="77777777" w:rsidR="00BC2943" w:rsidRPr="00BC2943" w:rsidRDefault="00BC2943" w:rsidP="00BC2943"/>
    <w:p w14:paraId="4A7B5BC8" w14:textId="797CF2A7" w:rsidR="00B74EF4" w:rsidRDefault="00B74EF4" w:rsidP="00D92FAD"/>
    <w:p w14:paraId="4975D931" w14:textId="7945B1B6" w:rsidR="00B74EF4" w:rsidRDefault="00B74EF4" w:rsidP="008C3DC5">
      <w:pPr>
        <w:jc w:val="center"/>
      </w:pPr>
    </w:p>
    <w:p w14:paraId="01BF83BD" w14:textId="77777777" w:rsidR="00B07DC8" w:rsidRDefault="00B07DC8" w:rsidP="00B07DC8">
      <w:bookmarkStart w:id="1" w:name="_GoBack"/>
      <w:bookmarkEnd w:id="1"/>
    </w:p>
    <w:sectPr w:rsidR="00B07DC8" w:rsidSect="0053087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F40BD" w14:textId="77777777" w:rsidR="003B57F4" w:rsidRDefault="003B57F4" w:rsidP="005F6BEC">
      <w:pPr>
        <w:spacing w:after="0" w:line="240" w:lineRule="auto"/>
      </w:pPr>
      <w:r>
        <w:separator/>
      </w:r>
    </w:p>
  </w:endnote>
  <w:endnote w:type="continuationSeparator" w:id="0">
    <w:p w14:paraId="64982F96" w14:textId="77777777" w:rsidR="003B57F4" w:rsidRDefault="003B57F4" w:rsidP="005F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863DE" w14:textId="2EF0DE38" w:rsidR="00ED100E" w:rsidRPr="00644AA3" w:rsidRDefault="00ED100E" w:rsidP="00D01509">
    <w:pPr>
      <w:pStyle w:val="Footer"/>
      <w:jc w:val="center"/>
      <w:rPr>
        <w:color w:val="C00000"/>
      </w:rPr>
    </w:pPr>
    <w:r w:rsidRPr="00644AA3">
      <w:rPr>
        <w:color w:val="C00000"/>
      </w:rPr>
      <w:t xml:space="preserve">Weill Cornell Medicine </w:t>
    </w:r>
    <w:r w:rsidR="0097321A">
      <w:rPr>
        <w:color w:val="C00000"/>
      </w:rPr>
      <w:t>–</w:t>
    </w:r>
    <w:r w:rsidRPr="00644AA3">
      <w:rPr>
        <w:color w:val="C00000"/>
      </w:rPr>
      <w:t xml:space="preserve"> </w:t>
    </w:r>
    <w:r w:rsidR="0097321A">
      <w:rPr>
        <w:color w:val="C00000"/>
      </w:rPr>
      <w:t>Pulmonary Embolism</w:t>
    </w:r>
    <w:r w:rsidRPr="00644AA3">
      <w:rPr>
        <w:color w:val="C00000"/>
      </w:rPr>
      <w:t xml:space="preserve"> AUC </w:t>
    </w:r>
    <w:r>
      <w:rPr>
        <w:color w:val="C00000"/>
      </w:rPr>
      <w:t>v</w:t>
    </w:r>
    <w:r w:rsidR="005A5713">
      <w:rPr>
        <w:color w:val="C00000"/>
      </w:rPr>
      <w:t>5</w:t>
    </w:r>
    <w:r>
      <w:rPr>
        <w:color w:val="C00000"/>
      </w:rPr>
      <w:t xml:space="preserve"> </w:t>
    </w:r>
    <w:r w:rsidRPr="00644AA3">
      <w:rPr>
        <w:color w:val="C00000"/>
      </w:rPr>
      <w:t>– Copyright</w:t>
    </w:r>
    <w:bookmarkStart w:id="2" w:name="_Hlk19095272"/>
    <w:r w:rsidRPr="00ED100E">
      <w:rPr>
        <w:color w:val="C00000"/>
        <w:vertAlign w:val="superscript"/>
      </w:rPr>
      <w:t>©</w:t>
    </w:r>
    <w:bookmarkEnd w:id="2"/>
    <w:r w:rsidRPr="00644AA3">
      <w:rPr>
        <w:color w:val="C00000"/>
      </w:rPr>
      <w:t xml:space="preserve"> 201</w:t>
    </w:r>
    <w:r>
      <w:rPr>
        <w:color w:val="C00000"/>
      </w:rPr>
      <w:t>9</w:t>
    </w:r>
    <w:r w:rsidRPr="00644AA3">
      <w:rPr>
        <w:color w:val="C00000"/>
      </w:rPr>
      <w:t xml:space="preserve">                                                        </w:t>
    </w:r>
    <w:r w:rsidRPr="004E3119">
      <w:rPr>
        <w:color w:val="808080" w:themeColor="background1" w:themeShade="80"/>
        <w:spacing w:val="60"/>
      </w:rPr>
      <w:t>Page</w:t>
    </w:r>
    <w:r w:rsidRPr="004E3119">
      <w:rPr>
        <w:color w:val="808080" w:themeColor="background1" w:themeShade="80"/>
      </w:rPr>
      <w:t xml:space="preserve"> | </w:t>
    </w:r>
    <w:r w:rsidRPr="00644AA3">
      <w:rPr>
        <w:color w:val="C00000"/>
      </w:rPr>
      <w:fldChar w:fldCharType="begin"/>
    </w:r>
    <w:r w:rsidRPr="00644AA3">
      <w:rPr>
        <w:color w:val="C00000"/>
      </w:rPr>
      <w:instrText xml:space="preserve"> PAGE   \* MERGEFORMAT </w:instrText>
    </w:r>
    <w:r w:rsidRPr="00644AA3">
      <w:rPr>
        <w:color w:val="C00000"/>
      </w:rPr>
      <w:fldChar w:fldCharType="separate"/>
    </w:r>
    <w:r w:rsidRPr="00644AA3">
      <w:rPr>
        <w:b/>
        <w:bCs/>
        <w:noProof/>
        <w:color w:val="C00000"/>
      </w:rPr>
      <w:t>1</w:t>
    </w:r>
    <w:r w:rsidRPr="00644AA3">
      <w:rPr>
        <w:b/>
        <w:bCs/>
        <w:noProof/>
        <w:color w:val="C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64132" w14:textId="77777777" w:rsidR="003B57F4" w:rsidRDefault="003B57F4" w:rsidP="005F6BEC">
      <w:pPr>
        <w:spacing w:after="0" w:line="240" w:lineRule="auto"/>
      </w:pPr>
      <w:r>
        <w:separator/>
      </w:r>
    </w:p>
  </w:footnote>
  <w:footnote w:type="continuationSeparator" w:id="0">
    <w:p w14:paraId="76201946" w14:textId="77777777" w:rsidR="003B57F4" w:rsidRDefault="003B57F4" w:rsidP="005F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ED100E" w14:paraId="54270D3B" w14:textId="77777777" w:rsidTr="008E4CDE">
      <w:tc>
        <w:tcPr>
          <w:tcW w:w="5395" w:type="dxa"/>
        </w:tcPr>
        <w:p w14:paraId="0D8F0FCB" w14:textId="77777777" w:rsidR="00ED100E" w:rsidRDefault="00ED100E" w:rsidP="005F7504">
          <w:pPr>
            <w:tabs>
              <w:tab w:val="center" w:pos="5379"/>
              <w:tab w:val="left" w:pos="7676"/>
            </w:tabs>
            <w:jc w:val="center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933846B" wp14:editId="486C03F7">
                <wp:extent cx="2172955" cy="402430"/>
                <wp:effectExtent l="0" t="0" r="0" b="0"/>
                <wp:docPr id="2" name="Picture 2" descr="https://radiology.weill.cornell.edu/sites/all/themes/wcm_radiology_subtheme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adiology.weill.cornell.edu/sites/all/themes/wcm_radiology_subtheme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9130" cy="416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445D8E40" w14:textId="00B80493" w:rsidR="00ED100E" w:rsidRPr="00D01509" w:rsidRDefault="0097321A" w:rsidP="005F7504">
          <w:pPr>
            <w:jc w:val="center"/>
            <w:rPr>
              <w:b/>
              <w:bCs/>
              <w:sz w:val="28"/>
              <w:szCs w:val="28"/>
            </w:rPr>
          </w:pPr>
          <w:r w:rsidRPr="0097321A">
            <w:rPr>
              <w:b/>
              <w:bCs/>
              <w:color w:val="C00000"/>
              <w:sz w:val="24"/>
              <w:szCs w:val="24"/>
            </w:rPr>
            <w:t>Pulmonary Embolism</w:t>
          </w:r>
          <w:r w:rsidR="00ED100E" w:rsidRPr="0097321A">
            <w:rPr>
              <w:b/>
              <w:bCs/>
              <w:color w:val="C00000"/>
              <w:sz w:val="24"/>
              <w:szCs w:val="24"/>
            </w:rPr>
            <w:t xml:space="preserve"> Appropriate Use Criteria</w:t>
          </w:r>
          <w:r w:rsidR="00ED100E" w:rsidRPr="0097321A">
            <w:rPr>
              <w:color w:val="C00000"/>
              <w:sz w:val="20"/>
              <w:szCs w:val="20"/>
              <w:vertAlign w:val="superscript"/>
            </w:rPr>
            <w:t>©</w:t>
          </w:r>
        </w:p>
      </w:tc>
    </w:tr>
  </w:tbl>
  <w:p w14:paraId="7F2710A1" w14:textId="4555D5AC" w:rsidR="00ED100E" w:rsidRPr="00B74247" w:rsidRDefault="00ED100E" w:rsidP="00F126E5">
    <w:pPr>
      <w:tabs>
        <w:tab w:val="center" w:pos="5379"/>
        <w:tab w:val="left" w:pos="7676"/>
      </w:tabs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72"/>
    <w:rsid w:val="000642B3"/>
    <w:rsid w:val="000669B1"/>
    <w:rsid w:val="00070FE0"/>
    <w:rsid w:val="000711C7"/>
    <w:rsid w:val="00094118"/>
    <w:rsid w:val="000B5B09"/>
    <w:rsid w:val="001156CC"/>
    <w:rsid w:val="00131A62"/>
    <w:rsid w:val="001E1709"/>
    <w:rsid w:val="001F00F2"/>
    <w:rsid w:val="001F042C"/>
    <w:rsid w:val="00206CAB"/>
    <w:rsid w:val="00225126"/>
    <w:rsid w:val="002631E6"/>
    <w:rsid w:val="00287292"/>
    <w:rsid w:val="002B4EFD"/>
    <w:rsid w:val="003B57F4"/>
    <w:rsid w:val="003C47A9"/>
    <w:rsid w:val="00416E53"/>
    <w:rsid w:val="004A20AB"/>
    <w:rsid w:val="004C093E"/>
    <w:rsid w:val="004D4CC5"/>
    <w:rsid w:val="004E3119"/>
    <w:rsid w:val="00530872"/>
    <w:rsid w:val="00532706"/>
    <w:rsid w:val="00533CAD"/>
    <w:rsid w:val="00534855"/>
    <w:rsid w:val="005405D4"/>
    <w:rsid w:val="00540A1A"/>
    <w:rsid w:val="00554B4B"/>
    <w:rsid w:val="005567C3"/>
    <w:rsid w:val="005A5713"/>
    <w:rsid w:val="005C2EEF"/>
    <w:rsid w:val="005C3343"/>
    <w:rsid w:val="005F6BEC"/>
    <w:rsid w:val="005F7504"/>
    <w:rsid w:val="00616BF6"/>
    <w:rsid w:val="00624A86"/>
    <w:rsid w:val="00632334"/>
    <w:rsid w:val="00644AA3"/>
    <w:rsid w:val="00677896"/>
    <w:rsid w:val="00690A65"/>
    <w:rsid w:val="00707AE9"/>
    <w:rsid w:val="00794562"/>
    <w:rsid w:val="007C28CE"/>
    <w:rsid w:val="0084251A"/>
    <w:rsid w:val="00850A26"/>
    <w:rsid w:val="008574A6"/>
    <w:rsid w:val="008C3DC5"/>
    <w:rsid w:val="008E4CDE"/>
    <w:rsid w:val="008F48CE"/>
    <w:rsid w:val="00907184"/>
    <w:rsid w:val="009641B9"/>
    <w:rsid w:val="0097321A"/>
    <w:rsid w:val="0097343B"/>
    <w:rsid w:val="00973B6A"/>
    <w:rsid w:val="00980429"/>
    <w:rsid w:val="009C5835"/>
    <w:rsid w:val="00A40020"/>
    <w:rsid w:val="00A642EA"/>
    <w:rsid w:val="00A66306"/>
    <w:rsid w:val="00AB33ED"/>
    <w:rsid w:val="00AC5AB7"/>
    <w:rsid w:val="00AD194F"/>
    <w:rsid w:val="00B07DC8"/>
    <w:rsid w:val="00B119F3"/>
    <w:rsid w:val="00B62F0E"/>
    <w:rsid w:val="00B74247"/>
    <w:rsid w:val="00B74EF4"/>
    <w:rsid w:val="00B80F67"/>
    <w:rsid w:val="00B833B3"/>
    <w:rsid w:val="00BC2943"/>
    <w:rsid w:val="00C44B9E"/>
    <w:rsid w:val="00C64691"/>
    <w:rsid w:val="00C70C12"/>
    <w:rsid w:val="00CB17F5"/>
    <w:rsid w:val="00CF328F"/>
    <w:rsid w:val="00D01509"/>
    <w:rsid w:val="00D556FA"/>
    <w:rsid w:val="00D6167A"/>
    <w:rsid w:val="00D92FAD"/>
    <w:rsid w:val="00D93ADE"/>
    <w:rsid w:val="00D967F7"/>
    <w:rsid w:val="00DC471E"/>
    <w:rsid w:val="00E42DA8"/>
    <w:rsid w:val="00E9530D"/>
    <w:rsid w:val="00EC6522"/>
    <w:rsid w:val="00ED100E"/>
    <w:rsid w:val="00ED2A53"/>
    <w:rsid w:val="00ED3D5B"/>
    <w:rsid w:val="00EF355F"/>
    <w:rsid w:val="00F030A1"/>
    <w:rsid w:val="00F05F6A"/>
    <w:rsid w:val="00F126E5"/>
    <w:rsid w:val="00F77D12"/>
    <w:rsid w:val="00F86D55"/>
    <w:rsid w:val="00F957AD"/>
    <w:rsid w:val="00FC36F9"/>
    <w:rsid w:val="00FF45A5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D2C9"/>
  <w15:chartTrackingRefBased/>
  <w15:docId w15:val="{A1176019-5356-4AB1-B0A6-C57532F3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EC"/>
  </w:style>
  <w:style w:type="paragraph" w:styleId="Footer">
    <w:name w:val="footer"/>
    <w:basedOn w:val="Normal"/>
    <w:link w:val="Foot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EC"/>
  </w:style>
  <w:style w:type="character" w:styleId="Hyperlink">
    <w:name w:val="Hyperlink"/>
    <w:basedOn w:val="DefaultParagraphFont"/>
    <w:uiPriority w:val="99"/>
    <w:unhideWhenUsed/>
    <w:rsid w:val="00BC2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107441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155207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228218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C2BB-67A1-47F7-BDFA-B5584A456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Jessen</dc:creator>
  <cp:keywords/>
  <dc:description/>
  <cp:lastModifiedBy>Thomas Jessen</cp:lastModifiedBy>
  <cp:revision>4</cp:revision>
  <cp:lastPrinted>2019-08-06T23:09:00Z</cp:lastPrinted>
  <dcterms:created xsi:type="dcterms:W3CDTF">2019-09-15T21:34:00Z</dcterms:created>
  <dcterms:modified xsi:type="dcterms:W3CDTF">2019-09-17T17:47:00Z</dcterms:modified>
</cp:coreProperties>
</file>