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CED6D" w14:textId="4EFB2054" w:rsidR="005A6C61" w:rsidRDefault="00D769FE" w:rsidP="00D769FE">
      <w:pPr>
        <w:rPr>
          <w:rFonts w:ascii="Times New Roman" w:hAnsi="Times New Roman" w:cs="Times New Roman"/>
        </w:rPr>
      </w:pPr>
      <w:r>
        <w:rPr>
          <w:rFonts w:ascii="Times New Roman" w:hAnsi="Times New Roman" w:cs="Times New Roman"/>
        </w:rPr>
        <w:t>Jinseo Lee</w:t>
      </w:r>
    </w:p>
    <w:p w14:paraId="01FB504D" w14:textId="24D45FA5" w:rsidR="00D769FE" w:rsidRDefault="00D769FE" w:rsidP="00D769FE">
      <w:pPr>
        <w:rPr>
          <w:rFonts w:ascii="Times New Roman" w:hAnsi="Times New Roman" w:cs="Times New Roman"/>
        </w:rPr>
      </w:pPr>
      <w:r>
        <w:rPr>
          <w:rFonts w:ascii="Times New Roman" w:hAnsi="Times New Roman" w:cs="Times New Roman"/>
        </w:rPr>
        <w:t>CS</w:t>
      </w:r>
      <w:r w:rsidR="001D55A9">
        <w:rPr>
          <w:rFonts w:ascii="Times New Roman" w:hAnsi="Times New Roman" w:cs="Times New Roman"/>
        </w:rPr>
        <w:t xml:space="preserve"> </w:t>
      </w:r>
      <w:r>
        <w:rPr>
          <w:rFonts w:ascii="Times New Roman" w:hAnsi="Times New Roman" w:cs="Times New Roman"/>
        </w:rPr>
        <w:t>3001</w:t>
      </w:r>
    </w:p>
    <w:p w14:paraId="22FD7F78" w14:textId="2A96A6FD" w:rsidR="00D769FE" w:rsidRDefault="00D769FE" w:rsidP="00D769FE">
      <w:pPr>
        <w:rPr>
          <w:rFonts w:ascii="Times New Roman" w:hAnsi="Times New Roman" w:cs="Times New Roman"/>
        </w:rPr>
      </w:pPr>
      <w:r>
        <w:rPr>
          <w:rFonts w:ascii="Times New Roman" w:hAnsi="Times New Roman" w:cs="Times New Roman"/>
        </w:rPr>
        <w:t>2</w:t>
      </w:r>
      <w:r w:rsidR="0063239B">
        <w:rPr>
          <w:rFonts w:ascii="Times New Roman" w:hAnsi="Times New Roman" w:cs="Times New Roman"/>
        </w:rPr>
        <w:t>8</w:t>
      </w:r>
      <w:r>
        <w:rPr>
          <w:rFonts w:ascii="Times New Roman" w:hAnsi="Times New Roman" w:cs="Times New Roman"/>
        </w:rPr>
        <w:t xml:space="preserve"> January 2026</w:t>
      </w:r>
    </w:p>
    <w:p w14:paraId="7AE76C89" w14:textId="1C9E25BC" w:rsidR="00D769FE" w:rsidRDefault="00D769FE" w:rsidP="00D769FE">
      <w:pPr>
        <w:jc w:val="center"/>
        <w:rPr>
          <w:rFonts w:ascii="Times New Roman" w:hAnsi="Times New Roman" w:cs="Times New Roman"/>
        </w:rPr>
      </w:pPr>
      <w:r>
        <w:rPr>
          <w:rFonts w:ascii="Times New Roman" w:hAnsi="Times New Roman" w:cs="Times New Roman"/>
        </w:rPr>
        <w:t>The Boeing 737 Crashes and System Safety Failures</w:t>
      </w:r>
    </w:p>
    <w:p w14:paraId="59CCC150" w14:textId="77777777" w:rsidR="008320AE" w:rsidRDefault="00D769FE" w:rsidP="008320AE">
      <w:pPr>
        <w:rPr>
          <w:rFonts w:ascii="Times New Roman" w:hAnsi="Times New Roman" w:cs="Times New Roman"/>
        </w:rPr>
      </w:pPr>
      <w:r>
        <w:rPr>
          <w:rFonts w:ascii="Times New Roman" w:hAnsi="Times New Roman" w:cs="Times New Roman"/>
        </w:rPr>
        <w:tab/>
      </w:r>
      <w:r w:rsidR="008320AE">
        <w:rPr>
          <w:rFonts w:ascii="Times New Roman" w:hAnsi="Times New Roman" w:cs="Times New Roman"/>
        </w:rPr>
        <w:t xml:space="preserve">The plane crash incidents were one of the most feared accidents that could happen to human being as there is a very slight chance that one could survive amid the accident for them mostly present few thousands of miles above the ground level. However, the planes are in fact the safest mode of human transportation statistically, considering the safety record, engineering reliability, or the procedures, compared to others such as the car or the train. </w:t>
      </w:r>
    </w:p>
    <w:p w14:paraId="3284DB42" w14:textId="5742BABE" w:rsidR="00D769FE" w:rsidRDefault="00D769FE" w:rsidP="008320AE">
      <w:pPr>
        <w:ind w:firstLine="720"/>
        <w:rPr>
          <w:rFonts w:ascii="Times New Roman" w:hAnsi="Times New Roman" w:cs="Times New Roman"/>
        </w:rPr>
      </w:pPr>
      <w:r>
        <w:rPr>
          <w:rFonts w:ascii="Times New Roman" w:hAnsi="Times New Roman" w:cs="Times New Roman"/>
        </w:rPr>
        <w:t xml:space="preserve">In October 2018, all passengers and the cabin crew on </w:t>
      </w:r>
      <w:r w:rsidRPr="00D769FE">
        <w:rPr>
          <w:rFonts w:ascii="Times New Roman" w:hAnsi="Times New Roman" w:cs="Times New Roman"/>
        </w:rPr>
        <w:t>Lion Air flight JT610</w:t>
      </w:r>
      <w:r>
        <w:rPr>
          <w:rFonts w:ascii="Times New Roman" w:hAnsi="Times New Roman" w:cs="Times New Roman"/>
        </w:rPr>
        <w:t xml:space="preserve"> were found deceased due to its crash to the Java Sea. Approximately five months after, in March 2019, </w:t>
      </w:r>
      <w:r w:rsidRPr="00D769FE">
        <w:rPr>
          <w:rFonts w:ascii="Times New Roman" w:hAnsi="Times New Roman" w:cs="Times New Roman"/>
        </w:rPr>
        <w:t>Flight ET302</w:t>
      </w:r>
      <w:r>
        <w:rPr>
          <w:rFonts w:ascii="Times New Roman" w:hAnsi="Times New Roman" w:cs="Times New Roman"/>
        </w:rPr>
        <w:t xml:space="preserve"> lost its connection with the control tower and was found crashed in the </w:t>
      </w:r>
      <w:r w:rsidRPr="00D769FE">
        <w:rPr>
          <w:rFonts w:ascii="Times New Roman" w:hAnsi="Times New Roman" w:cs="Times New Roman"/>
        </w:rPr>
        <w:t>Ethiopian countryside</w:t>
      </w:r>
      <w:r>
        <w:rPr>
          <w:rFonts w:ascii="Times New Roman" w:hAnsi="Times New Roman" w:cs="Times New Roman"/>
        </w:rPr>
        <w:t xml:space="preserve">, ten seconds after its </w:t>
      </w:r>
      <w:r w:rsidR="008320AE">
        <w:rPr>
          <w:rFonts w:ascii="Times New Roman" w:hAnsi="Times New Roman" w:cs="Times New Roman"/>
        </w:rPr>
        <w:t xml:space="preserve">take-off. </w:t>
      </w:r>
      <w:r w:rsidR="008320AE" w:rsidRPr="008320AE">
        <w:rPr>
          <w:rFonts w:ascii="Times New Roman" w:hAnsi="Times New Roman" w:cs="Times New Roman"/>
        </w:rPr>
        <w:t>Investigations later showed that a flight control software feature played a central role in both accidents</w:t>
      </w:r>
      <w:r w:rsidR="0063239B">
        <w:rPr>
          <w:rFonts w:ascii="Times New Roman" w:hAnsi="Times New Roman" w:cs="Times New Roman" w:hint="eastAsia"/>
        </w:rPr>
        <w:t>,</w:t>
      </w:r>
      <w:r w:rsidR="0063239B">
        <w:rPr>
          <w:rFonts w:ascii="Times New Roman" w:hAnsi="Times New Roman" w:cs="Times New Roman"/>
        </w:rPr>
        <w:t xml:space="preserve"> and the key similarity found between these two incidents is that they were both the same plane model, the Boeing 737 MAX 8.</w:t>
      </w:r>
      <w:r w:rsidR="008320AE" w:rsidRPr="008320AE">
        <w:rPr>
          <w:rFonts w:ascii="Times New Roman" w:hAnsi="Times New Roman" w:cs="Times New Roman"/>
        </w:rPr>
        <w:t xml:space="preserve"> While the immediate cause involved a software error, deeper analysis shows that the crashes resulted from a set of system-level failures that closely resemble the types of problems described </w:t>
      </w:r>
      <w:r w:rsidR="0063239B">
        <w:rPr>
          <w:rFonts w:ascii="Times New Roman" w:hAnsi="Times New Roman" w:cs="Times New Roman"/>
        </w:rPr>
        <w:t>by</w:t>
      </w:r>
      <w:r w:rsidR="008320AE" w:rsidRPr="008320AE">
        <w:rPr>
          <w:rFonts w:ascii="Times New Roman" w:hAnsi="Times New Roman" w:cs="Times New Roman"/>
        </w:rPr>
        <w:t xml:space="preserve"> Nancy Leveson in her article on the Therac-25 medical device accidents.</w:t>
      </w:r>
    </w:p>
    <w:p w14:paraId="557BA870" w14:textId="51042780" w:rsidR="0063239B" w:rsidRDefault="0063239B" w:rsidP="00366900">
      <w:pPr>
        <w:ind w:firstLine="720"/>
        <w:rPr>
          <w:rFonts w:ascii="Times New Roman" w:hAnsi="Times New Roman" w:cs="Times New Roman"/>
        </w:rPr>
      </w:pPr>
      <w:r>
        <w:rPr>
          <w:rFonts w:ascii="Times New Roman" w:hAnsi="Times New Roman" w:cs="Times New Roman"/>
        </w:rPr>
        <w:t xml:space="preserve">The technical cause of the crashes was tied directly to the MCAS, Maneuvering Characteristics Augmentation System, which was a software designed to automatically adjust the airplane’s nose when certain condition was met. </w:t>
      </w:r>
      <w:r w:rsidR="00481E8F">
        <w:rPr>
          <w:rFonts w:ascii="Times New Roman" w:hAnsi="Times New Roman" w:cs="Times New Roman"/>
        </w:rPr>
        <w:t>(Johnston</w:t>
      </w:r>
      <w:r w:rsidR="00481E8F" w:rsidRPr="00481E8F">
        <w:rPr>
          <w:rFonts w:ascii="Times New Roman" w:hAnsi="Times New Roman" w:cs="Times New Roman"/>
        </w:rPr>
        <w:t xml:space="preserve"> </w:t>
      </w:r>
      <w:r w:rsidR="00481E8F">
        <w:rPr>
          <w:rFonts w:ascii="Times New Roman" w:hAnsi="Times New Roman" w:cs="Times New Roman"/>
        </w:rPr>
        <w:t>&amp;</w:t>
      </w:r>
      <w:r w:rsidR="00481E8F" w:rsidRPr="00481E8F">
        <w:rPr>
          <w:rFonts w:ascii="Times New Roman" w:hAnsi="Times New Roman" w:cs="Times New Roman"/>
        </w:rPr>
        <w:t xml:space="preserve"> </w:t>
      </w:r>
      <w:r w:rsidR="00481E8F">
        <w:rPr>
          <w:rFonts w:ascii="Times New Roman" w:hAnsi="Times New Roman" w:cs="Times New Roman"/>
        </w:rPr>
        <w:t xml:space="preserve">Harris, 2019, p5) </w:t>
      </w:r>
      <w:r>
        <w:rPr>
          <w:rFonts w:ascii="Times New Roman" w:hAnsi="Times New Roman" w:cs="Times New Roman"/>
        </w:rPr>
        <w:t>However, the sensor at its nose oftentimes malfunction</w:t>
      </w:r>
      <w:r w:rsidR="00366900">
        <w:rPr>
          <w:rFonts w:ascii="Times New Roman" w:hAnsi="Times New Roman" w:cs="Times New Roman"/>
        </w:rPr>
        <w:t xml:space="preserve">ed, triggering MCAS to be activated repeatedly and eventually taking the control out of the pilots from both airplanes. </w:t>
      </w:r>
      <w:r w:rsidR="00366900" w:rsidRPr="00366900">
        <w:rPr>
          <w:rFonts w:ascii="Times New Roman" w:hAnsi="Times New Roman" w:cs="Times New Roman"/>
        </w:rPr>
        <w:t xml:space="preserve">While this software behavior </w:t>
      </w:r>
      <w:r w:rsidR="00366900" w:rsidRPr="00366900">
        <w:rPr>
          <w:rFonts w:ascii="Times New Roman" w:hAnsi="Times New Roman" w:cs="Times New Roman"/>
        </w:rPr>
        <w:lastRenderedPageBreak/>
        <w:t>triggered the accidents, investigations showed that the failures extended far beyond a simple bug</w:t>
      </w:r>
      <w:r w:rsidR="00366900">
        <w:rPr>
          <w:rFonts w:ascii="Times New Roman" w:hAnsi="Times New Roman" w:cs="Times New Roman"/>
        </w:rPr>
        <w:t xml:space="preserve">; </w:t>
      </w:r>
      <w:r w:rsidR="00366900" w:rsidRPr="00366900">
        <w:rPr>
          <w:rFonts w:ascii="Times New Roman" w:hAnsi="Times New Roman" w:cs="Times New Roman"/>
        </w:rPr>
        <w:t>Design decisions, testing practices, pilot training choices, and organizational pressures all played critical roles.</w:t>
      </w:r>
    </w:p>
    <w:p w14:paraId="5EF967AA" w14:textId="07751DD3" w:rsidR="00366900" w:rsidRDefault="00366900" w:rsidP="00366900">
      <w:pPr>
        <w:ind w:firstLine="720"/>
        <w:rPr>
          <w:rFonts w:ascii="Times New Roman" w:hAnsi="Times New Roman" w:cs="Times New Roman"/>
        </w:rPr>
      </w:pPr>
      <w:r>
        <w:rPr>
          <w:rFonts w:ascii="Times New Roman" w:hAnsi="Times New Roman" w:cs="Times New Roman"/>
        </w:rPr>
        <w:t xml:space="preserve">One casual factor from </w:t>
      </w:r>
      <w:r w:rsidRPr="00366900">
        <w:rPr>
          <w:rFonts w:ascii="Times New Roman" w:hAnsi="Times New Roman" w:cs="Times New Roman"/>
        </w:rPr>
        <w:t>Nancy Leveson's article "Medical Devices: The Therac-25"</w:t>
      </w:r>
      <w:r>
        <w:rPr>
          <w:rFonts w:ascii="Times New Roman" w:hAnsi="Times New Roman" w:cs="Times New Roman"/>
        </w:rPr>
        <w:t xml:space="preserve"> that is </w:t>
      </w:r>
      <w:r w:rsidRPr="00366900">
        <w:rPr>
          <w:rFonts w:ascii="Times New Roman" w:hAnsi="Times New Roman" w:cs="Times New Roman"/>
        </w:rPr>
        <w:t>relevant to the Boeing accidents</w:t>
      </w:r>
      <w:r>
        <w:rPr>
          <w:rFonts w:ascii="Times New Roman" w:hAnsi="Times New Roman" w:cs="Times New Roman"/>
        </w:rPr>
        <w:t xml:space="preserve"> is </w:t>
      </w:r>
      <w:r w:rsidR="00481E8F">
        <w:rPr>
          <w:rFonts w:ascii="Times New Roman" w:hAnsi="Times New Roman" w:cs="Times New Roman"/>
        </w:rPr>
        <w:t>‘Inadequate Software Engineering Practices ‘</w:t>
      </w:r>
      <w:r>
        <w:rPr>
          <w:rFonts w:ascii="Times New Roman" w:hAnsi="Times New Roman" w:cs="Times New Roman"/>
        </w:rPr>
        <w:t xml:space="preserve">. </w:t>
      </w:r>
      <w:r w:rsidRPr="00366900">
        <w:rPr>
          <w:rFonts w:ascii="Times New Roman" w:hAnsi="Times New Roman" w:cs="Times New Roman"/>
        </w:rPr>
        <w:t xml:space="preserve">In </w:t>
      </w:r>
      <w:r>
        <w:rPr>
          <w:rFonts w:ascii="Times New Roman" w:hAnsi="Times New Roman" w:cs="Times New Roman"/>
        </w:rPr>
        <w:t>its case</w:t>
      </w:r>
      <w:r w:rsidRPr="00366900">
        <w:rPr>
          <w:rFonts w:ascii="Times New Roman" w:hAnsi="Times New Roman" w:cs="Times New Roman"/>
        </w:rPr>
        <w:t xml:space="preserve">, </w:t>
      </w:r>
      <w:r>
        <w:rPr>
          <w:rFonts w:ascii="Times New Roman" w:hAnsi="Times New Roman" w:cs="Times New Roman"/>
        </w:rPr>
        <w:t>engineers</w:t>
      </w:r>
      <w:r w:rsidRPr="00366900">
        <w:rPr>
          <w:rFonts w:ascii="Times New Roman" w:hAnsi="Times New Roman" w:cs="Times New Roman"/>
        </w:rPr>
        <w:t xml:space="preserve"> assumed that software could replace hardware safety mechanisms without introducing new risks.</w:t>
      </w:r>
      <w:r>
        <w:rPr>
          <w:rFonts w:ascii="Times New Roman" w:hAnsi="Times New Roman" w:cs="Times New Roman"/>
        </w:rPr>
        <w:t xml:space="preserve"> </w:t>
      </w:r>
      <w:r w:rsidRPr="00366900">
        <w:rPr>
          <w:rFonts w:ascii="Times New Roman" w:hAnsi="Times New Roman" w:cs="Times New Roman"/>
        </w:rPr>
        <w:t>A similar issue occurred with the 737 MAX. Boeing treated MCAS as a small feature rather than as a safety-critical control system.</w:t>
      </w:r>
      <w:r w:rsidR="00391590" w:rsidRPr="00391590">
        <w:t xml:space="preserve"> </w:t>
      </w:r>
      <w:r w:rsidR="00391590" w:rsidRPr="00391590">
        <w:rPr>
          <w:rFonts w:ascii="Times New Roman" w:hAnsi="Times New Roman" w:cs="Times New Roman"/>
        </w:rPr>
        <w:t xml:space="preserve">The key similarity between the two cases is the failure to view safety holistically. In both situations, engineers focused on </w:t>
      </w:r>
      <w:r w:rsidR="00391590">
        <w:rPr>
          <w:rFonts w:ascii="Times New Roman" w:hAnsi="Times New Roman" w:cs="Times New Roman"/>
        </w:rPr>
        <w:t xml:space="preserve">whether the </w:t>
      </w:r>
      <w:r w:rsidR="00391590" w:rsidRPr="00391590">
        <w:rPr>
          <w:rFonts w:ascii="Times New Roman" w:hAnsi="Times New Roman" w:cs="Times New Roman"/>
        </w:rPr>
        <w:t>individual components work as intended rather than on how those components could interact in dangerous ways.</w:t>
      </w:r>
      <w:r w:rsidR="00391590">
        <w:rPr>
          <w:rFonts w:ascii="Times New Roman" w:hAnsi="Times New Roman" w:cs="Times New Roman"/>
        </w:rPr>
        <w:t xml:space="preserve"> </w:t>
      </w:r>
      <w:r w:rsidR="00391590" w:rsidRPr="00391590">
        <w:rPr>
          <w:rFonts w:ascii="Times New Roman" w:hAnsi="Times New Roman" w:cs="Times New Roman"/>
        </w:rPr>
        <w:t>A difference, however, lies in the regulatory environment. Aviation systems are subject to far more external oversight than medical devices were during the Therac-25 era. Despite this, the system-level thinking Leveson advocates was still not fully applied.</w:t>
      </w:r>
    </w:p>
    <w:p w14:paraId="7881FD17" w14:textId="54F29D4E" w:rsidR="00481E8F" w:rsidRDefault="00481E8F" w:rsidP="00481E8F">
      <w:pPr>
        <w:rPr>
          <w:rFonts w:ascii="Times New Roman" w:hAnsi="Times New Roman" w:cs="Times New Roman"/>
        </w:rPr>
      </w:pPr>
      <w:r>
        <w:rPr>
          <w:rFonts w:ascii="Times New Roman" w:hAnsi="Times New Roman" w:cs="Times New Roman"/>
        </w:rPr>
        <w:tab/>
        <w:t>Another noticeable factor that is found in both incidents is ‘Overconfidence in Software’. Therac-25 case involves the lack of ske</w:t>
      </w:r>
      <w:r w:rsidR="001D55A9">
        <w:rPr>
          <w:rFonts w:ascii="Times New Roman" w:hAnsi="Times New Roman" w:cs="Times New Roman"/>
        </w:rPr>
        <w:t xml:space="preserve">pticism of the engineers who assumed that the software would behave in a predictable manner and relied on its automated behavior. Similarly, Boeing heavily relied on MCAS and merely expected the aircraft to behave within the optimistic range they have predicted while testing. According to </w:t>
      </w:r>
      <w:r w:rsidR="001D55A9" w:rsidRPr="001D55A9">
        <w:rPr>
          <w:rFonts w:ascii="Times New Roman" w:hAnsi="Times New Roman" w:cs="Times New Roman"/>
        </w:rPr>
        <w:t>Hall and Goelz</w:t>
      </w:r>
      <w:r w:rsidR="001D55A9">
        <w:rPr>
          <w:rFonts w:ascii="Times New Roman" w:hAnsi="Times New Roman" w:cs="Times New Roman"/>
        </w:rPr>
        <w:t xml:space="preserve"> (2019), t</w:t>
      </w:r>
      <w:r w:rsidR="001D55A9" w:rsidRPr="001D55A9">
        <w:rPr>
          <w:rFonts w:ascii="Times New Roman" w:hAnsi="Times New Roman" w:cs="Times New Roman"/>
        </w:rPr>
        <w:t>his confidence reduced the perceived need for redundancy and clear pilot awareness. The similarity between the two cases is the belief that software would not fail in dangerous ways. The difference is that in aviation, pilots are expected to actively manage failures, while Therac-25 operators had far less ability to intervene. Despite this difference, excessive trust in software played a central role in both accidents</w:t>
      </w:r>
      <w:r w:rsidR="001D55A9">
        <w:rPr>
          <w:rFonts w:ascii="Times New Roman" w:hAnsi="Times New Roman" w:cs="Times New Roman"/>
        </w:rPr>
        <w:t>.</w:t>
      </w:r>
    </w:p>
    <w:p w14:paraId="0A981A42" w14:textId="0E244B7B" w:rsidR="001D55A9" w:rsidRDefault="001D55A9" w:rsidP="00481E8F">
      <w:pPr>
        <w:rPr>
          <w:rFonts w:ascii="Times New Roman" w:hAnsi="Times New Roman" w:cs="Times New Roman"/>
        </w:rPr>
      </w:pPr>
      <w:r>
        <w:rPr>
          <w:rFonts w:ascii="Times New Roman" w:hAnsi="Times New Roman" w:cs="Times New Roman"/>
        </w:rPr>
        <w:lastRenderedPageBreak/>
        <w:tab/>
        <w:t xml:space="preserve">Third and last casual cause of the Therac-25 case and Boeing incidents is ‘Lack of Defensive Design’. According to Herkert (2020), Boeing chose to modify one of their existing aircraft </w:t>
      </w:r>
      <w:r w:rsidR="00331441">
        <w:rPr>
          <w:rFonts w:ascii="Times New Roman" w:hAnsi="Times New Roman" w:cs="Times New Roman"/>
        </w:rPr>
        <w:t>models</w:t>
      </w:r>
      <w:r>
        <w:rPr>
          <w:rFonts w:ascii="Times New Roman" w:hAnsi="Times New Roman" w:cs="Times New Roman"/>
        </w:rPr>
        <w:t xml:space="preserve">, the 737 family, </w:t>
      </w:r>
      <w:r w:rsidR="00331441">
        <w:rPr>
          <w:rFonts w:ascii="Times New Roman" w:hAnsi="Times New Roman" w:cs="Times New Roman"/>
        </w:rPr>
        <w:t xml:space="preserve">which had a serious design problem that brought MCAS onto the table, </w:t>
      </w:r>
      <w:r>
        <w:rPr>
          <w:rFonts w:ascii="Times New Roman" w:hAnsi="Times New Roman" w:cs="Times New Roman"/>
        </w:rPr>
        <w:t xml:space="preserve">rather than designing a new one. </w:t>
      </w:r>
      <w:r w:rsidR="00331441">
        <w:rPr>
          <w:rFonts w:ascii="Times New Roman" w:hAnsi="Times New Roman" w:cs="Times New Roman"/>
        </w:rPr>
        <w:t>I</w:t>
      </w:r>
      <w:r w:rsidR="00331441" w:rsidRPr="00331441">
        <w:rPr>
          <w:rFonts w:ascii="Times New Roman" w:hAnsi="Times New Roman" w:cs="Times New Roman"/>
        </w:rPr>
        <w:t>n the Therac-25 system, the software lacked internal checks to detect and block unsafe conditions, allowing a single failure to cause severe harm.</w:t>
      </w:r>
      <w:r w:rsidR="00331441">
        <w:rPr>
          <w:rFonts w:ascii="Times New Roman" w:hAnsi="Times New Roman" w:cs="Times New Roman"/>
        </w:rPr>
        <w:t xml:space="preserve"> </w:t>
      </w:r>
      <w:r w:rsidR="00331441" w:rsidRPr="00331441">
        <w:rPr>
          <w:rFonts w:ascii="Times New Roman" w:hAnsi="Times New Roman" w:cs="Times New Roman"/>
        </w:rPr>
        <w:t>The key similarity is that both systems allowed single failures to escalate without strong safeguards. The difference is that aircraft systems operate in fast-changing environments, which makes defensive design even more important. In both cases, stronger fault detection and containment could have reduced the consequences of software failure</w:t>
      </w:r>
      <w:r w:rsidR="00331441">
        <w:rPr>
          <w:rFonts w:ascii="Times New Roman" w:hAnsi="Times New Roman" w:cs="Times New Roman"/>
        </w:rPr>
        <w:t xml:space="preserve">. </w:t>
      </w:r>
    </w:p>
    <w:p w14:paraId="30EE81F7" w14:textId="4600DB1B" w:rsidR="00331441" w:rsidRDefault="00331441" w:rsidP="00481E8F">
      <w:pPr>
        <w:rPr>
          <w:rFonts w:ascii="Times New Roman" w:hAnsi="Times New Roman" w:cs="Times New Roman"/>
        </w:rPr>
      </w:pPr>
      <w:r>
        <w:rPr>
          <w:rFonts w:ascii="Times New Roman" w:hAnsi="Times New Roman" w:cs="Times New Roman"/>
        </w:rPr>
        <w:tab/>
        <w:t xml:space="preserve">Even though the Boeing 737 MAX incidents were deeply rooted from the specific software, MCAS, it resembled and aligned closely with the system failures as described by Nancy Leveson in her report about Therac-25 case. Inadequate software engineering practices, overconfidence in software, and the lack of defensive design all have contributed to the fatal incidents to all the tragedies mentioned above. </w:t>
      </w:r>
      <w:r w:rsidRPr="00331441">
        <w:rPr>
          <w:rFonts w:ascii="Times New Roman" w:hAnsi="Times New Roman" w:cs="Times New Roman"/>
        </w:rPr>
        <w:t>These factors show that complex systems fail not only because of technical errors, but because of flawed assumptions about how humans, software, organizations, and safety interact.</w:t>
      </w:r>
    </w:p>
    <w:p w14:paraId="29E277F2" w14:textId="77777777" w:rsidR="00331441" w:rsidRDefault="00331441">
      <w:pPr>
        <w:rPr>
          <w:rFonts w:ascii="Times New Roman" w:hAnsi="Times New Roman" w:cs="Times New Roman"/>
        </w:rPr>
      </w:pPr>
      <w:r>
        <w:rPr>
          <w:rFonts w:ascii="Times New Roman" w:hAnsi="Times New Roman" w:cs="Times New Roman"/>
        </w:rPr>
        <w:br w:type="page"/>
      </w:r>
    </w:p>
    <w:p w14:paraId="7D4716DD" w14:textId="3F4AFFC4" w:rsidR="00331441" w:rsidRDefault="00331441" w:rsidP="00331441">
      <w:pPr>
        <w:pStyle w:val="NormalWeb"/>
        <w:spacing w:before="0" w:beforeAutospacing="0" w:after="0" w:afterAutospacing="0" w:line="480" w:lineRule="atLeast"/>
        <w:ind w:left="720" w:hanging="720"/>
        <w:jc w:val="center"/>
        <w:rPr>
          <w:color w:val="000000"/>
        </w:rPr>
      </w:pPr>
      <w:r w:rsidRPr="00331441">
        <w:rPr>
          <w:color w:val="000000"/>
        </w:rPr>
        <w:lastRenderedPageBreak/>
        <w:t>Reference:</w:t>
      </w:r>
    </w:p>
    <w:p w14:paraId="7A89E15B" w14:textId="104F1B18" w:rsidR="00331441" w:rsidRPr="00331441" w:rsidRDefault="00331441" w:rsidP="00331441">
      <w:pPr>
        <w:pStyle w:val="NormalWeb"/>
        <w:spacing w:before="0" w:beforeAutospacing="0" w:after="0" w:afterAutospacing="0" w:line="480" w:lineRule="atLeast"/>
        <w:ind w:left="720" w:hanging="720"/>
        <w:rPr>
          <w:color w:val="000000"/>
        </w:rPr>
      </w:pPr>
      <w:r w:rsidRPr="00331441">
        <w:rPr>
          <w:color w:val="000000"/>
        </w:rPr>
        <w:t>Johnston, P., &amp; Harris, R. (2019). </w:t>
      </w:r>
      <w:r w:rsidRPr="00331441">
        <w:rPr>
          <w:i/>
          <w:iCs/>
          <w:color w:val="000000"/>
        </w:rPr>
        <w:t>The Boeing 737 MAX Saga: Lessons for Software Organizations</w:t>
      </w:r>
      <w:r w:rsidRPr="00331441">
        <w:rPr>
          <w:color w:val="000000"/>
        </w:rPr>
        <w:t>. https://embeddedartistry.com/wp-content/uploads/2019/09/the-boeing-737-max-saga-lessons-for-software-organizations.pdf</w:t>
      </w:r>
    </w:p>
    <w:p w14:paraId="6371E988" w14:textId="0B025558" w:rsidR="00331441" w:rsidRPr="00331441" w:rsidRDefault="00331441" w:rsidP="00331441">
      <w:pPr>
        <w:pStyle w:val="NormalWeb"/>
        <w:spacing w:before="0" w:beforeAutospacing="0" w:after="0" w:afterAutospacing="0" w:line="480" w:lineRule="atLeast"/>
        <w:ind w:left="720" w:hanging="720"/>
        <w:rPr>
          <w:color w:val="000000"/>
        </w:rPr>
      </w:pPr>
      <w:r w:rsidRPr="00331441">
        <w:rPr>
          <w:color w:val="000000"/>
        </w:rPr>
        <w:t>Herkert, J., Borenstein, J., &amp; Miller, K. (2020). The Boeing 737 MAX: Lessons for Engineering Ethics. </w:t>
      </w:r>
      <w:r w:rsidRPr="00331441">
        <w:rPr>
          <w:i/>
          <w:iCs/>
          <w:color w:val="000000"/>
        </w:rPr>
        <w:t>Science and Engineering Ethics</w:t>
      </w:r>
      <w:r w:rsidRPr="00331441">
        <w:rPr>
          <w:color w:val="000000"/>
        </w:rPr>
        <w:t>, </w:t>
      </w:r>
      <w:r w:rsidRPr="00331441">
        <w:rPr>
          <w:i/>
          <w:iCs/>
          <w:color w:val="000000"/>
        </w:rPr>
        <w:t>26</w:t>
      </w:r>
      <w:r w:rsidRPr="00331441">
        <w:rPr>
          <w:color w:val="000000"/>
        </w:rPr>
        <w:t xml:space="preserve">(6), 2957–2974. </w:t>
      </w:r>
      <w:hyperlink r:id="rId5" w:history="1">
        <w:r w:rsidRPr="00331441">
          <w:rPr>
            <w:rStyle w:val="Hyperlink"/>
          </w:rPr>
          <w:t>https://doi.org/10.1007/s11948-020-00252-y</w:t>
        </w:r>
      </w:hyperlink>
    </w:p>
    <w:p w14:paraId="1023C83E" w14:textId="77777777" w:rsidR="00331441" w:rsidRPr="00331441" w:rsidRDefault="00331441" w:rsidP="00331441">
      <w:pPr>
        <w:pStyle w:val="NormalWeb"/>
        <w:spacing w:before="0" w:beforeAutospacing="0" w:after="0" w:afterAutospacing="0" w:line="480" w:lineRule="atLeast"/>
        <w:ind w:left="720" w:hanging="720"/>
        <w:rPr>
          <w:color w:val="000000"/>
        </w:rPr>
      </w:pPr>
      <w:r w:rsidRPr="00331441">
        <w:rPr>
          <w:color w:val="000000"/>
        </w:rPr>
        <w:t>Hall, J., &amp; Goelz, P. (2019, July 17). Opinion | The Boeing 737 Max Crisis Is a Leadership Failure. </w:t>
      </w:r>
      <w:r w:rsidRPr="00331441">
        <w:rPr>
          <w:i/>
          <w:iCs/>
          <w:color w:val="000000"/>
        </w:rPr>
        <w:t>The New York Times</w:t>
      </w:r>
      <w:r w:rsidRPr="00331441">
        <w:rPr>
          <w:color w:val="000000"/>
        </w:rPr>
        <w:t>. https://www.nytimes.com/2019/07/17/opinion/boeing-737-max.html</w:t>
      </w:r>
    </w:p>
    <w:p w14:paraId="47C59DAF" w14:textId="77777777" w:rsidR="00331441" w:rsidRDefault="00331441" w:rsidP="00331441">
      <w:pPr>
        <w:pStyle w:val="NormalWeb"/>
        <w:rPr>
          <w:rFonts w:ascii="Calibri" w:hAnsi="Calibri" w:cs="Calibri"/>
          <w:color w:val="000000"/>
          <w:sz w:val="27"/>
          <w:szCs w:val="27"/>
        </w:rPr>
      </w:pPr>
      <w:r>
        <w:rPr>
          <w:rFonts w:ascii="Calibri" w:hAnsi="Calibri" w:cs="Calibri"/>
          <w:color w:val="000000"/>
          <w:sz w:val="27"/>
          <w:szCs w:val="27"/>
        </w:rPr>
        <w:t>‌</w:t>
      </w:r>
    </w:p>
    <w:p w14:paraId="48F5B4D8" w14:textId="77777777" w:rsidR="00331441" w:rsidRDefault="00331441" w:rsidP="00331441">
      <w:pPr>
        <w:pStyle w:val="NormalWeb"/>
        <w:rPr>
          <w:rFonts w:ascii="Calibri" w:hAnsi="Calibri" w:cs="Calibri"/>
          <w:color w:val="000000"/>
          <w:sz w:val="27"/>
          <w:szCs w:val="27"/>
        </w:rPr>
      </w:pPr>
    </w:p>
    <w:p w14:paraId="73A073E8" w14:textId="0BC91E57" w:rsidR="00331441" w:rsidRDefault="00331441" w:rsidP="00331441">
      <w:pPr>
        <w:pStyle w:val="NormalWeb"/>
        <w:rPr>
          <w:rFonts w:ascii="Calibri" w:hAnsi="Calibri" w:cs="Calibri"/>
          <w:color w:val="000000"/>
          <w:sz w:val="27"/>
          <w:szCs w:val="27"/>
        </w:rPr>
      </w:pPr>
    </w:p>
    <w:p w14:paraId="2CC0C6B5" w14:textId="77777777" w:rsidR="009241D1" w:rsidRDefault="009241D1" w:rsidP="00366900">
      <w:pPr>
        <w:ind w:firstLine="720"/>
        <w:rPr>
          <w:rFonts w:ascii="Times New Roman" w:hAnsi="Times New Roman" w:cs="Times New Roman"/>
        </w:rPr>
      </w:pPr>
    </w:p>
    <w:p w14:paraId="5E998D9A" w14:textId="77777777" w:rsidR="00D769FE" w:rsidRPr="00D769FE" w:rsidRDefault="00D769FE" w:rsidP="00D769FE">
      <w:pPr>
        <w:rPr>
          <w:rFonts w:ascii="Times New Roman" w:hAnsi="Times New Roman" w:cs="Times New Roman"/>
        </w:rPr>
      </w:pPr>
    </w:p>
    <w:sectPr w:rsidR="00D769FE" w:rsidRPr="00D76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FE"/>
    <w:rsid w:val="001D55A9"/>
    <w:rsid w:val="00331441"/>
    <w:rsid w:val="00366900"/>
    <w:rsid w:val="00391590"/>
    <w:rsid w:val="00406F13"/>
    <w:rsid w:val="00481E8F"/>
    <w:rsid w:val="005A6C61"/>
    <w:rsid w:val="0063239B"/>
    <w:rsid w:val="00784E7E"/>
    <w:rsid w:val="008320AE"/>
    <w:rsid w:val="009241D1"/>
    <w:rsid w:val="00C0097F"/>
    <w:rsid w:val="00CC29A8"/>
    <w:rsid w:val="00D769FE"/>
    <w:rsid w:val="00F525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AB5E"/>
  <w15:chartTrackingRefBased/>
  <w15:docId w15:val="{9D44DF42-8D7A-5B4B-B685-30752DD2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9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9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9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9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9FE"/>
    <w:rPr>
      <w:rFonts w:eastAsiaTheme="majorEastAsia" w:cstheme="majorBidi"/>
      <w:color w:val="272727" w:themeColor="text1" w:themeTint="D8"/>
    </w:rPr>
  </w:style>
  <w:style w:type="paragraph" w:styleId="Title">
    <w:name w:val="Title"/>
    <w:basedOn w:val="Normal"/>
    <w:next w:val="Normal"/>
    <w:link w:val="TitleChar"/>
    <w:uiPriority w:val="10"/>
    <w:qFormat/>
    <w:rsid w:val="00D76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9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9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9FE"/>
    <w:rPr>
      <w:i/>
      <w:iCs/>
      <w:color w:val="404040" w:themeColor="text1" w:themeTint="BF"/>
    </w:rPr>
  </w:style>
  <w:style w:type="paragraph" w:styleId="ListParagraph">
    <w:name w:val="List Paragraph"/>
    <w:basedOn w:val="Normal"/>
    <w:uiPriority w:val="34"/>
    <w:qFormat/>
    <w:rsid w:val="00D769FE"/>
    <w:pPr>
      <w:ind w:left="720"/>
      <w:contextualSpacing/>
    </w:pPr>
  </w:style>
  <w:style w:type="character" w:styleId="IntenseEmphasis">
    <w:name w:val="Intense Emphasis"/>
    <w:basedOn w:val="DefaultParagraphFont"/>
    <w:uiPriority w:val="21"/>
    <w:qFormat/>
    <w:rsid w:val="00D769FE"/>
    <w:rPr>
      <w:i/>
      <w:iCs/>
      <w:color w:val="0F4761" w:themeColor="accent1" w:themeShade="BF"/>
    </w:rPr>
  </w:style>
  <w:style w:type="paragraph" w:styleId="IntenseQuote">
    <w:name w:val="Intense Quote"/>
    <w:basedOn w:val="Normal"/>
    <w:next w:val="Normal"/>
    <w:link w:val="IntenseQuoteChar"/>
    <w:uiPriority w:val="30"/>
    <w:qFormat/>
    <w:rsid w:val="00D76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9FE"/>
    <w:rPr>
      <w:i/>
      <w:iCs/>
      <w:color w:val="0F4761" w:themeColor="accent1" w:themeShade="BF"/>
    </w:rPr>
  </w:style>
  <w:style w:type="character" w:styleId="IntenseReference">
    <w:name w:val="Intense Reference"/>
    <w:basedOn w:val="DefaultParagraphFont"/>
    <w:uiPriority w:val="32"/>
    <w:qFormat/>
    <w:rsid w:val="00D769FE"/>
    <w:rPr>
      <w:b/>
      <w:bCs/>
      <w:smallCaps/>
      <w:color w:val="0F4761" w:themeColor="accent1" w:themeShade="BF"/>
      <w:spacing w:val="5"/>
    </w:rPr>
  </w:style>
  <w:style w:type="paragraph" w:styleId="NormalWeb">
    <w:name w:val="Normal (Web)"/>
    <w:basedOn w:val="Normal"/>
    <w:uiPriority w:val="99"/>
    <w:semiHidden/>
    <w:unhideWhenUsed/>
    <w:rsid w:val="00331441"/>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331441"/>
    <w:rPr>
      <w:color w:val="467886" w:themeColor="hyperlink"/>
      <w:u w:val="single"/>
    </w:rPr>
  </w:style>
  <w:style w:type="character" w:styleId="UnresolvedMention">
    <w:name w:val="Unresolved Mention"/>
    <w:basedOn w:val="DefaultParagraphFont"/>
    <w:uiPriority w:val="99"/>
    <w:semiHidden/>
    <w:unhideWhenUsed/>
    <w:rsid w:val="003314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doi.org/10.1007/s11948-020-00252-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D5408-8EF1-3F4A-A7E7-716A90AEB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Jinseo Lee</dc:creator>
  <cp:keywords/>
  <dc:description/>
  <cp:lastModifiedBy>Jinseo Lee</cp:lastModifiedBy>
  <cp:revision>3</cp:revision>
  <dcterms:created xsi:type="dcterms:W3CDTF">2026-01-25T20:15:00Z</dcterms:created>
  <dcterms:modified xsi:type="dcterms:W3CDTF">2026-01-27T01:15:00Z</dcterms:modified>
</cp:coreProperties>
</file>