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Workbook: present-trends</w:t>
      </w:r>
    </w:p>
    <w:p>
      <w:pPr>
        <w:pStyle w:val="Heading2"/>
      </w:pPr>
      <w:r>
        <w:t>Overview</w:t>
      </w:r>
    </w:p>
    <w:p>
      <w:r>
        <w:t>Unit ID: `apc-c1m1-tejal-w2-glossary`</w:t>
      </w:r>
    </w:p>
    <w:p>
      <w:r>
        <w:t>Fulfills target: `apc-c1m1-tejal-w2-glossary@1`</w:t>
      </w:r>
    </w:p>
    <w:p/>
    <w:p>
      <w:r>
        <w:t>This workbook is the read-in-depth companion to the narrated deck: it carries the transcript, the fuller narrative deferred off the glance-slides, the exercises, and the citations.</w:t>
      </w:r>
    </w:p>
    <w:p/>
    <w:p>
      <w:r>
        <w:t>How to use this workbook with the deck: watch the glance-deck for the perception-tuned claim per card, then read here for the deferred depth, check the figures against their sources, work the self-check exercises, and follow the further reading into primary sources. The deck carries the *glance* channel; this workbook carries the *read* channel (dual-coding partners).</w:t>
      </w:r>
    </w:p>
    <w:p>
      <w:pPr>
        <w:pStyle w:val="Heading2"/>
      </w:pPr>
      <w:r>
        <w:t>Learning Objectives</w:t>
      </w:r>
    </w:p>
    <w:p>
      <w:r>
        <w:t>- **`obj-lo2`** — _analyze_: Analyze macro-economic and structural trends. (served by section(s): `sec-a`)</w:t>
      </w:r>
    </w:p>
    <w:p>
      <w:pPr>
        <w:pStyle w:val="Heading2"/>
      </w:pPr>
      <w:r>
        <w:t>Transcript-narrative</w:t>
      </w:r>
    </w:p>
    <w:p>
      <w:r>
        <w:t>&lt;!-- segment:apc-c1m1-tejal-20260419b-motion-card-01 --&gt;</w:t>
      </w:r>
    </w:p>
    <w:p>
      <w:r>
        <w:t>#### apc-c1m1-tejal-20260419b-motion-card-01</w:t>
      </w:r>
    </w:p>
    <w:p>
      <w:r>
        <w:t>&lt;!-- REVOICE-REQUIRED: writer (Paige/Sophia) -&gt; self-contained read-prose; Irene validates --&gt;</w:t>
      </w:r>
    </w:p>
    <w:p>
      <w:r>
        <w:t>&gt; Watch the physician on screen. That pause — the weight behind the eyes, the handheld device, the corridor pressing in around them — is not a personal failure. It is not a verdict on your capacity — it is a systems signal. The National Academy of Medicine has named this inflection point. Across medicine, across courses and careers, burnout is not the end of the starting line. It is the beginning of it. You are not just an employee within a healthcare system. You are a designer of it. The solution to that moment — to the complexity, the overwhelm, the gap between clinical training and systemic dysfunction — lies dormant in its most valuable asset. In you. This is not a dead end. This is where we begin.</w:t>
      </w:r>
    </w:p>
    <w:p/>
    <w:p>
      <w:r>
        <w:t>&lt;!-- segment:apc-c1m1-tejal-20260419b-motion-card-02 --&gt;</w:t>
      </w:r>
    </w:p>
    <w:p>
      <w:r>
        <w:t>#### apc-c1m1-tejal-20260419b-motion-card-02</w:t>
      </w:r>
    </w:p>
    <w:p>
      <w:r>
        <w:t>&lt;!-- REVOICE-REQUIRED: writer (Paige/Sophia) -&gt; self-contained read-prose; Irene validates --&gt;</w:t>
      </w:r>
    </w:p>
    <w:p>
      <w:r>
        <w:t>&gt; The National Academy of Medicine named this inflection point in 2019. Burnout is a systems signal — not a verdict on you. That signal is this course's starting line.</w:t>
      </w:r>
    </w:p>
    <w:p/>
    <w:p>
      <w:r>
        <w:t>&lt;!-- segment:apc-c1m1-tejal-20260419b-motion-card-03 --&gt;</w:t>
      </w:r>
    </w:p>
    <w:p>
      <w:r>
        <w:t>#### apc-c1m1-tejal-20260419b-motion-card-03</w:t>
      </w:r>
    </w:p>
    <w:p>
      <w:r>
        <w:t>&lt;!-- REVOICE-REQUIRED: writer (Paige/Sophia) -&gt; self-contained read-prose; Irene validates --&gt;</w:t>
      </w:r>
    </w:p>
    <w:p>
      <w:r>
        <w:t>&gt; By the end of Part 1, five outcomes. Define the innovation mindset and correlate your core clinical competencies to Design Thinking. Analyze the macro-economic and structural trends — burnout, healthcare consumerism, technological acceleration — that necessitate intrapreneurial physician leadership. Differentiate a superficial idea from a rigorously vetted opportunity using Sandra Lam's Intrapreneurship Formula. Evaluate systemic operational failures through root-cause analysis. And create your personal innovation baseline: a SWOT analysis and an Opportunity Radar. Five objectives — Bloom's ladder, from understand through create. Next, we'll put those objectives into motion.</w:t>
      </w:r>
    </w:p>
    <w:p/>
    <w:p>
      <w:r>
        <w:t>&lt;!-- segment:apc-c1m1-tejal-20260419b-motion-card-04 --&gt;</w:t>
      </w:r>
    </w:p>
    <w:p>
      <w:r>
        <w:t>#### apc-c1m1-tejal-20260419b-motion-card-04</w:t>
      </w:r>
    </w:p>
    <w:p>
      <w:r>
        <w:t>&lt;!-- REVOICE-REQUIRED: writer (Paige/Sophia) -&gt; self-contained read-prose; Irene validates --&gt;</w:t>
      </w:r>
    </w:p>
    <w:p>
      <w:r>
        <w:t>&gt; Every innovator navigates the same arc — from recognizing a gap, to engineering a response, to driving adoption at scale. This three-course series maps that arc across three waypoints. Waypoint One is where you are now: Sparking Innovation — the gap is named, the recognition is laid down right here, and the foundation begins. Course 1 delivers a tangible output — your executive one-pager: four institutional sections built from evidence and ready for clinical review. Waypoint Two is Building the Solution. Waypoint Three is Driving Impact. One arc. You are already standing at the beginning.</w:t>
      </w:r>
    </w:p>
    <w:p/>
    <w:p>
      <w:r>
        <w:t>&lt;!-- segment:apc-c1m1-tejal-20260419b-motion-card-05 --&gt;</w:t>
      </w:r>
    </w:p>
    <w:p>
      <w:r>
        <w:t>#### apc-c1m1-tejal-20260419b-motion-card-05</w:t>
      </w:r>
    </w:p>
    <w:p>
      <w:r>
        <w:t>&lt;!-- REVOICE-REQUIRED: writer (Paige/Sophia) -&gt; self-contained read-prose; Irene validates --&gt;</w:t>
      </w:r>
    </w:p>
    <w:p>
      <w:r>
        <w:t>&gt; Course 1 — this course — is Waypoint 1: where the gap is named, the recognition begins, and the foundation is laid right here, right now.</w:t>
      </w:r>
    </w:p>
    <w:p/>
    <w:p>
      <w:r>
        <w:t>&lt;!-- segment:apc-c1m1-tejal-20260419b-motion-card-06 --&gt;</w:t>
      </w:r>
    </w:p>
    <w:p>
      <w:r>
        <w:t>#### apc-c1m1-tejal-20260419b-motion-card-06</w:t>
      </w:r>
    </w:p>
    <w:p>
      <w:r>
        <w:t>&lt;!-- REVOICE-REQUIRED: writer (Paige/Sophia) -&gt; self-contained read-prose; Irene validates --&gt;</w:t>
      </w:r>
    </w:p>
    <w:p>
      <w:r>
        <w:t>&gt; The tangible output of this arc: an executive one-pager — your clinical innovation brief, built on evidence across four sections, ready for institutional review.</w:t>
      </w:r>
    </w:p>
    <w:p/>
    <w:p>
      <w:r>
        <w:t>&lt;!-- segment:apc-c1m1-tejal-20260419b-motion-card-07 --&gt;</w:t>
      </w:r>
    </w:p>
    <w:p>
      <w:r>
        <w:t>#### apc-c1m1-tejal-20260419b-motion-card-07</w:t>
      </w:r>
    </w:p>
    <w:p>
      <w:r>
        <w:t>&lt;!-- REVOICE-REQUIRED: writer (Paige/Sophia) -&gt; self-contained read-prose; Irene validates --&gt;</w:t>
      </w:r>
    </w:p>
    <w:p>
      <w:r>
        <w:t>&gt; Let's turn to the physician innovator lineage — a heritage that already belongs to you. Before this course asks you to innovate, it asks you to recognize where you already stand. Physician innovation is not new — it has a lineage, and four distinct archetypes. Device innovators like Fogarty channeled surgical empathy and domain expertise — turned a clinical observation of a patient in crisis into the balloon catheter. Process innovators like Pronovost engineered a five-step checklist that cut ICU infection rates to near zero, where others saw an irreducible limitation — the raw material was already in their hands. Technology innovators like Bath filed a patent born from clinical domain expertise that changed ophthalmology. And organizational innovators redesigned entire systems from reactive sick care toward proactive health assurance. Your archetype is already inside this lineage. Moving forward, we'll examine what each archetype built.</w:t>
      </w:r>
    </w:p>
    <w:p/>
    <w:p>
      <w:r>
        <w:t>&lt;!-- segment:apc-c1m1-tejal-20260419b-motion-card-08 --&gt;</w:t>
      </w:r>
    </w:p>
    <w:p>
      <w:r>
        <w:t>#### apc-c1m1-tejal-20260419b-motion-card-08</w:t>
      </w:r>
    </w:p>
    <w:p>
      <w:r>
        <w:t>&lt;!-- REVOICE-REQUIRED: writer (Paige/Sophia) -&gt; self-contained read-prose; Irene validates --&gt;</w:t>
      </w:r>
    </w:p>
    <w:p>
      <w:r>
        <w:t>&gt; Fogarty saw a patient in crisis and turned that observation into the balloon catheter — a device born from surgical empathy and domain expertise. Pronovost engineered a five-step checklist that cut ICU infection rates to near zero. Your clinical domain expertise is already the raw material.</w:t>
      </w:r>
    </w:p>
    <w:p/>
    <w:p>
      <w:r>
        <w:t>&lt;!-- segment:apc-c1m1-tejal-20260419b-motion-card-09 --&gt;</w:t>
      </w:r>
    </w:p>
    <w:p>
      <w:r>
        <w:t>#### apc-c1m1-tejal-20260419b-motion-card-09</w:t>
      </w:r>
    </w:p>
    <w:p>
      <w:r>
        <w:t>&lt;!-- REVOICE-REQUIRED: writer (Paige/Sophia) -&gt; self-contained read-prose; Irene validates --&gt;</w:t>
      </w:r>
    </w:p>
    <w:p>
      <w:r>
        <w:t>&gt; Bath saw a technology gap where others saw a clinical limitation — and filed a patent that changed ophthalmology. Organizational innovators redesigned entire systems from reactive sick care to proactive health assurance. Your archetype is already in you.</w:t>
      </w:r>
    </w:p>
    <w:p/>
    <w:p>
      <w:r>
        <w:t>&lt;!-- segment:apc-c1m1-tejal-20260419b-motion-card-10 --&gt;</w:t>
      </w:r>
    </w:p>
    <w:p>
      <w:r>
        <w:t>#### apc-c1m1-tejal-20260419b-motion-card-10</w:t>
      </w:r>
    </w:p>
    <w:p>
      <w:r>
        <w:t>&lt;!-- REVOICE-REQUIRED: writer (Paige/Sophia) -&gt; self-contained read-prose; Irene validates --&gt;</w:t>
      </w:r>
    </w:p>
    <w:p>
      <w:r>
        <w:t>&gt; In this section, two frameworks anchor everything that follows. Growth Mindset — Dweck's formulation: the belief that your capacity to innovate is a muscle built through effort and critique, not a fixed trait. And Psychological Safety — Edmondson's definition: a shared belief that the environment is safe for interpersonal risk-taking — sharing half-baked ideas, critiquing peers, exposing systemic flaws. A growth mindset cannot survive without psychological safety. As you progress through this clinical course, these frameworks will be applied — along with a third framework, First Principles Thinking — first: break every assumption down to its fundamental truths, then reason upward to novel solutions. That chain from concept through process to outcome is the engine this course gives you for every clinical problem you bring. Moving forward, these conditions make your innovation work possible.</w:t>
      </w:r>
    </w:p>
    <w:p/>
    <w:p>
      <w:r>
        <w:t>&lt;!-- segment:apc-c1m1-tejal-20260419b-motion-card-11 --&gt;</w:t>
      </w:r>
    </w:p>
    <w:p>
      <w:r>
        <w:t>#### apc-c1m1-tejal-20260419b-motion-card-11</w:t>
      </w:r>
    </w:p>
    <w:p>
      <w:r>
        <w:t>&lt;!-- REVOICE-REQUIRED: writer (Paige/Sophia) -&gt; self-contained read-prose; Irene validates --&gt;</w:t>
      </w:r>
    </w:p>
    <w:p>
      <w:r>
        <w:t>&gt; First Principles Thinking is the third framework: break every assumption down to its fundamental truths, then reason upward to novel solutions. Applied to your clinical problem — that chain from concept through process to outcome — that is the engine this course gives you.</w:t>
      </w:r>
    </w:p>
    <w:p/>
    <w:p>
      <w:r>
        <w:t>&lt;!-- segment:apc-c1m1-tejal-20260419b-motion-card-12 --&gt;</w:t>
      </w:r>
    </w:p>
    <w:p>
      <w:r>
        <w:t>#### apc-c1m1-tejal-20260419b-motion-card-12</w:t>
      </w:r>
    </w:p>
    <w:p>
      <w:r>
        <w:t>&lt;!-- REVOICE-REQUIRED: writer (Paige/Sophia) -&gt; self-contained read-prose; Irene validates --&gt;</w:t>
      </w:r>
    </w:p>
    <w:p>
      <w:r>
        <w:t>&gt; This is the complete arc of the Applied Physician Competency series — three courses, across three terms. Innovation Mindset runs through all three. Product and Project Management builds across the full year. Operating as a Leader develops alongside it. Asynchronous and synchronous formats layer through each term, anchored by assessment at every stage. Every topic in Part 1 occupies a specific position on this map. Keep it in mind — this is the architecture of the full learning journey ahead of you.</w:t>
      </w:r>
    </w:p>
    <w:p/>
    <w:p>
      <w:r>
        <w:t>&lt;!-- segment:apc-c1m1-tejal-20260419b-motion-card-13 --&gt;</w:t>
      </w:r>
    </w:p>
    <w:p>
      <w:r>
        <w:t>#### apc-c1m1-tejal-20260419b-motion-card-13</w:t>
      </w:r>
    </w:p>
    <w:p>
      <w:r>
        <w:t>&lt;!-- REVOICE-REQUIRED: writer (Paige/Sophia) -&gt; self-contained read-prose; Irene validates --&gt;</w:t>
      </w:r>
    </w:p>
    <w:p>
      <w:r>
        <w:t>&gt; Part 1 leaves you with four things. The gap — the friction and the near-miss you see every day — is a signal, not background noise. It belongs to you. The mission — your response to that signal is what defines the next chapter of your career. The journey — every innovator walks the same arc: spark, build, drive. You are at the beginning of a proven path, not alone in uncharted wilderness. And the mindset — the question is not whether you have what it takes. It is whether you choose to use it. The frameworks are set. Part 2 opens with your first active tool — the Opportunity Diagnostic: scan the landscape, size the problem, pressure-test the gap. The diagnosis begins now.</w:t>
      </w:r>
    </w:p>
    <w:p/>
    <w:p>
      <w:r>
        <w:t>&lt;!-- segment:apc-c1m1-tejal-20260419b-motion-card-14 --&gt;</w:t>
      </w:r>
    </w:p>
    <w:p>
      <w:r>
        <w:t>#### apc-c1m1-tejal-20260419b-motion-card-14</w:t>
      </w:r>
    </w:p>
    <w:p>
      <w:r>
        <w:t>&lt;!-- REVOICE-REQUIRED: writer (Paige/Sophia) -&gt; self-contained read-prose; Irene validates --&gt;</w:t>
      </w:r>
    </w:p>
    <w:p>
      <w:r>
        <w:t>&gt; Part 2 opens with your first active tool: the Opportunity Diagnostic. Pressure-test the gap, size the problem, scan the landscape. The frameworks are set. The diagnosis begins now.</w:t>
      </w:r>
    </w:p>
    <w:p>
      <w:pPr>
        <w:pStyle w:val="Heading2"/>
      </w:pPr>
      <w:r>
        <w:t>Depth-delta narrative</w:t>
      </w:r>
    </w:p>
    <w:p>
      <w:r>
        <w:t>### Trends</w:t>
      </w:r>
    </w:p>
    <w:p>
      <w:r>
        <w:t>Objective: `obj-lo2` (section `sec-a`)</w:t>
      </w:r>
    </w:p>
    <w:p>
      <w:r>
        <w:t>Depth deferred off the slide: systems trends depth</w:t>
      </w:r>
    </w:p>
    <w:p>
      <w:pPr>
        <w:pStyle w:val="Heading2"/>
      </w:pPr>
      <w:r>
        <w:t>Transcript of Record</w:t>
      </w:r>
    </w:p>
    <w:p>
      <w:r>
        <w:t>#### apc-c1m1-tejal-20260419b-motion-card-01 (verbatim)</w:t>
      </w:r>
    </w:p>
    <w:p>
      <w:r>
        <w:t>&gt; Watch the physician on screen. That pause — the weight behind the eyes, the handheld device, the corridor pressing in around them — is not a personal failure. It is not a verdict on your capacity — it is a systems signal. The National Academy of Medicine has named this inflection point. Across medicine, across courses and careers, burnout is not the end of the starting line. It is the beginning of it. You are not just an employee within a healthcare system. You are a designer of it. The solution to that moment — to the complexity, the overwhelm, the gap between clinical training and systemic dysfunction — lies dormant in its most valuable asset. In you. This is not a dead end. This is where we begin.</w:t>
      </w:r>
    </w:p>
    <w:p/>
    <w:p>
      <w:r>
        <w:t>#### apc-c1m1-tejal-20260419b-motion-card-02 (verbatim)</w:t>
      </w:r>
    </w:p>
    <w:p>
      <w:r>
        <w:t>&gt; The National Academy of Medicine named this inflection point in 2019. Burnout is a systems signal — not a verdict on you. That signal is this course's starting line.</w:t>
      </w:r>
    </w:p>
    <w:p/>
    <w:p>
      <w:r>
        <w:t>#### apc-c1m1-tejal-20260419b-motion-card-03 (verbatim)</w:t>
      </w:r>
    </w:p>
    <w:p>
      <w:r>
        <w:t>&gt; By the end of Part 1, five outcomes. Define the innovation mindset and correlate your core clinical competencies to Design Thinking. Analyze the macro-economic and structural trends — burnout, healthcare consumerism, technological acceleration — that necessitate intrapreneurial physician leadership. Differentiate a superficial idea from a rigorously vetted opportunity using Sandra Lam's Intrapreneurship Formula. Evaluate systemic operational failures through root-cause analysis. And create your personal innovation baseline: a SWOT analysis and an Opportunity Radar. Five objectives — Bloom's ladder, from understand through create. Next, we'll put those objectives into motion.</w:t>
      </w:r>
    </w:p>
    <w:p/>
    <w:p>
      <w:r>
        <w:t>#### apc-c1m1-tejal-20260419b-motion-card-04 (verbatim)</w:t>
      </w:r>
    </w:p>
    <w:p>
      <w:r>
        <w:t>&gt; Every innovator navigates the same arc — from recognizing a gap, to engineering a response, to driving adoption at scale. This three-course series maps that arc across three waypoints. Waypoint One is where you are now: Sparking Innovation — the gap is named, the recognition is laid down right here, and the foundation begins. Course 1 delivers a tangible output — your executive one-pager: four institutional sections built from evidence and ready for clinical review. Waypoint Two is Building the Solution. Waypoint Three is Driving Impact. One arc. You are already standing at the beginning.</w:t>
      </w:r>
    </w:p>
    <w:p/>
    <w:p>
      <w:r>
        <w:t>#### apc-c1m1-tejal-20260419b-motion-card-05 (verbatim)</w:t>
      </w:r>
    </w:p>
    <w:p>
      <w:r>
        <w:t>&gt; Course 1 — this course — is Waypoint 1: where the gap is named, the recognition begins, and the foundation is laid right here, right now.</w:t>
      </w:r>
    </w:p>
    <w:p/>
    <w:p>
      <w:r>
        <w:t>#### apc-c1m1-tejal-20260419b-motion-card-06 (verbatim)</w:t>
      </w:r>
    </w:p>
    <w:p>
      <w:r>
        <w:t>&gt; The tangible output of this arc: an executive one-pager — your clinical innovation brief, built on evidence across four sections, ready for institutional review.</w:t>
      </w:r>
    </w:p>
    <w:p/>
    <w:p>
      <w:r>
        <w:t>#### apc-c1m1-tejal-20260419b-motion-card-07 (verbatim)</w:t>
      </w:r>
    </w:p>
    <w:p>
      <w:r>
        <w:t>&gt; Let's turn to the physician innovator lineage — a heritage that already belongs to you. Before this course asks you to innovate, it asks you to recognize where you already stand. Physician innovation is not new — it has a lineage, and four distinct archetypes. Device innovators like Fogarty channeled surgical empathy and domain expertise — turned a clinical observation of a patient in crisis into the balloon catheter. Process innovators like Pronovost engineered a five-step checklist that cut ICU infection rates to near zero, where others saw an irreducible limitation — the raw material was already in their hands. Technology innovators like Bath filed a patent born from clinical domain expertise that changed ophthalmology. And organizational innovators redesigned entire systems from reactive sick care toward proactive health assurance. Your archetype is already inside this lineage. Moving forward, we'll examine what each archetype built.</w:t>
      </w:r>
    </w:p>
    <w:p/>
    <w:p>
      <w:r>
        <w:t>#### apc-c1m1-tejal-20260419b-motion-card-08 (verbatim)</w:t>
      </w:r>
    </w:p>
    <w:p>
      <w:r>
        <w:t>&gt; Fogarty saw a patient in crisis and turned that observation into the balloon catheter — a device born from surgical empathy and domain expertise. Pronovost engineered a five-step checklist that cut ICU infection rates to near zero. Your clinical domain expertise is already the raw material.</w:t>
      </w:r>
    </w:p>
    <w:p/>
    <w:p>
      <w:r>
        <w:t>#### apc-c1m1-tejal-20260419b-motion-card-09 (verbatim)</w:t>
      </w:r>
    </w:p>
    <w:p>
      <w:r>
        <w:t>&gt; Bath saw a technology gap where others saw a clinical limitation — and filed a patent that changed ophthalmology. Organizational innovators redesigned entire systems from reactive sick care to proactive health assurance. Your archetype is already in you.</w:t>
      </w:r>
    </w:p>
    <w:p/>
    <w:p>
      <w:r>
        <w:t>#### apc-c1m1-tejal-20260419b-motion-card-10 (verbatim)</w:t>
      </w:r>
    </w:p>
    <w:p>
      <w:r>
        <w:t>&gt; In this section, two frameworks anchor everything that follows. Growth Mindset — Dweck's formulation: the belief that your capacity to innovate is a muscle built through effort and critique, not a fixed trait. And Psychological Safety — Edmondson's definition: a shared belief that the environment is safe for interpersonal risk-taking — sharing half-baked ideas, critiquing peers, exposing systemic flaws. A growth mindset cannot survive without psychological safety. As you progress through this clinical course, these frameworks will be applied — along with a third framework, First Principles Thinking — first: break every assumption down to its fundamental truths, then reason upward to novel solutions. That chain from concept through process to outcome is the engine this course gives you for every clinical problem you bring. Moving forward, these conditions make your innovation work possible.</w:t>
      </w:r>
    </w:p>
    <w:p/>
    <w:p>
      <w:r>
        <w:t>#### apc-c1m1-tejal-20260419b-motion-card-11 (verbatim)</w:t>
      </w:r>
    </w:p>
    <w:p>
      <w:r>
        <w:t>&gt; First Principles Thinking is the third framework: break every assumption down to its fundamental truths, then reason upward to novel solutions. Applied to your clinical problem — that chain from concept through process to outcome — that is the engine this course gives you.</w:t>
      </w:r>
    </w:p>
    <w:p/>
    <w:p>
      <w:r>
        <w:t>#### apc-c1m1-tejal-20260419b-motion-card-12 (verbatim)</w:t>
      </w:r>
    </w:p>
    <w:p>
      <w:r>
        <w:t>&gt; This is the complete arc of the Applied Physician Competency series — three courses, across three terms. Innovation Mindset runs through all three. Product and Project Management builds across the full year. Operating as a Leader develops alongside it. Asynchronous and synchronous formats layer through each term, anchored by assessment at every stage. Every topic in Part 1 occupies a specific position on this map. Keep it in mind — this is the architecture of the full learning journey ahead of you.</w:t>
      </w:r>
    </w:p>
    <w:p/>
    <w:p>
      <w:r>
        <w:t>#### apc-c1m1-tejal-20260419b-motion-card-13 (verbatim)</w:t>
      </w:r>
    </w:p>
    <w:p>
      <w:r>
        <w:t>&gt; Part 1 leaves you with four things. The gap — the friction and the near-miss you see every day — is a signal, not background noise. It belongs to you. The mission — your response to that signal is what defines the next chapter of your career. The journey — every innovator walks the same arc: spark, build, drive. You are at the beginning of a proven path, not alone in uncharted wilderness. And the mindset — the question is not whether you have what it takes. It is whether you choose to use it. The frameworks are set. Part 2 opens with your first active tool — the Opportunity Diagnostic: scan the landscape, size the problem, pressure-test the gap. The diagnosis begins now.</w:t>
      </w:r>
    </w:p>
    <w:p/>
    <w:p>
      <w:r>
        <w:t>#### apc-c1m1-tejal-20260419b-motion-card-14 (verbatim)</w:t>
      </w:r>
    </w:p>
    <w:p>
      <w:r>
        <w:t>&gt; Part 2 opens with your first active tool: the Opportunity Diagnostic. Pressure-test the gap, size the problem, scan the landscape. The frameworks are set. The diagnosis begins now.</w:t>
      </w:r>
    </w:p>
    <w:p>
      <w:pPr>
        <w:pStyle w:val="Heading2"/>
      </w:pPr>
      <w:r>
        <w:t>Figures</w:t>
      </w:r>
    </w:p>
    <w:p>
      <w:r>
        <w:t>&lt;!-- segment:apc-c1m1-tejal-20260419b-motion-card-01 --&gt;</w:t>
      </w:r>
    </w:p>
    <w:p>
      <w:r>
        <w:t>*Figure — Stressed physician in clinical corridor pausing under EHR complexity* (source_ref: `apc-c1m1-tejal-20260419b-motion-card-01`)</w:t>
      </w:r>
    </w:p>
    <w:p>
      <w:pPr>
        <w:pStyle w:val="Heading2"/>
      </w:pPr>
      <w:r>
        <w:t>Exercises</w:t>
      </w:r>
    </w:p>
    <w:p>
      <w:r>
        <w:t>### Exercise `ex-a1`</w:t>
      </w:r>
    </w:p>
    <w:p>
      <w:r>
        <w:t>Bloom level: **analyze**</w:t>
      </w:r>
    </w:p>
    <w:p>
      <w:r>
        <w:t>Analyze</w:t>
      </w:r>
    </w:p>
    <w:p>
      <w:r>
        <w:t>Answer key (source_ref: `src-slide-02`)</w:t>
      </w:r>
    </w:p>
    <w:p>
      <w:pPr>
        <w:pStyle w:val="Heading2"/>
      </w:pPr>
      <w:r>
        <w:t>Answer Key</w:t>
      </w:r>
    </w:p>
    <w:p>
      <w:r>
        <w:t>### Answer — `ex-a1`</w:t>
      </w:r>
    </w:p>
    <w:p>
      <w:r>
        <w:t>*(worked answer pending writer; grounded by the source_ref below — source_ref: `src-slide-02`)*</w:t>
      </w:r>
    </w:p>
    <w:p>
      <w:r>
        <w:t>Answer key source_ref: `src-slide-02`</w:t>
      </w:r>
    </w:p>
    <w:p>
      <w:pPr>
        <w:pStyle w:val="Heading2"/>
      </w:pPr>
      <w:r>
        <w:t>Research Glossary</w:t>
      </w:r>
    </w:p>
    <w:p>
      <w:r>
        <w:t>### Switching Stay Home Instruction</w:t>
      </w:r>
    </w:p>
    <w:p/>
    <w:p>
      <w:r>
        <w:t>*Switching Stay Home Instruction: research-informed encyclopedia entry*</w:t>
      </w:r>
    </w:p>
    <w:p/>
    <w:p>
      <w:r>
        <w:t>&lt;!-- GLOSSARY-WRITER-REQUIRED --&gt;</w:t>
      </w:r>
    </w:p>
    <w:p/>
    <w:p>
      <w:r>
        <w:t>**Switching Stay Home Instruction** is treated here as a learner-facing encyclopedia construct, not a one-line dictionary gloss. The wrangled literature for this run indexes the work “Switching to Stay Home Instruction” as supporting context for this construct.</w:t>
      </w:r>
    </w:p>
    <w:p/>
    <w:p>
      <w:r>
        <w:t>Evidence standing for this entry is explicitly surfaced: hierarchy tier `T4_peer_other`, peer-reviewed, provider provenance `scite`, and triangulation status `single_provider`. Composite reliability on the triangulation receipt is 0.10. This is research-informed synthesis from tier-labeled rows — not a semantic claim↔source audit of course narration.</w:t>
      </w:r>
    </w:p>
    <w:p/>
    <w:p>
      <w:r>
        <w:t>Readers should treat the cited source as the authority for methods and findings; this article orients the construct and preserves provenance for downstream review.</w:t>
      </w:r>
    </w:p>
    <w:p/>
    <w:p>
      <w:r>
        <w:t>**Provenance:** `cite-001` · source_ref `retrieval:scite:10.1145/3368308.3415426` · https://doi.org/10.1145/3368308.3415426 · tier=T4_peer_other, peer-reviewed, provenance=scite, triangulation=single_provider, reliability=0.10</w:t>
      </w:r>
    </w:p>
    <w:p/>
    <w:p>
      <w:r>
        <w:t>### effect worked examples learning solution steps</w:t>
      </w:r>
    </w:p>
    <w:p/>
    <w:p>
      <w:r>
        <w:t>*effect worked examples learning solution steps: research-informed encyclopedia entry*</w:t>
      </w:r>
    </w:p>
    <w:p/>
    <w:p>
      <w:r>
        <w:t>&lt;!-- GLOSSARY-WRITER-REQUIRED --&gt;</w:t>
      </w:r>
    </w:p>
    <w:p/>
    <w:p>
      <w:r>
        <w:t>**effect worked examples learning solution steps** is treated here as a learner-facing encyclopedia construct, not a one-line dictionary gloss. The wrangled literature for this run indexes the work “The effect of worked examples on learning solution steps and knowledge transfer” as supporting context for this construct.</w:t>
      </w:r>
    </w:p>
    <w:p/>
    <w:p>
      <w:r>
        <w:t>Evidence standing for this entry is explicitly surfaced: hierarchy tier `T4_peer_other`, peer-reviewed, provider provenance `consensus,scite`, and triangulation status `dual_provider`. Composite reliability on the triangulation receipt is 0.65. This is research-informed synthesis from tier-labeled rows — not a semantic claim↔source audit of course narration.</w:t>
      </w:r>
    </w:p>
    <w:p/>
    <w:p>
      <w:r>
        <w:t>Readers should treat the cited source as the authority for methods and findings; this article orients the construct and preserves provenance for downstream review.</w:t>
      </w:r>
    </w:p>
    <w:p/>
    <w:p>
      <w:r>
        <w:t>**Provenance:** `cite-002` · source_ref `retrieval:consensus:8fba3910b73754f0b192c1ba93562d5a` · source_id=`8fba3910b73754f0b192c1ba93562d5a` · tier=T4_peer_other, peer-reviewed, provenance=consensus,scite, triangulation=dual_provider, reliability=0.65</w:t>
      </w:r>
    </w:p>
    <w:p/>
    <w:p>
      <w:r>
        <w:t>### Instruction-first problem-solving-first approaches alternative pathwa…</w:t>
      </w:r>
    </w:p>
    <w:p/>
    <w:p>
      <w:r>
        <w:t>*Instruction-first problem-solving-first approaches alternative pathwa…: research-informed encyclopedia entry*</w:t>
      </w:r>
    </w:p>
    <w:p/>
    <w:p>
      <w:r>
        <w:t>&lt;!-- GLOSSARY-WRITER-REQUIRED --&gt;</w:t>
      </w:r>
    </w:p>
    <w:p/>
    <w:p>
      <w:r>
        <w:t>**Instruction-first problem-solving-first approaches alternative pathwa…** is treated here as a learner-facing encyclopedia construct, not a one-line dictionary gloss. The wrangled literature for this run indexes the work “Instruction-first and problem-solving-first approaches: alternative pathways to learning complex tasks” as supporting context for this construct.</w:t>
      </w:r>
    </w:p>
    <w:p/>
    <w:p>
      <w:r>
        <w:t>Evidence standing for this entry is explicitly surfaced: hierarchy tier `T4_peer_other`, peer-reviewed, provider provenance `consensus,scite`, and triangulation status `dual_provider`. Composite reliability on the triangulation receipt is 0.85. This is research-informed synthesis from tier-labeled rows — not a semantic claim↔source audit of course narration.</w:t>
      </w:r>
    </w:p>
    <w:p/>
    <w:p>
      <w:r>
        <w:t>Readers should treat the cited source as the authority for methods and findings; this article orients the construct and preserves provenance for downstream review.</w:t>
      </w:r>
    </w:p>
    <w:p/>
    <w:p>
      <w:r>
        <w:t>**Provenance:** `cite-003` · source_ref `retrieval:consensus:cc331e0c35615fe6baafd9f907dea390` · source_id=`cc331e0c35615fe6baafd9f907dea390` · tier=T4_peer_other, peer-reviewed, provenance=consensus,scite, triangulation=dual_provider, reliability=0.85</w:t>
      </w:r>
    </w:p>
    <w:p>
      <w:pPr>
        <w:pStyle w:val="Heading2"/>
      </w:pPr>
      <w:r>
        <w:t>References</w:t>
      </w:r>
    </w:p>
    <w:p>
      <w:r>
        <w:t>#### Segment source-ref trace</w:t>
      </w:r>
    </w:p>
    <w:p>
      <w:r>
        <w:t>- `apc-c1m1-tejal-20260419b-motion-card-01` -&gt; source_ref `apc-c1m1-tejal-20260419b-motion-card-01`</w:t>
      </w:r>
    </w:p>
    <w:p>
      <w:r>
        <w:t>- `apc-c1m1-tejal-20260419b-motion-card-02` -&gt; source_ref `apc-c1m1-tejal-20260419b-motion-card-02`</w:t>
      </w:r>
    </w:p>
    <w:p>
      <w:r>
        <w:t>- `apc-c1m1-tejal-20260419b-motion-card-03` -&gt; source_ref `apc-c1m1-tejal-20260419b-motion-card-03`</w:t>
      </w:r>
    </w:p>
    <w:p>
      <w:r>
        <w:t>- `apc-c1m1-tejal-20260419b-motion-card-04` -&gt; source_ref `apc-c1m1-tejal-20260419b-motion-card-04`</w:t>
      </w:r>
    </w:p>
    <w:p>
      <w:r>
        <w:t>- `apc-c1m1-tejal-20260419b-motion-card-05` -&gt; source_ref `apc-c1m1-tejal-20260419b-motion-card-05`</w:t>
      </w:r>
    </w:p>
    <w:p>
      <w:r>
        <w:t>- `apc-c1m1-tejal-20260419b-motion-card-06` -&gt; source_ref `apc-c1m1-tejal-20260419b-motion-card-06`</w:t>
      </w:r>
    </w:p>
    <w:p>
      <w:r>
        <w:t>- `apc-c1m1-tejal-20260419b-motion-card-07` -&gt; source_ref `apc-c1m1-tejal-20260419b-motion-card-07`</w:t>
      </w:r>
    </w:p>
    <w:p>
      <w:r>
        <w:t>- `apc-c1m1-tejal-20260419b-motion-card-08` -&gt; source_ref `apc-c1m1-tejal-20260419b-motion-card-08`</w:t>
      </w:r>
    </w:p>
    <w:p>
      <w:r>
        <w:t>- `apc-c1m1-tejal-20260419b-motion-card-09` -&gt; source_ref `apc-c1m1-tejal-20260419b-motion-card-09`</w:t>
      </w:r>
    </w:p>
    <w:p>
      <w:r>
        <w:t>- `apc-c1m1-tejal-20260419b-motion-card-10` -&gt; source_ref `apc-c1m1-tejal-20260419b-motion-card-10`</w:t>
      </w:r>
    </w:p>
    <w:p>
      <w:r>
        <w:t>- `apc-c1m1-tejal-20260419b-motion-card-11` -&gt; source_ref `apc-c1m1-tejal-20260419b-motion-card-11`</w:t>
      </w:r>
    </w:p>
    <w:p>
      <w:r>
        <w:t>- `apc-c1m1-tejal-20260419b-motion-card-12` -&gt; source_ref `apc-c1m1-tejal-20260419b-motion-card-12`</w:t>
      </w:r>
    </w:p>
    <w:p>
      <w:r>
        <w:t>- `apc-c1m1-tejal-20260419b-motion-card-13` -&gt; source_ref `apc-c1m1-tejal-20260419b-motion-card-13`</w:t>
      </w:r>
    </w:p>
    <w:p>
      <w:r>
        <w:t>- `apc-c1m1-tejal-20260419b-motion-card-14` -&gt; source_ref `apc-c1m1-tejal-20260419b-motion-card-14`</w:t>
      </w:r>
    </w:p>
    <w:p/>
    <w:p>
      <w:r>
        <w:t>#### Cited references &amp; further reading</w:t>
      </w:r>
    </w:p>
    <w:p>
      <w:r>
        <w:t>- *(no corpus-native references supplied for this artifact)*</w:t>
      </w:r>
    </w:p>
    <w:p/>
    <w:p>
      <w:r>
        <w:t>#### Live-research cited entries (DOI)</w:t>
      </w:r>
    </w:p>
    <w:p>
      <w:r>
        <w:t>- *(no cited research entries recorded for this run; recorded explicitly-empty (corpus-native references above carry the citations))*</w:t>
      </w:r>
    </w:p>
    <w:p>
      <w:r>
        <w:drawing>
          <wp:inline xmlns:a="http://schemas.openxmlformats.org/drawingml/2006/main" xmlns:pic="http://schemas.openxmlformats.org/drawingml/2006/picture">
            <wp:extent cx="30480000" cy="17145000"/>
            <wp:docPr id="1" name="Picture 1"/>
            <wp:cNvGraphicFramePr>
              <a:graphicFrameLocks noChangeAspect="1"/>
            </wp:cNvGraphicFramePr>
            <a:graphic>
              <a:graphicData uri="http://schemas.openxmlformats.org/drawingml/2006/picture">
                <pic:pic>
                  <pic:nvPicPr>
                    <pic:cNvPr id="0" name="apc-c1m1-tejal-20260419b-motion_slide_01.png"/>
                    <pic:cNvPicPr/>
                  </pic:nvPicPr>
                  <pic:blipFill>
                    <a:blip r:embed="rId9"/>
                    <a:stretch>
                      <a:fillRect/>
                    </a:stretch>
                  </pic:blipFill>
                  <pic:spPr>
                    <a:xfrm>
                      <a:off x="0" y="0"/>
                      <a:ext cx="30480000" cy="17145000"/>
                    </a:xfrm>
                    <a:prstGeom prst="rect"/>
                  </pic:spPr>
                </pic:pic>
              </a:graphicData>
            </a:graphic>
          </wp:inline>
        </w:drawing>
      </w:r>
    </w:p>
    <w:p>
      <w:r>
        <w:t>Figure — Stressed physician in clinical corridor pausing under EHR complexity (source_ref: apc-c1m1-tejal-20260419b-motion-card-01)</w:t>
      </w:r>
    </w:p>
    <w:p>
      <w:pPr>
        <w:pStyle w:val="Heading2"/>
      </w:pPr>
      <w:r>
        <w:t>Human Review Checkpoint</w:t>
      </w:r>
    </w:p>
    <w:p>
      <w:r>
        <w:t>- [ ] Irene workbook review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