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present-trends</w:t>
      </w:r>
    </w:p>
    <w:p>
      <w:pPr>
        <w:pStyle w:val="Heading2"/>
      </w:pPr>
      <w:r>
        <w:t>Overview</w:t>
      </w:r>
    </w:p>
    <w:p>
      <w:r>
        <w:t>Unit ID: `apc-c1m1-tejal-w3-trends`</w:t>
      </w:r>
    </w:p>
    <w:p>
      <w:r>
        <w:t>Fulfills target: `apc-c1m1-tejal-w3-trends@1`</w:t>
      </w:r>
    </w:p>
    <w:p/>
    <w:p>
      <w:r>
        <w:t>This workbook is the read-in-depth companion to the narrated deck: it carries the transcript, the fuller narrative deferred off the glance-slides, the exercises, and the citations.</w:t>
      </w:r>
    </w:p>
    <w:p/>
    <w:p>
      <w:r>
        <w:t>How to use this workbook with the deck: watch the glance-deck for the perception-tuned claim per card, then read here for the deferred depth, check the figures against their sources, work the self-check exercises, and follow the further reading into primary sources. The deck carries the *glance* channel; this workbook carries the *read* channel (dual-coding partners).</w:t>
      </w:r>
    </w:p>
    <w:p>
      <w:pPr>
        <w:pStyle w:val="Heading2"/>
      </w:pPr>
      <w:r>
        <w:t>Learning Objectives</w:t>
      </w:r>
    </w:p>
    <w:p>
      <w:r>
        <w:t>- **`obj-lo2`** — _analyze_: Analyze macro-economic and structural trends. (served by section(s): `sec-a`)</w:t>
      </w:r>
    </w:p>
    <w:p>
      <w:pPr>
        <w:pStyle w:val="Heading2"/>
      </w:pPr>
      <w:r>
        <w:t>Transcript-narrative</w:t>
      </w:r>
    </w:p>
    <w:p>
      <w:r>
        <w:t>&lt;!-- segment:apc-c1m1-tejal-20260419b-motion-card-01 --&gt;</w:t>
      </w:r>
    </w:p>
    <w:p>
      <w:r>
        <w:t>#### apc-c1m1-tejal-20260419b-motion-card-01</w:t>
      </w:r>
    </w:p>
    <w:p>
      <w:r>
        <w:t>&lt;!-- REVOICE-REQUIRED: writer (Paige/Sophia) -&gt; self-contained read-prose; Irene validates --&gt;</w:t>
      </w:r>
    </w:p>
    <w:p>
      <w:r>
        <w:t>&gt; 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
      <w:r>
        <w:t>&lt;!-- segment:apc-c1m1-tejal-20260419b-motion-card-02 --&gt;</w:t>
      </w:r>
    </w:p>
    <w:p>
      <w:r>
        <w:t>#### apc-c1m1-tejal-20260419b-motion-card-02</w:t>
      </w:r>
    </w:p>
    <w:p>
      <w:r>
        <w:t>&lt;!-- REVOICE-REQUIRED: writer (Paige/Sophia) -&gt; self-contained read-prose; Irene validates --&gt;</w:t>
      </w:r>
    </w:p>
    <w:p>
      <w:r>
        <w:t>&gt; The National Academy of Medicine named this inflection point in 2019. Burnout is a systems signal — not a verdict on you. That signal is this course's starting line.</w:t>
      </w:r>
    </w:p>
    <w:p/>
    <w:p>
      <w:r>
        <w:t>&lt;!-- segment:apc-c1m1-tejal-20260419b-motion-card-03 --&gt;</w:t>
      </w:r>
    </w:p>
    <w:p>
      <w:r>
        <w:t>#### apc-c1m1-tejal-20260419b-motion-card-03</w:t>
      </w:r>
    </w:p>
    <w:p>
      <w:r>
        <w:t>&lt;!-- REVOICE-REQUIRED: writer (Paige/Sophia) -&gt; self-contained read-prose; Irene validates --&gt;</w:t>
      </w:r>
    </w:p>
    <w:p>
      <w:r>
        <w:t>&gt; 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
      <w:r>
        <w:t>&lt;!-- segment:apc-c1m1-tejal-20260419b-motion-card-04 --&gt;</w:t>
      </w:r>
    </w:p>
    <w:p>
      <w:r>
        <w:t>#### apc-c1m1-tejal-20260419b-motion-card-04</w:t>
      </w:r>
    </w:p>
    <w:p>
      <w:r>
        <w:t>&lt;!-- REVOICE-REQUIRED: writer (Paige/Sophia) -&gt; self-contained read-prose; Irene validates --&gt;</w:t>
      </w:r>
    </w:p>
    <w:p>
      <w:r>
        <w:t>&gt; 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
      <w:r>
        <w:t>&lt;!-- segment:apc-c1m1-tejal-20260419b-motion-card-05 --&gt;</w:t>
      </w:r>
    </w:p>
    <w:p>
      <w:r>
        <w:t>#### apc-c1m1-tejal-20260419b-motion-card-05</w:t>
      </w:r>
    </w:p>
    <w:p>
      <w:r>
        <w:t>&lt;!-- REVOICE-REQUIRED: writer (Paige/Sophia) -&gt; self-contained read-prose; Irene validates --&gt;</w:t>
      </w:r>
    </w:p>
    <w:p>
      <w:r>
        <w:t>&gt; Course 1 — this course — is Waypoint 1: where the gap is named, the recognition begins, and the foundation is laid right here, right now.</w:t>
      </w:r>
    </w:p>
    <w:p/>
    <w:p>
      <w:r>
        <w:t>&lt;!-- segment:apc-c1m1-tejal-20260419b-motion-card-06 --&gt;</w:t>
      </w:r>
    </w:p>
    <w:p>
      <w:r>
        <w:t>#### apc-c1m1-tejal-20260419b-motion-card-06</w:t>
      </w:r>
    </w:p>
    <w:p>
      <w:r>
        <w:t>&lt;!-- REVOICE-REQUIRED: writer (Paige/Sophia) -&gt; self-contained read-prose; Irene validates --&gt;</w:t>
      </w:r>
    </w:p>
    <w:p>
      <w:r>
        <w:t>&gt; The tangible output of this arc: an executive one-pager — your clinical innovation brief, built on evidence across four sections, ready for institutional review.</w:t>
      </w:r>
    </w:p>
    <w:p/>
    <w:p>
      <w:r>
        <w:t>&lt;!-- segment:apc-c1m1-tejal-20260419b-motion-card-07 --&gt;</w:t>
      </w:r>
    </w:p>
    <w:p>
      <w:r>
        <w:t>#### apc-c1m1-tejal-20260419b-motion-card-07</w:t>
      </w:r>
    </w:p>
    <w:p>
      <w:r>
        <w:t>&lt;!-- REVOICE-REQUIRED: writer (Paige/Sophia) -&gt; self-contained read-prose; Irene validates --&gt;</w:t>
      </w:r>
    </w:p>
    <w:p>
      <w:r>
        <w:t>&gt; 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
      <w:r>
        <w:t>&lt;!-- segment:apc-c1m1-tejal-20260419b-motion-card-08 --&gt;</w:t>
      </w:r>
    </w:p>
    <w:p>
      <w:r>
        <w:t>#### apc-c1m1-tejal-20260419b-motion-card-08</w:t>
      </w:r>
    </w:p>
    <w:p>
      <w:r>
        <w:t>&lt;!-- REVOICE-REQUIRED: writer (Paige/Sophia) -&gt; self-contained read-prose; Irene validates --&gt;</w:t>
      </w:r>
    </w:p>
    <w:p>
      <w:r>
        <w:t>&gt; 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
      <w:r>
        <w:t>&lt;!-- segment:apc-c1m1-tejal-20260419b-motion-card-09 --&gt;</w:t>
      </w:r>
    </w:p>
    <w:p>
      <w:r>
        <w:t>#### apc-c1m1-tejal-20260419b-motion-card-09</w:t>
      </w:r>
    </w:p>
    <w:p>
      <w:r>
        <w:t>&lt;!-- REVOICE-REQUIRED: writer (Paige/Sophia) -&gt; self-contained read-prose; Irene validates --&gt;</w:t>
      </w:r>
    </w:p>
    <w:p>
      <w:r>
        <w:t>&gt; Bath saw a technology gap where others saw a clinical limitation — and filed a patent that changed ophthalmology. Organizational innovators redesigned entire systems from reactive sick care to proactive health assurance. Your archetype is already in you.</w:t>
      </w:r>
    </w:p>
    <w:p/>
    <w:p>
      <w:r>
        <w:t>&lt;!-- segment:apc-c1m1-tejal-20260419b-motion-card-10 --&gt;</w:t>
      </w:r>
    </w:p>
    <w:p>
      <w:r>
        <w:t>#### apc-c1m1-tejal-20260419b-motion-card-10</w:t>
      </w:r>
    </w:p>
    <w:p>
      <w:r>
        <w:t>&lt;!-- REVOICE-REQUIRED: writer (Paige/Sophia) -&gt; self-contained read-prose; Irene validates --&gt;</w:t>
      </w:r>
    </w:p>
    <w:p>
      <w:r>
        <w:t>&gt; 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
      <w:r>
        <w:t>&lt;!-- segment:apc-c1m1-tejal-20260419b-motion-card-11 --&gt;</w:t>
      </w:r>
    </w:p>
    <w:p>
      <w:r>
        <w:t>#### apc-c1m1-tejal-20260419b-motion-card-11</w:t>
      </w:r>
    </w:p>
    <w:p>
      <w:r>
        <w:t>&lt;!-- REVOICE-REQUIRED: writer (Paige/Sophia) -&gt; self-contained read-prose; Irene validates --&gt;</w:t>
      </w:r>
    </w:p>
    <w:p>
      <w:r>
        <w:t>&gt; 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
      <w:r>
        <w:t>&lt;!-- segment:apc-c1m1-tejal-20260419b-motion-card-12 --&gt;</w:t>
      </w:r>
    </w:p>
    <w:p>
      <w:r>
        <w:t>#### apc-c1m1-tejal-20260419b-motion-card-12</w:t>
      </w:r>
    </w:p>
    <w:p>
      <w:r>
        <w:t>&lt;!-- REVOICE-REQUIRED: writer (Paige/Sophia) -&gt; self-contained read-prose; Irene validates --&gt;</w:t>
      </w:r>
    </w:p>
    <w:p>
      <w:r>
        <w:t>&gt; 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
      <w:r>
        <w:t>&lt;!-- segment:apc-c1m1-tejal-20260419b-motion-card-13 --&gt;</w:t>
      </w:r>
    </w:p>
    <w:p>
      <w:r>
        <w:t>#### apc-c1m1-tejal-20260419b-motion-card-13</w:t>
      </w:r>
    </w:p>
    <w:p>
      <w:r>
        <w:t>&lt;!-- REVOICE-REQUIRED: writer (Paige/Sophia) -&gt; self-contained read-prose; Irene validates --&gt;</w:t>
      </w:r>
    </w:p>
    <w:p>
      <w:r>
        <w:t>&gt; 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
      <w:r>
        <w:t>&lt;!-- segment:apc-c1m1-tejal-20260419b-motion-card-14 --&gt;</w:t>
      </w:r>
    </w:p>
    <w:p>
      <w:r>
        <w:t>#### apc-c1m1-tejal-20260419b-motion-card-14</w:t>
      </w:r>
    </w:p>
    <w:p>
      <w:r>
        <w:t>&lt;!-- REVOICE-REQUIRED: writer (Paige/Sophia) -&gt; self-contained read-prose; Irene validates --&gt;</w:t>
      </w:r>
    </w:p>
    <w:p>
      <w:r>
        <w:t>&gt; Part 2 opens with your first active tool: the Opportunity Diagnostic. Pressure-test the gap, size the problem, scan the landscape. The frameworks are set. The diagnosis begins now.</w:t>
      </w:r>
    </w:p>
    <w:p>
      <w:pPr>
        <w:pStyle w:val="Heading2"/>
      </w:pPr>
      <w:r>
        <w:t>Depth-delta narrative</w:t>
      </w:r>
    </w:p>
    <w:p>
      <w:r>
        <w:t>### Trends</w:t>
      </w:r>
    </w:p>
    <w:p>
      <w:r>
        <w:t>Objective: `obj-lo2` (section `sec-a`)</w:t>
      </w:r>
    </w:p>
    <w:p>
      <w:r>
        <w:t>Depth deferred off the slide: systems trends depth</w:t>
      </w:r>
    </w:p>
    <w:p>
      <w:pPr>
        <w:pStyle w:val="Heading2"/>
      </w:pPr>
      <w:r>
        <w:t>Transcript of Record</w:t>
      </w:r>
    </w:p>
    <w:p>
      <w:r>
        <w:t>#### apc-c1m1-tejal-20260419b-motion-card-01 (verbatim)</w:t>
      </w:r>
    </w:p>
    <w:p>
      <w:r>
        <w:t>&gt; 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
      <w:r>
        <w:t>#### apc-c1m1-tejal-20260419b-motion-card-02 (verbatim)</w:t>
      </w:r>
    </w:p>
    <w:p>
      <w:r>
        <w:t>&gt; The National Academy of Medicine named this inflection point in 2019. Burnout is a systems signal — not a verdict on you. That signal is this course's starting line.</w:t>
      </w:r>
    </w:p>
    <w:p/>
    <w:p>
      <w:r>
        <w:t>#### apc-c1m1-tejal-20260419b-motion-card-03 (verbatim)</w:t>
      </w:r>
    </w:p>
    <w:p>
      <w:r>
        <w:t>&gt; 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
      <w:r>
        <w:t>#### apc-c1m1-tejal-20260419b-motion-card-04 (verbatim)</w:t>
      </w:r>
    </w:p>
    <w:p>
      <w:r>
        <w:t>&gt; 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
      <w:r>
        <w:t>#### apc-c1m1-tejal-20260419b-motion-card-05 (verbatim)</w:t>
      </w:r>
    </w:p>
    <w:p>
      <w:r>
        <w:t>&gt; Course 1 — this course — is Waypoint 1: where the gap is named, the recognition begins, and the foundation is laid right here, right now.</w:t>
      </w:r>
    </w:p>
    <w:p/>
    <w:p>
      <w:r>
        <w:t>#### apc-c1m1-tejal-20260419b-motion-card-06 (verbatim)</w:t>
      </w:r>
    </w:p>
    <w:p>
      <w:r>
        <w:t>&gt; The tangible output of this arc: an executive one-pager — your clinical innovation brief, built on evidence across four sections, ready for institutional review.</w:t>
      </w:r>
    </w:p>
    <w:p/>
    <w:p>
      <w:r>
        <w:t>#### apc-c1m1-tejal-20260419b-motion-card-07 (verbatim)</w:t>
      </w:r>
    </w:p>
    <w:p>
      <w:r>
        <w:t>&gt; 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
      <w:r>
        <w:t>#### apc-c1m1-tejal-20260419b-motion-card-08 (verbatim)</w:t>
      </w:r>
    </w:p>
    <w:p>
      <w:r>
        <w:t>&gt; 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
      <w:r>
        <w:t>#### apc-c1m1-tejal-20260419b-motion-card-09 (verbatim)</w:t>
      </w:r>
    </w:p>
    <w:p>
      <w:r>
        <w:t>&gt; Bath saw a technology gap where others saw a clinical limitation — and filed a patent that changed ophthalmology. Organizational innovators redesigned entire systems from reactive sick care to proactive health assurance. Your archetype is already in you.</w:t>
      </w:r>
    </w:p>
    <w:p/>
    <w:p>
      <w:r>
        <w:t>#### apc-c1m1-tejal-20260419b-motion-card-10 (verbatim)</w:t>
      </w:r>
    </w:p>
    <w:p>
      <w:r>
        <w:t>&gt; 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
      <w:r>
        <w:t>#### apc-c1m1-tejal-20260419b-motion-card-11 (verbatim)</w:t>
      </w:r>
    </w:p>
    <w:p>
      <w:r>
        <w:t>&gt; 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
      <w:r>
        <w:t>#### apc-c1m1-tejal-20260419b-motion-card-12 (verbatim)</w:t>
      </w:r>
    </w:p>
    <w:p>
      <w:r>
        <w:t>&gt; 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
      <w:r>
        <w:t>#### apc-c1m1-tejal-20260419b-motion-card-13 (verbatim)</w:t>
      </w:r>
    </w:p>
    <w:p>
      <w:r>
        <w:t>&gt; 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
      <w:r>
        <w:t>#### apc-c1m1-tejal-20260419b-motion-card-14 (verbatim)</w:t>
      </w:r>
    </w:p>
    <w:p>
      <w:r>
        <w:t>&gt; Part 2 opens with your first active tool: the Opportunity Diagnostic. Pressure-test the gap, size the problem, scan the landscape. The frameworks are set. The diagnosis begins now.</w:t>
      </w:r>
    </w:p>
    <w:p>
      <w:pPr>
        <w:pStyle w:val="Heading2"/>
      </w:pPr>
      <w:r>
        <w:t>Figures</w:t>
      </w:r>
    </w:p>
    <w:p>
      <w:r>
        <w:t>&lt;!-- segment:apc-c1m1-tejal-20260419b-motion-card-01 --&gt;</w:t>
      </w:r>
    </w:p>
    <w:p>
      <w:r>
        <w:t>*Figure — Stressed physician in clinical corridor pausing under EHR complexity* (source_ref: `apc-c1m1-tejal-20260419b-motion-card-01`)</w:t>
      </w:r>
    </w:p>
    <w:p>
      <w:pPr>
        <w:pStyle w:val="Heading2"/>
      </w:pPr>
      <w:r>
        <w:t>Exercises</w:t>
      </w:r>
    </w:p>
    <w:p>
      <w:r>
        <w:t>### Exercise `ex-a1`</w:t>
      </w:r>
    </w:p>
    <w:p>
      <w:r>
        <w:t>Bloom level: **analyze**</w:t>
      </w:r>
    </w:p>
    <w:p>
      <w:r>
        <w:t>Analyze</w:t>
      </w:r>
    </w:p>
    <w:p>
      <w:r>
        <w:t>Answer key (source_ref: `src-slide-02`)</w:t>
      </w:r>
    </w:p>
    <w:p>
      <w:pPr>
        <w:pStyle w:val="Heading2"/>
      </w:pPr>
      <w:r>
        <w:t>Answer Key</w:t>
      </w:r>
    </w:p>
    <w:p>
      <w:r>
        <w:t>### Answer — `ex-a1`</w:t>
      </w:r>
    </w:p>
    <w:p>
      <w:r>
        <w:t>*(worked answer pending writer; grounded by the source_ref below — source_ref: `src-slide-02`)*</w:t>
      </w:r>
    </w:p>
    <w:p>
      <w:r>
        <w:t>Answer key source_ref: `src-slide-02`</w:t>
      </w:r>
    </w:p>
    <w:p>
      <w:pPr>
        <w:pStyle w:val="Heading2"/>
      </w:pPr>
      <w:r>
        <w:t>Research Glossary</w:t>
      </w:r>
    </w:p>
    <w:p>
      <w:r>
        <w:t>*(no research-informed glossary articles recorded for this run; recorded explicitly-empty)*</w:t>
      </w:r>
    </w:p>
    <w:p>
      <w:pPr>
        <w:pStyle w:val="Heading2"/>
      </w:pPr>
      <w:r>
        <w:t>References</w:t>
      </w:r>
    </w:p>
    <w:p>
      <w:r>
        <w:t>#### Segment source-ref trace</w:t>
      </w:r>
    </w:p>
    <w:p>
      <w:r>
        <w:t>- `apc-c1m1-tejal-20260419b-motion-card-01` -&gt; source_ref `apc-c1m1-tejal-20260419b-motion-card-01`</w:t>
      </w:r>
    </w:p>
    <w:p>
      <w:r>
        <w:t>- `apc-c1m1-tejal-20260419b-motion-card-02` -&gt; source_ref `apc-c1m1-tejal-20260419b-motion-card-02`</w:t>
      </w:r>
    </w:p>
    <w:p>
      <w:r>
        <w:t>- `apc-c1m1-tejal-20260419b-motion-card-03` -&gt; source_ref `apc-c1m1-tejal-20260419b-motion-card-03`</w:t>
      </w:r>
    </w:p>
    <w:p>
      <w:r>
        <w:t>- `apc-c1m1-tejal-20260419b-motion-card-04` -&gt; source_ref `apc-c1m1-tejal-20260419b-motion-card-04`</w:t>
      </w:r>
    </w:p>
    <w:p>
      <w:r>
        <w:t>- `apc-c1m1-tejal-20260419b-motion-card-05` -&gt; source_ref `apc-c1m1-tejal-20260419b-motion-card-05`</w:t>
      </w:r>
    </w:p>
    <w:p>
      <w:r>
        <w:t>- `apc-c1m1-tejal-20260419b-motion-card-06` -&gt; source_ref `apc-c1m1-tejal-20260419b-motion-card-06`</w:t>
      </w:r>
    </w:p>
    <w:p>
      <w:r>
        <w:t>- `apc-c1m1-tejal-20260419b-motion-card-07` -&gt; source_ref `apc-c1m1-tejal-20260419b-motion-card-07`</w:t>
      </w:r>
    </w:p>
    <w:p>
      <w:r>
        <w:t>- `apc-c1m1-tejal-20260419b-motion-card-08` -&gt; source_ref `apc-c1m1-tejal-20260419b-motion-card-08`</w:t>
      </w:r>
    </w:p>
    <w:p>
      <w:r>
        <w:t>- `apc-c1m1-tejal-20260419b-motion-card-09` -&gt; source_ref `apc-c1m1-tejal-20260419b-motion-card-09`</w:t>
      </w:r>
    </w:p>
    <w:p>
      <w:r>
        <w:t>- `apc-c1m1-tejal-20260419b-motion-card-10` -&gt; source_ref `apc-c1m1-tejal-20260419b-motion-card-10`</w:t>
      </w:r>
    </w:p>
    <w:p>
      <w:r>
        <w:t>- `apc-c1m1-tejal-20260419b-motion-card-11` -&gt; source_ref `apc-c1m1-tejal-20260419b-motion-card-11`</w:t>
      </w:r>
    </w:p>
    <w:p>
      <w:r>
        <w:t>- `apc-c1m1-tejal-20260419b-motion-card-12` -&gt; source_ref `apc-c1m1-tejal-20260419b-motion-card-12`</w:t>
      </w:r>
    </w:p>
    <w:p>
      <w:r>
        <w:t>- `apc-c1m1-tejal-20260419b-motion-card-13` -&gt; source_ref `apc-c1m1-tejal-20260419b-motion-card-13`</w:t>
      </w:r>
    </w:p>
    <w:p>
      <w:r>
        <w:t>- `apc-c1m1-tejal-20260419b-motion-card-14` -&gt; source_ref `apc-c1m1-tejal-20260419b-motion-card-14`</w:t>
      </w:r>
    </w:p>
    <w:p/>
    <w:p>
      <w:r>
        <w:t>#### Cited references &amp; further reading</w:t>
      </w:r>
    </w:p>
    <w:p>
      <w:r>
        <w:t>- *(no corpus-native references supplied for this artifact)*</w:t>
      </w:r>
    </w:p>
    <w:p/>
    <w:p>
      <w:r>
        <w:t>#### Live-research cited entries (DOI)</w:t>
      </w:r>
    </w:p>
    <w:p>
      <w:r>
        <w:t>- *(no cited research entries recorded for this run; recorded explicitly-empty (corpus-native references above carry the citations))*</w:t>
      </w:r>
    </w:p>
    <w:p>
      <w:pPr>
        <w:pStyle w:val="Heading2"/>
      </w:pPr>
      <w:r>
        <w:t>Research Trends</w:t>
      </w:r>
    </w:p>
    <w:p>
      <w:r>
        <w:t>#### Research trends</w:t>
      </w:r>
    </w:p>
    <w:p/>
    <w:p>
      <w:r>
        <w:t>- Indexed literature signals continuing attention to **Switching Stay Home Instruction**, as framed by “Switching to Stay Home Instruction”. This trend claim is research-informed from the wrangled packet row — not a forecast and not a semantic claim audit.</w:t>
      </w:r>
    </w:p>
    <w:p>
      <w:r>
        <w:t xml:space="preserve">  - **Provenance:** `cite-001` · `retrieval:scite:10.1145/3368308.3415426` · tier=T4_peer_other, peer-reviewed, triangulation=single_provider, confidence=medium, reliability=0.10</w:t>
      </w:r>
    </w:p>
    <w:p/>
    <w:p>
      <w:r>
        <w:t>- Indexed literature signals continuing attention to **worked examples learning solution steps**, as framed by “The effect of worked examples on learning solution steps and knowledge transfer”. This trend claim is research-informed from the wrangled packet row — not a forecast and not a semantic claim audit.</w:t>
      </w:r>
    </w:p>
    <w:p>
      <w:r>
        <w:t xml:space="preserve">  - **Provenance:** `cite-002` · `retrieval:consensus:8fba3910b73754f0b192c1ba93562d5a` · tier=T4_peer_other, peer-reviewed, triangulation=dual_provider, confidence=high, reliability=0.65</w:t>
      </w:r>
    </w:p>
    <w:p/>
    <w:p>
      <w:r>
        <w:t>- Indexed literature signals continuing attention to **Instruction-first problem-solving-first approaches alternativ…**, as framed by “Instruction-first and problem-solving-first approaches: alternative pathways to learning complex tasks”. This trend claim is research-informed from the wrangled packet row — not a forecast and not a semantic claim audit.</w:t>
      </w:r>
    </w:p>
    <w:p>
      <w:r>
        <w:t xml:space="preserve">  - **Provenance:** `cite-003` · `retrieval:consensus:cc331e0c35615fe6baafd9f907dea390` · tier=T4_peer_other, peer-reviewed, triangulation=dual_provider, confidence=high, reliability=0.85</w:t>
      </w:r>
    </w:p>
    <w:p/>
    <w:p>
      <w:r>
        <w:t>- Indexed literature signals continuing attention to **Worked Examples Explanation Types Learner**, as framed by “Effects of Worked Examples with Explanation Types and Learner Motivation on Cognitive Load and Programming Problem-Solving Performance”. This trend claim is research-informed from the wrangled packet row — not a forecast and not a semantic claim audit.</w:t>
      </w:r>
    </w:p>
    <w:p>
      <w:r>
        <w:t xml:space="preserve">  - **Provenance:** `cite-004` · `retrieval:consensus:529da762ed9552fa89cb980fb1b71160` · tier=T4_peer_other, peer-reviewed, triangulation=dual_provider, confidence=high, reliability=0.50</w:t>
      </w:r>
    </w:p>
    <w:p/>
    <w:p>
      <w:r>
        <w:t>- Indexed literature signals continuing attention to **Reducing Cognitive Load through Worked**, as framed by “Reducing Cognitive Load through the Worked Example Effect within a Serious Game Environment”. This trend claim is research-informed from the wrangled packet row — not a forecast and not a semantic claim audit.</w:t>
      </w:r>
    </w:p>
    <w:p>
      <w:r>
        <w:t xml:space="preserve">  - **Provenance:** `cite-005` · `retrieval:consensus:f3ddb82c35415e1faa35cdc0a7c07655` · tier=T4_peer_other, peer-reviewed, triangulation=dual_provider, confidence=high, reliability=0.50</w:t>
      </w:r>
    </w:p>
    <w:p/>
    <w:p>
      <w:r>
        <w:t>#### Hot topics</w:t>
      </w:r>
    </w:p>
    <w:p/>
    <w:p>
      <w:r>
        <w:t>*Bounded callout from wrangled evidence — not trend-forecasting theater.*</w:t>
      </w:r>
    </w:p>
    <w:p/>
    <w:p>
      <w:r>
        <w:t>- **Instruction-first problem-solving-first approaches alternativ…** (confidence=high) — &lt;!-- TRENDS-WRITER-REQUIRED --&gt; Bounded hot-topic callout grounded in `cite-003` (tier=T4_peer_other, triangulation=dual_provider, confidence=high). Not a forecast. Supporting: `cite-003`; source_refs: `retrieval:consensus:cc331e0c35615fe6baafd9f907dea390`.</w:t>
      </w:r>
    </w:p>
    <w:p>
      <w:r>
        <w:t>- **worked examples learning solution steps** (confidence=high) — &lt;!-- TRENDS-WRITER-REQUIRED --&gt; Bounded hot-topic callout grounded in `cite-002` (tier=T4_peer_other, triangulation=dual_provider, confidence=high). Not a forecast. Supporting: `cite-002`; source_refs: `retrieval:consensus:8fba3910b73754f0b192c1ba93562d5a`.</w:t>
      </w:r>
    </w:p>
    <w:p>
      <w:r>
        <w:t>- **Worked Examples Explanation Types Learner** (confidence=high) — &lt;!-- TRENDS-WRITER-REQUIRED --&gt; Bounded hot-topic callout grounded in `cite-004` (tier=T4_peer_other, triangulation=dual_provider, confidence=high). Not a forecast. Supporting: `cite-004`; source_refs: `retrieval:consensus:529da762ed9552fa89cb980fb1b71160`.</w:t>
      </w:r>
    </w:p>
    <w:p/>
    <w:p>
      <w:r>
        <w:t>#### Rejected / unusable topics</w:t>
      </w:r>
    </w:p>
    <w:p>
      <w:r>
        <w:t>- **Fabricated quantum nursing forecast 2099** — UNUSABLE: model-prior / operator-injected topic with no matching wrangled research-packet title or source_ref. Hot-topics must be packet-grounded — not forecasting theater.</w:t>
      </w:r>
    </w:p>
    <w:p>
      <w:r>
        <w:drawing>
          <wp:inline xmlns:a="http://schemas.openxmlformats.org/drawingml/2006/main" xmlns:pic="http://schemas.openxmlformats.org/drawingml/2006/picture">
            <wp:extent cx="30480000" cy="17145000"/>
            <wp:docPr id="1" name="Picture 1"/>
            <wp:cNvGraphicFramePr>
              <a:graphicFrameLocks noChangeAspect="1"/>
            </wp:cNvGraphicFramePr>
            <a:graphic>
              <a:graphicData uri="http://schemas.openxmlformats.org/drawingml/2006/picture">
                <pic:pic>
                  <pic:nvPicPr>
                    <pic:cNvPr id="0" name="apc-c1m1-tejal-20260419b-motion_slide_01.png"/>
                    <pic:cNvPicPr/>
                  </pic:nvPicPr>
                  <pic:blipFill>
                    <a:blip r:embed="rId9"/>
                    <a:stretch>
                      <a:fillRect/>
                    </a:stretch>
                  </pic:blipFill>
                  <pic:spPr>
                    <a:xfrm>
                      <a:off x="0" y="0"/>
                      <a:ext cx="30480000" cy="17145000"/>
                    </a:xfrm>
                    <a:prstGeom prst="rect"/>
                  </pic:spPr>
                </pic:pic>
              </a:graphicData>
            </a:graphic>
          </wp:inline>
        </w:drawing>
      </w:r>
    </w:p>
    <w:p>
      <w:r>
        <w:t>Figure — Stressed physician in clinical corridor pausing under EHR complexity (source_ref: apc-c1m1-tejal-20260419b-motion-card-01)</w:t>
      </w:r>
    </w:p>
    <w:p>
      <w:pPr>
        <w:pStyle w:val="Heading2"/>
      </w:pPr>
      <w:r>
        <w:t>Human Review Checkpoint</w:t>
      </w:r>
    </w:p>
    <w:p>
      <w:r>
        <w:t>- [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