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Workbook: intrapreneur-macro-forces-case-for-change</w:t>
      </w:r>
    </w:p>
    <w:p>
      <w:pPr>
        <w:pStyle w:val="Heading2"/>
      </w:pPr>
      <w:r>
        <w:t>Pre-work</w:t>
      </w:r>
    </w:p>
    <w:p>
      <w:r>
        <w:t>Before you watch the recorded presentation</w:t>
      </w:r>
    </w:p>
    <w:p>
      <w:pPr>
        <w:pStyle w:val="Heading2"/>
      </w:pPr>
      <w:r>
        <w:t>Scene</w:t>
      </w:r>
    </w:p>
    <w:p>
      <w:r>
        <w:t>As an attending physician and clinician managing a complex workflow, you notice a recurring delay in patient transport; according to the modern Clinician's Dilemma, the most likely barrier preventing you from solving this is a leadership gap—unclear cross-department ownership and decision rights.</w:t>
      </w:r>
    </w:p>
    <w:p>
      <w:pPr>
        <w:pStyle w:val="Heading2"/>
      </w:pPr>
      <w:r>
        <w:t>Friction Scale</w:t>
      </w:r>
    </w:p>
    <w:p>
      <w:r>
        <w:t>Take about 20 seconds.</w:t>
      </w:r>
    </w:p>
    <w:p>
      <w:r>
        <w:t>Rate this friction from 0 to 10.</w:t>
      </w:r>
    </w:p>
    <w:p>
      <w:pPr>
        <w:pStyle w:val="ListBullet"/>
      </w:pPr>
      <w:r>
        <w:rPr>
          <w:b/>
        </w:rPr>
        <w:t>0</w:t>
      </w:r>
      <w:r>
        <w:t xml:space="preserve"> — present, but not getting in the way.</w:t>
      </w:r>
    </w:p>
    <w:p>
      <w:pPr>
        <w:pStyle w:val="ListBullet"/>
      </w:pPr>
      <w:r>
        <w:rPr>
          <w:b/>
        </w:rPr>
        <w:t>10</w:t>
      </w:r>
      <w:r>
        <w:t xml:space="preserve"> — repeatedly blocks the work.</w:t>
      </w:r>
    </w:p>
    <w:p>
      <w:r>
        <w:rPr>
          <w:b/>
        </w:rPr>
        <w:t>Locate it:</w:t>
      </w:r>
      <w:r>
        <w:t xml:space="preserve"> Locate where it shows up.</w:t>
      </w:r>
    </w:p>
    <w:p>
      <w:r>
        <w:rPr>
          <w:b/>
        </w:rPr>
        <w:t>One honest line:</w:t>
      </w:r>
      <w:r>
        <w:t xml:space="preserve"> Write one honest line.</w:t>
      </w:r>
    </w:p>
    <w:p>
      <w:r>
        <w:t>Keep this mark and line for review after the presentation.</w:t>
      </w:r>
    </w:p>
    <w:p>
      <w:pPr>
        <w:pStyle w:val="Heading2"/>
      </w:pPr>
      <w:r>
        <w:t>Promise</w:t>
      </w:r>
    </w:p>
    <w:p>
      <w:pPr>
        <w:pStyle w:val="ListBullet"/>
      </w:pPr>
      <w:r>
        <w:t>I will distinguish workflow symptoms from system-design causes and identify a first leadership move.</w:t>
      </w:r>
    </w:p>
    <w:p>
      <w:pPr>
        <w:pStyle w:val="Heading2"/>
      </w:pPr>
      <w:r>
        <w:t>Overview</w:t>
      </w:r>
    </w:p>
    <w:p>
      <w:r>
        <w:t>Unit ID: u-intrapreneur-01</w:t>
      </w:r>
    </w:p>
    <w:p>
      <w:r>
        <w:t>Fulfills target: u-intrapreneur-01@1</w:t>
      </w:r>
    </w:p>
    <w:p>
      <w:r>
        <w:t>This presentation-support workbook carries pre-work, guided practice, exercises, and citations.</w:t>
      </w:r>
    </w:p>
    <w:p>
      <w:r>
        <w:t>Use this workbook before and alongside the presentation: complete the pre-work, work the self-check exercises, and follow the cited sources. Traceable Deep Dive read-prose arrives in Story 37.2a and is not claimed here.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b/>
        </w:rPr>
        <w:t>`obj-macro-trends`</w:t>
      </w:r>
      <w:r>
        <w:t xml:space="preserve"> — _understand_: (objective statement unresolved for obj-macro-trends — no enrichment overlay resolved this objective on this run) (served by section(s): sec-macro)</w:t>
      </w:r>
    </w:p>
    <w:p>
      <w:pPr>
        <w:pStyle w:val="ListBullet"/>
      </w:pPr>
      <w:r>
        <w:rPr>
          <w:b/>
        </w:rPr>
        <w:t>`obj-root-cause`</w:t>
      </w:r>
      <w:r>
        <w:t xml:space="preserve"> — _understand_: (objective statement unresolved for obj-root-cause — no enrichment overlay resolved this objective on this run) (served by section(s): sec-change)</w:t>
      </w:r>
    </w:p>
    <w:p>
      <w:pPr>
        <w:pStyle w:val="Heading2"/>
      </w:pPr>
      <w:r>
        <w:t>Depth-delta narrative</w:t>
      </w:r>
    </w:p>
    <w:p>
      <w:pPr>
        <w:pStyle w:val="Heading3"/>
      </w:pPr>
      <w:r>
        <w:t>Macro forces reshaping the operating reality</w:t>
      </w:r>
    </w:p>
    <w:p>
      <w:r>
        <w:t>Objective: obj-macro-trends (section sec-macro)</w:t>
      </w:r>
    </w:p>
    <w:p>
      <w:r>
        <w:t>Depth deferred off the slide: The system-design reframe deferred off the glance slide: the workarounds clinicians invent to survive administrative friction are precisely the redesignable innovation surface.</w:t>
      </w:r>
    </w:p>
    <w:p>
      <w:r>
        <w:t>Walk the reader from structural reality to the reframe that administrative friction is a targetable innovation opportunity.</w:t>
      </w:r>
    </w:p>
    <w:p>
      <w:pPr>
        <w:pStyle w:val="Heading3"/>
      </w:pPr>
      <w:r>
        <w:t>The case for change (root-cause of failure)</w:t>
      </w:r>
    </w:p>
    <w:p>
      <w:r>
        <w:t>Objective: obj-root-cause (section sec-change)</w:t>
      </w:r>
    </w:p>
    <w:p>
      <w:r>
        <w:t>Depth deferred off the slide: Why the leadership gap is a root-cause of systemic failure rather than a motivation deficit: adoption of clinical tooling outruns the governance training that would make it safe.</w:t>
      </w:r>
    </w:p>
    <w:p>
      <w:r>
        <w:t>Frame each failure as a structural root-cause analysis.</w:t>
      </w:r>
    </w:p>
    <w:p>
      <w:pPr>
        <w:pStyle w:val="Heading2"/>
      </w:pPr>
      <w:r>
        <w:t>Exercises</w:t>
      </w:r>
    </w:p>
    <w:p>
      <w:pPr>
        <w:pStyle w:val="Heading3"/>
      </w:pPr>
      <w:r>
        <w:t>Exercise `ex-macro-1`</w:t>
      </w:r>
    </w:p>
    <w:p>
      <w:r>
        <w:t xml:space="preserve">Bloom level: </w:t>
      </w:r>
      <w:r>
        <w:rPr>
          <w:b/>
        </w:rPr>
        <w:t>analyze</w:t>
      </w:r>
    </w:p>
    <w:p>
      <w:r>
        <w:t>Analyze administrative friction as a systems signal.</w:t>
      </w:r>
    </w:p>
    <w:p>
      <w:r>
        <w:t>Answer key (source_ref: src-slide-02)</w:t>
      </w:r>
    </w:p>
    <w:p>
      <w:pPr>
        <w:pStyle w:val="Heading3"/>
      </w:pPr>
      <w:r>
        <w:t>Exercise `ex-macro-2`</w:t>
      </w:r>
    </w:p>
    <w:p>
      <w:r>
        <w:t xml:space="preserve">Bloom level: </w:t>
      </w:r>
      <w:r>
        <w:rPr>
          <w:b/>
        </w:rPr>
        <w:t>understand</w:t>
      </w:r>
    </w:p>
    <w:p>
      <w:r>
        <w:t>Explain why burnout is a system-design problem.</w:t>
      </w:r>
    </w:p>
    <w:p>
      <w:r>
        <w:t>Answer key (source_ref: src-slide-02)</w:t>
      </w:r>
    </w:p>
    <w:p>
      <w:pPr>
        <w:pStyle w:val="Heading3"/>
      </w:pPr>
      <w:r>
        <w:t>Exercise `ex-change-1`</w:t>
      </w:r>
    </w:p>
    <w:p>
      <w:r>
        <w:t xml:space="preserve">Bloom level: </w:t>
      </w:r>
      <w:r>
        <w:rPr>
          <w:b/>
        </w:rPr>
        <w:t>evaluate</w:t>
      </w:r>
    </w:p>
    <w:p>
      <w:r>
        <w:t>Evaluate a systemic failure via root-cause analysis.</w:t>
      </w:r>
    </w:p>
    <w:p>
      <w:r>
        <w:t>Answer key (source_ref: src-slide-05)</w:t>
      </w:r>
    </w:p>
    <w:p>
      <w:pPr>
        <w:pStyle w:val="Heading2"/>
      </w:pPr>
      <w:r>
        <w:t>Answer Key</w:t>
      </w:r>
    </w:p>
    <w:p>
      <w:pPr>
        <w:pStyle w:val="Heading3"/>
      </w:pPr>
      <w:r>
        <w:t>Answer — `ex-macro-1`</w:t>
      </w:r>
    </w:p>
    <w:p>
      <w:r>
        <w:t>(worked answer pending writer; grounded by the source_ref below — source_ref: src-slide-02)</w:t>
      </w:r>
    </w:p>
    <w:p>
      <w:r>
        <w:t>Answer key source_ref: src-slide-02</w:t>
      </w:r>
    </w:p>
    <w:p>
      <w:pPr>
        <w:pStyle w:val="Heading3"/>
      </w:pPr>
      <w:r>
        <w:t>Answer — `ex-macro-2`</w:t>
      </w:r>
    </w:p>
    <w:p>
      <w:r>
        <w:t>(worked answer pending writer; grounded by the source_ref below — source_ref: src-slide-02)</w:t>
      </w:r>
    </w:p>
    <w:p>
      <w:r>
        <w:t>Answer key source_ref: src-slide-02</w:t>
      </w:r>
    </w:p>
    <w:p>
      <w:pPr>
        <w:pStyle w:val="Heading3"/>
      </w:pPr>
      <w:r>
        <w:t>Answer — `ex-change-1`</w:t>
      </w:r>
    </w:p>
    <w:p>
      <w:r>
        <w:t>(worked answer pending writer; grounded by the source_ref below — source_ref: src-slide-05)</w:t>
      </w:r>
    </w:p>
    <w:p>
      <w:r>
        <w:t>Answer key source_ref: src-slide-05</w:t>
      </w:r>
    </w:p>
    <w:p>
      <w:pPr>
        <w:pStyle w:val="Heading2"/>
      </w:pPr>
      <w:r>
        <w:t>Research Glossary</w:t>
      </w:r>
    </w:p>
    <w:p>
      <w:r>
        <w:t>(no usable research packet rows for glossary; recorded explicitly-empty (encyclopedia articles are not fabricated))</w:t>
      </w:r>
    </w:p>
    <w:p>
      <w:pPr>
        <w:pStyle w:val="Heading2"/>
      </w:pPr>
      <w:r>
        <w:t>References</w:t>
      </w:r>
    </w:p>
    <w:p>
      <w:pPr>
        <w:pStyle w:val="Heading4"/>
      </w:pPr>
      <w:r>
        <w:t>Segment source-ref trace</w:t>
      </w:r>
    </w:p>
    <w:p>
      <w:pPr>
        <w:pStyle w:val="ListBullet"/>
      </w:pPr>
      <w:r>
        <w:t>seg-01 -&gt; source_ref src-slide-01</w:t>
      </w:r>
    </w:p>
    <w:p>
      <w:pPr>
        <w:pStyle w:val="ListBullet"/>
      </w:pPr>
      <w:r>
        <w:t>seg-02 -&gt; source_ref src-slide-02</w:t>
      </w:r>
    </w:p>
    <w:p>
      <w:pPr>
        <w:pStyle w:val="ListBullet"/>
      </w:pPr>
      <w:r>
        <w:t>seg-05 -&gt; source_ref src-slide-05</w:t>
      </w:r>
    </w:p>
    <w:p>
      <w:pPr>
        <w:pStyle w:val="Heading4"/>
      </w:pPr>
      <w:r>
        <w:t>Cited references &amp; further reading</w:t>
      </w:r>
    </w:p>
    <w:p>
      <w:pPr>
        <w:pStyle w:val="ListBullet"/>
      </w:pPr>
      <w:r>
        <w:t>(no corpus-native references supplied for this artifact)</w:t>
      </w:r>
    </w:p>
    <w:p>
      <w:pPr>
        <w:pStyle w:val="Heading4"/>
      </w:pPr>
      <w:r>
        <w:t>Live-research cited entries (DOI)</w:t>
      </w:r>
    </w:p>
    <w:p>
      <w:pPr>
        <w:pStyle w:val="ListBullet"/>
      </w:pPr>
      <w:r>
        <w:t>(no cited research entries recorded on this run's research contribution (recorded explicitly-empty; no DOI'd entries fabricated))</w:t>
      </w:r>
    </w:p>
    <w:p>
      <w:pPr>
        <w:pStyle w:val="Heading2"/>
      </w:pPr>
      <w:r>
        <w:t>Research Trends</w:t>
      </w:r>
    </w:p>
    <w:p>
      <w:r>
        <w:t>(no usable research packet rows for trends/hot-topics; recorded explicitly-empty (topics are not fabricated))</w:t>
      </w:r>
    </w:p>
    <w:p>
      <w:pPr>
        <w:pStyle w:val="Heading2"/>
      </w:pPr>
      <w:r>
        <w:t>Human Review Checkpoint</w:t>
      </w:r>
    </w:p>
    <w:p>
      <w:pPr>
        <w:pStyle w:val="ListBullet"/>
      </w:pPr>
      <w:r>
        <w:t>[ ] Irene workbook review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