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Workbook: This 18-unit Week 3 recording plan keeps the original 12 storyboard beats while adding six low-narration interstitials…</w:t>
      </w:r>
    </w:p>
    <w:p>
      <w:pPr>
        <w:pStyle w:val="Heading2"/>
      </w:pPr>
      <w:r>
        <w:t>Overview</w:t>
      </w:r>
    </w:p>
    <w:p>
      <w:r>
        <w:t>Unit ID: u01</w:t>
      </w:r>
    </w:p>
    <w:p>
      <w:r>
        <w:t>Fulfills target: u01@1</w:t>
      </w:r>
    </w:p>
    <w:p>
      <w:r>
        <w:t>This workbook is the read-in-depth companion to the narrated deck: it carries the transcript, the fuller narrative deferred off the glance-slides, the exercises, and the citations.</w:t>
      </w:r>
    </w:p>
    <w:p>
      <w:r>
        <w:t>How to use this workbook with the deck: watch the glance-deck for the perception-tuned claim per card, then read here for the deferred depth, work the self-check exercises, and follow the further reading into primary sources. The deck carries the glance channel; this workbook carries the read channel (dual-coding partners).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rPr>
          <w:b/>
        </w:rPr>
        <w:t>`u03`</w:t>
      </w:r>
      <w:r>
        <w:t xml:space="preserve"> — _understand_: (objective statement unresolved for u03 — no enrichment overlay resolved this objective on this run) (served by section(s): sec-alignment-chain-check)</w:t>
      </w:r>
    </w:p>
    <w:p>
      <w:pPr>
        <w:pStyle w:val="ListBullet"/>
      </w:pPr>
      <w:r>
        <w:rPr>
          <w:b/>
        </w:rPr>
        <w:t>`u06`</w:t>
      </w:r>
      <w:r>
        <w:t xml:space="preserve"> — _understand_: (objective statement unresolved for u06 — no enrichment overlay resolved this objective on this run) (served by section(s): sec-criteria-and-evidence)</w:t>
      </w:r>
    </w:p>
    <w:p>
      <w:pPr>
        <w:pStyle w:val="ListBullet"/>
      </w:pPr>
      <w:r>
        <w:rPr>
          <w:b/>
        </w:rPr>
        <w:t>`u10`</w:t>
      </w:r>
      <w:r>
        <w:t xml:space="preserve"> — _understand_: (objective statement unresolved for u10 — no enrichment overlay resolved this objective on this run) (served by section(s): sec-sequence-modality-register)</w:t>
      </w:r>
    </w:p>
    <w:p>
      <w:pPr>
        <w:pStyle w:val="ListBullet"/>
      </w:pPr>
      <w:r>
        <w:rPr>
          <w:b/>
        </w:rPr>
        <w:t>`u17`</w:t>
      </w:r>
      <w:r>
        <w:t xml:space="preserve"> — _understand_: (objective statement unresolved for u17 — no enrichment overlay resolved this objective on this run) (served by section(s): sec-review-and-submit)</w:t>
      </w:r>
    </w:p>
    <w:p>
      <w:pPr>
        <w:pStyle w:val="Heading2"/>
      </w:pPr>
      <w:r>
        <w:t>Transcript-narrative</w:t>
      </w:r>
    </w:p>
    <w:p>
      <w:pPr>
        <w:pStyle w:val="Heading4"/>
      </w:pPr>
      <w:r>
        <w:t>u01</w:t>
      </w:r>
    </w:p>
    <w:p>
      <w:r>
        <w:t>Open the Week 3 design task. Week 3 connects objectives and evidence to a lesson sequence and four planned components.</w:t>
      </w:r>
    </w:p>
    <w:p>
      <w:pPr>
        <w:pStyle w:val="Heading4"/>
      </w:pPr>
      <w:r>
        <w:t>u02</w:t>
      </w:r>
    </w:p>
    <w:p>
      <w:r>
        <w:t>Keep one focal lesson in view. The focal 55-minute lesson sits between prerequisite learning and later application. Only this lesson is designed in detail.</w:t>
      </w:r>
    </w:p>
    <w:p>
      <w:pPr>
        <w:pStyle w:val="Heading4"/>
      </w:pPr>
      <w:r>
        <w:t>u03</w:t>
      </w:r>
    </w:p>
    <w:p>
      <w:r>
        <w:t>Trace the alignment chain. A conversation objective requires an observed conversation, supported by rehearsal and feedback that leads to another attempt.</w:t>
      </w:r>
    </w:p>
    <w:p>
      <w:pPr>
        <w:pStyle w:val="Heading4"/>
      </w:pPr>
      <w:r>
        <w:t>u04</w:t>
      </w:r>
    </w:p>
    <w:p>
      <w:r>
        <w:t>Evidence must reveal the target performance</w:t>
      </w:r>
    </w:p>
    <w:p>
      <w:pPr>
        <w:pStyle w:val="Heading4"/>
      </w:pPr>
      <w:r>
        <w:t>u05</w:t>
      </w:r>
    </w:p>
    <w:p>
      <w:r>
        <w:t>Practice and feedback prepare another attempt</w:t>
      </w:r>
    </w:p>
    <w:p>
      <w:pPr>
        <w:pStyle w:val="Heading4"/>
      </w:pPr>
      <w:r>
        <w:t>u06</w:t>
      </w:r>
    </w:p>
    <w:p>
      <w:r>
        <w:t>Make success criteria unambiguous. Success requires four of five communication indicators and both safety checks. Communication points cannot compensate for a failed safety check.</w:t>
      </w:r>
    </w:p>
    <w:p>
      <w:pPr>
        <w:pStyle w:val="Heading4"/>
      </w:pPr>
      <w:r>
        <w:t>u07</w:t>
      </w:r>
    </w:p>
    <w:p>
      <w:r>
        <w:t>Separate indicators from mandatory checks</w:t>
      </w:r>
    </w:p>
    <w:p>
      <w:pPr>
        <w:pStyle w:val="Heading4"/>
      </w:pPr>
      <w:r>
        <w:t>u08</w:t>
      </w:r>
    </w:p>
    <w:p>
      <w:r>
        <w:t>Choose evidence that reveals the capability. An exchange with a new participant preference reveals responsive performance; a confidence rating and outline serve other purposes.</w:t>
      </w:r>
    </w:p>
    <w:p>
      <w:pPr>
        <w:pStyle w:val="Heading4"/>
      </w:pPr>
      <w:r>
        <w:t>u09</w:t>
      </w:r>
    </w:p>
    <w:p>
      <w:r>
        <w:t>Put feedback to work. The first attempt leaves follow-up vague. Feedback asks who will act and when. The retry states an owner, action, time, and confirmation question.</w:t>
      </w:r>
    </w:p>
    <w:p>
      <w:pPr>
        <w:pStyle w:val="Heading4"/>
      </w:pPr>
      <w:r>
        <w:t>u10</w:t>
      </w:r>
    </w:p>
    <w:p>
      <w:r>
        <w:t>Give each phase a learning purpose. The 55-minute example includes preparation, modeling, practice, retry and final conversation evidence, followed by note practice and assessment plus transfer.</w:t>
      </w:r>
    </w:p>
    <w:p>
      <w:pPr>
        <w:pStyle w:val="Heading4"/>
      </w:pPr>
      <w:r>
        <w:t>u11</w:t>
      </w:r>
    </w:p>
    <w:p>
      <w:r>
        <w:t>Purpose beats for prepare, model, practice, retry</w:t>
      </w:r>
    </w:p>
    <w:p>
      <w:pPr>
        <w:pStyle w:val="Heading4"/>
      </w:pPr>
      <w:r>
        <w:t>u12</w:t>
      </w:r>
    </w:p>
    <w:p>
      <w:r>
        <w:t>Final evidence and transfer stay distinct</w:t>
      </w:r>
    </w:p>
    <w:p>
      <w:pPr>
        <w:pStyle w:val="Heading4"/>
      </w:pPr>
      <w:r>
        <w:t>u13</w:t>
      </w:r>
    </w:p>
    <w:p>
      <w:r>
        <w:t>Choose modality for its instructional consequence. Live interaction supports contingent response. Asynchronous drafting supports reflection. Access adjustments preserve the criteria while changing participation conditions.</w:t>
      </w:r>
    </w:p>
    <w:p>
      <w:pPr>
        <w:pStyle w:val="Heading4"/>
      </w:pPr>
      <w:r>
        <w:t>u14</w:t>
      </w:r>
    </w:p>
    <w:p>
      <w:r>
        <w:t>Give the four components distinct jobs. Four components serve complementary purposes inside one lesson: live rehearsal, branching practice, performance assessment and feedback, and independent preparation.</w:t>
      </w:r>
    </w:p>
    <w:p>
      <w:pPr>
        <w:pStyle w:val="Heading4"/>
      </w:pPr>
      <w:r>
        <w:t>u15</w:t>
      </w:r>
    </w:p>
    <w:p>
      <w:r>
        <w:t>Register plans honestly. The Week 3 component register contains four planned entries, each with an objective, learner action, function, intended location, next step, and access commitment.</w:t>
      </w:r>
    </w:p>
    <w:p>
      <w:pPr>
        <w:pStyle w:val="Heading4"/>
      </w:pPr>
      <w:r>
        <w:t>u16</w:t>
      </w:r>
    </w:p>
    <w:p>
      <w:r>
        <w:t>A planned row is a commitment, not a claim</w:t>
      </w:r>
    </w:p>
    <w:p>
      <w:pPr>
        <w:pStyle w:val="Heading4"/>
      </w:pPr>
      <w:r>
        <w:t>u17</w:t>
      </w:r>
    </w:p>
    <w:p>
      <w:r>
        <w:t>Ask for feedback on one consequential decision. A reviewer links an observation to its consequence and a next move. The designer decides how to respond and updates the Blueprint.</w:t>
      </w:r>
    </w:p>
    <w:p>
      <w:pPr>
        <w:pStyle w:val="Heading4"/>
      </w:pPr>
      <w:r>
        <w:t>u18</w:t>
      </w:r>
    </w:p>
    <w:p>
      <w:r>
        <w:t>Leave with a coherent Week 3 Blueprint. Week 3 ends with completed alignment and sequence, four planned components, and one consequential review question in the same cumulative Blueprint.</w:t>
      </w:r>
    </w:p>
    <w:p>
      <w:pPr>
        <w:pStyle w:val="Heading2"/>
      </w:pPr>
      <w:r>
        <w:t>Depth-delta narrative</w:t>
      </w:r>
    </w:p>
    <w:p>
      <w:pPr>
        <w:pStyle w:val="Heading3"/>
      </w:pPr>
      <w:r>
        <w:t>Alignment-chain check for one focal objective</w:t>
      </w:r>
    </w:p>
    <w:p>
      <w:r>
        <w:t>Objective: u03 (section sec-alignment-chain-check)</w:t>
      </w:r>
    </w:p>
    <w:p>
      <w:r>
        <w:t>Depth deferred off the slide: A guided workspace where designers trace objective, evidence, practice, feedback, retry, access path, and modality implications for one objective in their own Blueprint.</w:t>
      </w:r>
    </w:p>
    <w:p>
      <w:r>
        <w:t>Give designers a slower companion to the alignment-chain slides so they can test one objective in their own Blueprint without overloading the recording.</w:t>
      </w:r>
    </w:p>
    <w:p>
      <w:pPr>
        <w:pStyle w:val="Heading3"/>
      </w:pPr>
      <w:r>
        <w:t>Criteria that two reviewers can interpret consistently</w:t>
      </w:r>
    </w:p>
    <w:p>
      <w:r>
        <w:t>Objective: u06 (section sec-criteria-and-evidence)</w:t>
      </w:r>
    </w:p>
    <w:p>
      <w:r>
        <w:t>Depth deferred off the slide: A criteria-writing worksheet that separates communication indicators from mandatory safety checks and asks designers to identify what cannot be compensated for by other strengths.</w:t>
      </w:r>
    </w:p>
    <w:p>
      <w:r>
        <w:t>Move the exact scoring logic out of narration and into a usable review surface for designers' own lesson criteria.</w:t>
      </w:r>
    </w:p>
    <w:p>
      <w:pPr>
        <w:pStyle w:val="Heading3"/>
      </w:pPr>
      <w:r>
        <w:t>Sequence, modality, and planned component register</w:t>
      </w:r>
    </w:p>
    <w:p>
      <w:r>
        <w:t>Objective: u10 (section sec-sequence-modality-register)</w:t>
      </w:r>
    </w:p>
    <w:p>
      <w:r>
        <w:t>Depth deferred off the slide: A planning table where designers describe each phase purpose, mark live or asynchronous with an instructional reason, and draft four planned Panel 5 rows with access commitments.</w:t>
      </w:r>
    </w:p>
    <w:p>
      <w:r>
        <w:t>Provide the read-in-depth partner for the later planning slides so the recording can stay concise while the workbook carries the actual drafting surface.</w:t>
      </w:r>
    </w:p>
    <w:p>
      <w:pPr>
        <w:pStyle w:val="Heading3"/>
      </w:pPr>
      <w:r>
        <w:t>One consequential review question and final Blueprint check</w:t>
      </w:r>
    </w:p>
    <w:p>
      <w:r>
        <w:t>Objective: u17 (section sec-review-and-submit)</w:t>
      </w:r>
    </w:p>
    <w:p>
      <w:r>
        <w:t>Depth deferred off the slide: A short checklist for identifying one weak connection, linking observation to consequence and next move, and then checking the cumulative Blueprint before submission.</w:t>
      </w:r>
    </w:p>
    <w:p>
      <w:r>
        <w:t>Close the workbook with a practical ratification surface that mirrors the recording's final Blueprint-readiness check.</w:t>
      </w:r>
    </w:p>
    <w:p>
      <w:pPr>
        <w:pStyle w:val="Heading2"/>
      </w:pPr>
      <w:r>
        <w:t>Transcript of Record</w:t>
      </w:r>
    </w:p>
    <w:p>
      <w:pPr>
        <w:pStyle w:val="Heading4"/>
      </w:pPr>
      <w:r>
        <w:t>u01 (verbatim)</w:t>
      </w:r>
    </w:p>
    <w:p>
      <w:r>
        <w:t>Open the Week 3 design task. Week 3 connects objectives and evidence to a lesson sequence and four planned components.</w:t>
      </w:r>
    </w:p>
    <w:p>
      <w:pPr>
        <w:pStyle w:val="Heading4"/>
      </w:pPr>
      <w:r>
        <w:t>u02 (verbatim)</w:t>
      </w:r>
    </w:p>
    <w:p>
      <w:r>
        <w:t>Keep one focal lesson in view. The focal 55-minute lesson sits between prerequisite learning and later application. Only this lesson is designed in detail.</w:t>
      </w:r>
    </w:p>
    <w:p>
      <w:pPr>
        <w:pStyle w:val="Heading4"/>
      </w:pPr>
      <w:r>
        <w:t>u03 (verbatim)</w:t>
      </w:r>
    </w:p>
    <w:p>
      <w:r>
        <w:t>Trace the alignment chain. A conversation objective requires an observed conversation, supported by rehearsal and feedback that leads to another attempt.</w:t>
      </w:r>
    </w:p>
    <w:p>
      <w:pPr>
        <w:pStyle w:val="Heading4"/>
      </w:pPr>
      <w:r>
        <w:t>u04 (verbatim)</w:t>
      </w:r>
    </w:p>
    <w:p>
      <w:r>
        <w:t>Evidence must reveal the target performance</w:t>
      </w:r>
    </w:p>
    <w:p>
      <w:pPr>
        <w:pStyle w:val="Heading4"/>
      </w:pPr>
      <w:r>
        <w:t>u05 (verbatim)</w:t>
      </w:r>
    </w:p>
    <w:p>
      <w:r>
        <w:t>Practice and feedback prepare another attempt</w:t>
      </w:r>
    </w:p>
    <w:p>
      <w:pPr>
        <w:pStyle w:val="Heading4"/>
      </w:pPr>
      <w:r>
        <w:t>u06 (verbatim)</w:t>
      </w:r>
    </w:p>
    <w:p>
      <w:r>
        <w:t>Make success criteria unambiguous. Success requires four of five communication indicators and both safety checks. Communication points cannot compensate for a failed safety check.</w:t>
      </w:r>
    </w:p>
    <w:p>
      <w:pPr>
        <w:pStyle w:val="Heading4"/>
      </w:pPr>
      <w:r>
        <w:t>u07 (verbatim)</w:t>
      </w:r>
    </w:p>
    <w:p>
      <w:r>
        <w:t>Separate indicators from mandatory checks</w:t>
      </w:r>
    </w:p>
    <w:p>
      <w:pPr>
        <w:pStyle w:val="Heading4"/>
      </w:pPr>
      <w:r>
        <w:t>u08 (verbatim)</w:t>
      </w:r>
    </w:p>
    <w:p>
      <w:r>
        <w:t>Choose evidence that reveals the capability. An exchange with a new participant preference reveals responsive performance; a confidence rating and outline serve other purposes.</w:t>
      </w:r>
    </w:p>
    <w:p>
      <w:pPr>
        <w:pStyle w:val="Heading4"/>
      </w:pPr>
      <w:r>
        <w:t>u09 (verbatim)</w:t>
      </w:r>
    </w:p>
    <w:p>
      <w:r>
        <w:t>Put feedback to work. The first attempt leaves follow-up vague. Feedback asks who will act and when. The retry states an owner, action, time, and confirmation question.</w:t>
      </w:r>
    </w:p>
    <w:p>
      <w:pPr>
        <w:pStyle w:val="Heading4"/>
      </w:pPr>
      <w:r>
        <w:t>u10 (verbatim)</w:t>
      </w:r>
    </w:p>
    <w:p>
      <w:r>
        <w:t>Give each phase a learning purpose. The 55-minute example includes preparation, modeling, practice, retry and final conversation evidence, followed by note practice and assessment plus transfer.</w:t>
      </w:r>
    </w:p>
    <w:p>
      <w:pPr>
        <w:pStyle w:val="Heading4"/>
      </w:pPr>
      <w:r>
        <w:t>u11 (verbatim)</w:t>
      </w:r>
    </w:p>
    <w:p>
      <w:r>
        <w:t>Purpose beats for prepare, model, practice, retry</w:t>
      </w:r>
    </w:p>
    <w:p>
      <w:pPr>
        <w:pStyle w:val="Heading4"/>
      </w:pPr>
      <w:r>
        <w:t>u12 (verbatim)</w:t>
      </w:r>
    </w:p>
    <w:p>
      <w:r>
        <w:t>Final evidence and transfer stay distinct</w:t>
      </w:r>
    </w:p>
    <w:p>
      <w:pPr>
        <w:pStyle w:val="Heading4"/>
      </w:pPr>
      <w:r>
        <w:t>u13 (verbatim)</w:t>
      </w:r>
    </w:p>
    <w:p>
      <w:r>
        <w:t>Choose modality for its instructional consequence. Live interaction supports contingent response. Asynchronous drafting supports reflection. Access adjustments preserve the criteria while changing participation conditions.</w:t>
      </w:r>
    </w:p>
    <w:p>
      <w:pPr>
        <w:pStyle w:val="Heading4"/>
      </w:pPr>
      <w:r>
        <w:t>u14 (verbatim)</w:t>
      </w:r>
    </w:p>
    <w:p>
      <w:r>
        <w:t>Give the four components distinct jobs. Four components serve complementary purposes inside one lesson: live rehearsal, branching practice, performance assessment and feedback, and independent preparation.</w:t>
      </w:r>
    </w:p>
    <w:p>
      <w:pPr>
        <w:pStyle w:val="Heading4"/>
      </w:pPr>
      <w:r>
        <w:t>u15 (verbatim)</w:t>
      </w:r>
    </w:p>
    <w:p>
      <w:r>
        <w:t>Register plans honestly. The Week 3 component register contains four planned entries, each with an objective, learner action, function, intended location, next step, and access commitment.</w:t>
      </w:r>
    </w:p>
    <w:p>
      <w:pPr>
        <w:pStyle w:val="Heading4"/>
      </w:pPr>
      <w:r>
        <w:t>u16 (verbatim)</w:t>
      </w:r>
    </w:p>
    <w:p>
      <w:r>
        <w:t>A planned row is a commitment, not a claim</w:t>
      </w:r>
    </w:p>
    <w:p>
      <w:pPr>
        <w:pStyle w:val="Heading4"/>
      </w:pPr>
      <w:r>
        <w:t>u17 (verbatim)</w:t>
      </w:r>
    </w:p>
    <w:p>
      <w:r>
        <w:t>Ask for feedback on one consequential decision. A reviewer links an observation to its consequence and a next move. The designer decides how to respond and updates the Blueprint.</w:t>
      </w:r>
    </w:p>
    <w:p>
      <w:pPr>
        <w:pStyle w:val="Heading4"/>
      </w:pPr>
      <w:r>
        <w:t>u18 (verbatim)</w:t>
      </w:r>
    </w:p>
    <w:p>
      <w:r>
        <w:t>Leave with a coherent Week 3 Blueprint. Week 3 ends with completed alignment and sequence, four planned components, and one consequential review question in the same cumulative Blueprint.</w:t>
      </w:r>
    </w:p>
    <w:p>
      <w:pPr>
        <w:pStyle w:val="Heading2"/>
      </w:pPr>
      <w:r>
        <w:t>Figures</w:t>
      </w:r>
    </w:p>
    <w:p>
      <w:pPr>
        <w:pStyle w:val="Heading2"/>
      </w:pPr>
      <w:r>
        <w:t>Exercises</w:t>
      </w:r>
    </w:p>
    <w:p>
      <w:pPr>
        <w:pStyle w:val="Heading3"/>
      </w:pPr>
      <w:r>
        <w:t>Practice — section `sec-alignment-chain-check`</w:t>
      </w:r>
    </w:p>
    <w:p>
      <w:pPr>
        <w:pStyle w:val="Heading4"/>
      </w:pPr>
      <w:r>
        <w:t>Exercise `ex-alignment-evidence-gap`</w:t>
      </w:r>
    </w:p>
    <w:p>
      <w:r>
        <w:t xml:space="preserve">Bloom level: </w:t>
      </w:r>
      <w:r>
        <w:rPr>
          <w:b/>
        </w:rPr>
        <w:t>analyze</w:t>
      </w:r>
    </w:p>
    <w:p>
      <w:r>
        <w:t>Help designers determine whether proposed evidence actually reveals the target performance rather than only related knowledge or confidence.</w:t>
      </w:r>
    </w:p>
    <w:p>
      <w:r>
        <w:t>Answer key (source_ref: span:sha256:5cd25b41f09dc2e484a0955144274d61a2f10b589f54656c20a4e7b9a50c328d)</w:t>
      </w:r>
    </w:p>
    <w:p>
      <w:pPr>
        <w:pStyle w:val="Heading4"/>
      </w:pPr>
      <w:r>
        <w:t>Exercise `ex-feedback-retry-location`</w:t>
      </w:r>
    </w:p>
    <w:p>
      <w:r>
        <w:t xml:space="preserve">Bloom level: </w:t>
      </w:r>
      <w:r>
        <w:rPr>
          <w:b/>
        </w:rPr>
        <w:t>apply</w:t>
      </w:r>
    </w:p>
    <w:p>
      <w:r>
        <w:t>Have designers mark where feedback arrives and where learners get a subsequent attempt before final judgment.</w:t>
      </w:r>
    </w:p>
    <w:p>
      <w:r>
        <w:t>Answer key (source_ref: span:sha256:1d5e07ca46238642e67a47d93cc47cb712b0a62591934c1d492502f97a75d97e)</w:t>
      </w:r>
    </w:p>
    <w:p>
      <w:pPr>
        <w:pStyle w:val="Heading3"/>
      </w:pPr>
      <w:r>
        <w:t>Practice — section `sec-criteria-and-evidence`</w:t>
      </w:r>
    </w:p>
    <w:p>
      <w:pPr>
        <w:pStyle w:val="Heading4"/>
      </w:pPr>
      <w:r>
        <w:t>Exercise `ex-criteria-separation`</w:t>
      </w:r>
    </w:p>
    <w:p>
      <w:r>
        <w:t xml:space="preserve">Bloom level: </w:t>
      </w:r>
      <w:r>
        <w:rPr>
          <w:b/>
        </w:rPr>
        <w:t>evaluate</w:t>
      </w:r>
    </w:p>
    <w:p>
      <w:r>
        <w:t>Support designers in judging whether their criteria allow compensating across categories that should remain separate.</w:t>
      </w:r>
    </w:p>
    <w:p>
      <w:r>
        <w:t>Answer key (source_ref: span:sha256:da1cfedbcf0835b61175030cab0bfed5800f81154f5f7f50153a3c60a9fd2cb4)</w:t>
      </w:r>
    </w:p>
    <w:p>
      <w:pPr>
        <w:pStyle w:val="Heading4"/>
      </w:pPr>
      <w:r>
        <w:t>Exercise `ex-responsive-evidence-choice`</w:t>
      </w:r>
    </w:p>
    <w:p>
      <w:r>
        <w:t xml:space="preserve">Bloom level: </w:t>
      </w:r>
      <w:r>
        <w:rPr>
          <w:b/>
        </w:rPr>
        <w:t>evaluate</w:t>
      </w:r>
    </w:p>
    <w:p>
      <w:r>
        <w:t>Ask designers to compare evidence options and justify which one best reveals responsive performance.</w:t>
      </w:r>
    </w:p>
    <w:p>
      <w:r>
        <w:t>Answer key (source_ref: span:sha256:e01e68c23a3168bb42eb4bfa2007243d1d40b3cbd2affb51dda9ba7998e767bf)</w:t>
      </w:r>
    </w:p>
    <w:p>
      <w:pPr>
        <w:pStyle w:val="Heading3"/>
      </w:pPr>
      <w:r>
        <w:t>Practice — section `sec-sequence-modality-register`</w:t>
      </w:r>
    </w:p>
    <w:p>
      <w:pPr>
        <w:pStyle w:val="Heading4"/>
      </w:pPr>
      <w:r>
        <w:t>Exercise `ex-five-phase-purpose`</w:t>
      </w:r>
    </w:p>
    <w:p>
      <w:r>
        <w:t xml:space="preserve">Bloom level: </w:t>
      </w:r>
      <w:r>
        <w:rPr>
          <w:b/>
        </w:rPr>
        <w:t>create</w:t>
      </w:r>
    </w:p>
    <w:p>
      <w:r>
        <w:t>Guide designers to construct a sequence in which practice and feedback precede final evidence, then connect to transfer.</w:t>
      </w:r>
    </w:p>
    <w:p>
      <w:r>
        <w:t>Answer key (source_ref: span:sha256:008711edf0a8cf674da6eabc8b94cd1667c83f4e8c60effc6e3bb4efaedfed2c)</w:t>
      </w:r>
    </w:p>
    <w:p>
      <w:pPr>
        <w:pStyle w:val="Heading4"/>
      </w:pPr>
      <w:r>
        <w:t>Exercise `ex-modality-reason`</w:t>
      </w:r>
    </w:p>
    <w:p>
      <w:r>
        <w:t xml:space="preserve">Bloom level: </w:t>
      </w:r>
      <w:r>
        <w:rPr>
          <w:b/>
        </w:rPr>
        <w:t>evaluate</w:t>
      </w:r>
    </w:p>
    <w:p>
      <w:r>
        <w:t>Have designers justify live and asynchronous choices by what each arrangement makes possible for learners.</w:t>
      </w:r>
    </w:p>
    <w:p>
      <w:r>
        <w:t>Answer key (source_ref: span:sha256:e340c665d66db09d0a167aef49be972101cbf2a30940b31278861098cd45a34a)</w:t>
      </w:r>
    </w:p>
    <w:p>
      <w:pPr>
        <w:pStyle w:val="Heading3"/>
      </w:pPr>
      <w:r>
        <w:t>Practice — section `sec-review-and-submit`</w:t>
      </w:r>
    </w:p>
    <w:p>
      <w:pPr>
        <w:pStyle w:val="Heading4"/>
      </w:pPr>
      <w:r>
        <w:t>Exercise `ex-consequential-question`</w:t>
      </w:r>
    </w:p>
    <w:p>
      <w:r>
        <w:t xml:space="preserve">Bloom level: </w:t>
      </w:r>
      <w:r>
        <w:rPr>
          <w:b/>
        </w:rPr>
        <w:t>evaluate</w:t>
      </w:r>
    </w:p>
    <w:p>
      <w:r>
        <w:t>Prompt designers to identify the Blueprint connection most likely to change their design if reviewed.</w:t>
      </w:r>
    </w:p>
    <w:p>
      <w:r>
        <w:t>Answer key (source_ref: span:sha256:d56c7033f78856d27a3b17e4fddddf58fa9aab093c57bb34c0c00d0b6354db5a)</w:t>
      </w:r>
    </w:p>
    <w:p>
      <w:pPr>
        <w:pStyle w:val="Heading4"/>
      </w:pPr>
      <w:r>
        <w:t>Exercise `ex-final-blueprint-trace`</w:t>
      </w:r>
    </w:p>
    <w:p>
      <w:r>
        <w:t xml:space="preserve">Bloom level: </w:t>
      </w:r>
      <w:r>
        <w:rPr>
          <w:b/>
        </w:rPr>
        <w:t>evaluate</w:t>
      </w:r>
    </w:p>
    <w:p>
      <w:r>
        <w:t>Have designers follow one objective through evidence, practice, feedback, application, modality, access, and component jobs.</w:t>
      </w:r>
    </w:p>
    <w:p>
      <w:r>
        <w:t>Answer key (source_ref: span:sha256:3c21baf9e5c287859d056d126bf294e14961be41e323c4589aff5a2479f4cc0d)</w:t>
      </w:r>
    </w:p>
    <w:p>
      <w:r>
        <w:t>_Exercise overlay loss: 1 of 9 collateral (Practice) exercise(s) trimmed by the exercise cap (round-robin by unit then stable id; course-check items are never trimmed): ex-panel-five-planned-row_</w:t>
      </w:r>
    </w:p>
    <w:p>
      <w:pPr>
        <w:pStyle w:val="Heading2"/>
      </w:pPr>
      <w:r>
        <w:t>Answer Key</w:t>
      </w:r>
    </w:p>
    <w:p>
      <w:pPr>
        <w:pStyle w:val="Heading3"/>
      </w:pPr>
      <w:r>
        <w:t>Practice — section `sec-alignment-chain-check`</w:t>
      </w:r>
    </w:p>
    <w:p>
      <w:pPr>
        <w:pStyle w:val="Heading4"/>
      </w:pPr>
      <w:r>
        <w:t>Answer — `ex-alignment-evidence-gap`</w:t>
      </w:r>
    </w:p>
    <w:p>
      <w:r>
        <w:t>(worked answer pending writer; grounded by the source_ref below — source_ref: span:sha256:5cd25b41f09dc2e484a0955144274d61a2f10b589f54656c20a4e7b9a50c328d)</w:t>
      </w:r>
    </w:p>
    <w:p>
      <w:r>
        <w:t>Answer key source_ref: span:sha256:5cd25b41f09dc2e484a0955144274d61a2f10b589f54656c20a4e7b9a50c328d</w:t>
      </w:r>
    </w:p>
    <w:p>
      <w:pPr>
        <w:pStyle w:val="Heading4"/>
      </w:pPr>
      <w:r>
        <w:t>Answer — `ex-feedback-retry-location`</w:t>
      </w:r>
    </w:p>
    <w:p>
      <w:r>
        <w:t>(worked answer pending writer; grounded by the source_ref below — source_ref: span:sha256:1d5e07ca46238642e67a47d93cc47cb712b0a62591934c1d492502f97a75d97e)</w:t>
      </w:r>
    </w:p>
    <w:p>
      <w:r>
        <w:t>Answer key source_ref: span:sha256:1d5e07ca46238642e67a47d93cc47cb712b0a62591934c1d492502f97a75d97e</w:t>
      </w:r>
    </w:p>
    <w:p>
      <w:pPr>
        <w:pStyle w:val="Heading3"/>
      </w:pPr>
      <w:r>
        <w:t>Practice — section `sec-criteria-and-evidence`</w:t>
      </w:r>
    </w:p>
    <w:p>
      <w:pPr>
        <w:pStyle w:val="Heading4"/>
      </w:pPr>
      <w:r>
        <w:t>Answer — `ex-criteria-separation`</w:t>
      </w:r>
    </w:p>
    <w:p>
      <w:r>
        <w:t>(worked answer pending writer; grounded by the source_ref below — source_ref: span:sha256:da1cfedbcf0835b61175030cab0bfed5800f81154f5f7f50153a3c60a9fd2cb4)</w:t>
      </w:r>
    </w:p>
    <w:p>
      <w:r>
        <w:t>Answer key source_ref: span:sha256:da1cfedbcf0835b61175030cab0bfed5800f81154f5f7f50153a3c60a9fd2cb4</w:t>
      </w:r>
    </w:p>
    <w:p>
      <w:pPr>
        <w:pStyle w:val="Heading4"/>
      </w:pPr>
      <w:r>
        <w:t>Answer — `ex-responsive-evidence-choice`</w:t>
      </w:r>
    </w:p>
    <w:p>
      <w:r>
        <w:t>(worked answer pending writer; grounded by the source_ref below — source_ref: span:sha256:e01e68c23a3168bb42eb4bfa2007243d1d40b3cbd2affb51dda9ba7998e767bf)</w:t>
      </w:r>
    </w:p>
    <w:p>
      <w:r>
        <w:t>Answer key source_ref: span:sha256:e01e68c23a3168bb42eb4bfa2007243d1d40b3cbd2affb51dda9ba7998e767bf</w:t>
      </w:r>
    </w:p>
    <w:p>
      <w:pPr>
        <w:pStyle w:val="Heading3"/>
      </w:pPr>
      <w:r>
        <w:t>Practice — section `sec-sequence-modality-register`</w:t>
      </w:r>
    </w:p>
    <w:p>
      <w:pPr>
        <w:pStyle w:val="Heading4"/>
      </w:pPr>
      <w:r>
        <w:t>Answer — `ex-five-phase-purpose`</w:t>
      </w:r>
    </w:p>
    <w:p>
      <w:r>
        <w:t>(worked answer pending writer; grounded by the source_ref below — source_ref: span:sha256:008711edf0a8cf674da6eabc8b94cd1667c83f4e8c60effc6e3bb4efaedfed2c)</w:t>
      </w:r>
    </w:p>
    <w:p>
      <w:r>
        <w:t>Answer key source_ref: span:sha256:008711edf0a8cf674da6eabc8b94cd1667c83f4e8c60effc6e3bb4efaedfed2c</w:t>
      </w:r>
    </w:p>
    <w:p>
      <w:pPr>
        <w:pStyle w:val="Heading4"/>
      </w:pPr>
      <w:r>
        <w:t>Answer — `ex-modality-reason`</w:t>
      </w:r>
    </w:p>
    <w:p>
      <w:r>
        <w:t>(worked answer pending writer; grounded by the source_ref below — source_ref: span:sha256:e340c665d66db09d0a167aef49be972101cbf2a30940b31278861098cd45a34a)</w:t>
      </w:r>
    </w:p>
    <w:p>
      <w:r>
        <w:t>Answer key source_ref: span:sha256:e340c665d66db09d0a167aef49be972101cbf2a30940b31278861098cd45a34a</w:t>
      </w:r>
    </w:p>
    <w:p>
      <w:pPr>
        <w:pStyle w:val="Heading3"/>
      </w:pPr>
      <w:r>
        <w:t>Practice — section `sec-review-and-submit`</w:t>
      </w:r>
    </w:p>
    <w:p>
      <w:pPr>
        <w:pStyle w:val="Heading4"/>
      </w:pPr>
      <w:r>
        <w:t>Answer — `ex-consequential-question`</w:t>
      </w:r>
    </w:p>
    <w:p>
      <w:r>
        <w:t>(worked answer pending writer; grounded by the source_ref below — source_ref: span:sha256:d56c7033f78856d27a3b17e4fddddf58fa9aab093c57bb34c0c00d0b6354db5a)</w:t>
      </w:r>
    </w:p>
    <w:p>
      <w:r>
        <w:t>Answer key source_ref: span:sha256:d56c7033f78856d27a3b17e4fddddf58fa9aab093c57bb34c0c00d0b6354db5a</w:t>
      </w:r>
    </w:p>
    <w:p>
      <w:pPr>
        <w:pStyle w:val="Heading4"/>
      </w:pPr>
      <w:r>
        <w:t>Answer — `ex-final-blueprint-trace`</w:t>
      </w:r>
    </w:p>
    <w:p>
      <w:r>
        <w:t>(worked answer pending writer; grounded by the source_ref below — source_ref: span:sha256:3c21baf9e5c287859d056d126bf294e14961be41e323c4589aff5a2479f4cc0d)</w:t>
      </w:r>
    </w:p>
    <w:p>
      <w:r>
        <w:t>Answer key source_ref: span:sha256:3c21baf9e5c287859d056d126bf294e14961be41e323c4589aff5a2479f4cc0d</w:t>
      </w:r>
    </w:p>
    <w:p>
      <w:pPr>
        <w:pStyle w:val="Heading2"/>
      </w:pPr>
      <w:r>
        <w:t>Research Glossary</w:t>
      </w:r>
    </w:p>
    <w:p>
      <w:r>
        <w:t>(bold-term authority absent — no activated workbook-review contribution exists for this run; no glossary entries are fabricated)</w:t>
      </w:r>
    </w:p>
    <w:p>
      <w:pPr>
        <w:pStyle w:val="Heading2"/>
      </w:pPr>
      <w:r>
        <w:t>References</w:t>
      </w:r>
    </w:p>
    <w:p>
      <w:pPr>
        <w:pStyle w:val="Heading4"/>
      </w:pPr>
      <w:r>
        <w:t>Segment source-ref trace</w:t>
      </w:r>
    </w:p>
    <w:p>
      <w:pPr>
        <w:pStyle w:val="ListBullet"/>
      </w:pPr>
      <w:r>
        <w:t>u01 -&gt; source_ref src-u01</w:t>
      </w:r>
    </w:p>
    <w:p>
      <w:pPr>
        <w:pStyle w:val="ListBullet"/>
      </w:pPr>
      <w:r>
        <w:t>u02 -&gt; source_ref src-u02</w:t>
      </w:r>
    </w:p>
    <w:p>
      <w:pPr>
        <w:pStyle w:val="ListBullet"/>
      </w:pPr>
      <w:r>
        <w:t>u03 -&gt; source_ref src-u03</w:t>
      </w:r>
    </w:p>
    <w:p>
      <w:pPr>
        <w:pStyle w:val="ListBullet"/>
      </w:pPr>
      <w:r>
        <w:t>u04 -&gt; source_ref src-u04</w:t>
      </w:r>
    </w:p>
    <w:p>
      <w:pPr>
        <w:pStyle w:val="ListBullet"/>
      </w:pPr>
      <w:r>
        <w:t>u05 -&gt; source_ref src-u05</w:t>
      </w:r>
    </w:p>
    <w:p>
      <w:pPr>
        <w:pStyle w:val="ListBullet"/>
      </w:pPr>
      <w:r>
        <w:t>u06 -&gt; source_ref src-u06</w:t>
      </w:r>
    </w:p>
    <w:p>
      <w:pPr>
        <w:pStyle w:val="ListBullet"/>
      </w:pPr>
      <w:r>
        <w:t>u07 -&gt; source_ref src-u07</w:t>
      </w:r>
    </w:p>
    <w:p>
      <w:pPr>
        <w:pStyle w:val="ListBullet"/>
      </w:pPr>
      <w:r>
        <w:t>u08 -&gt; source_ref src-u08</w:t>
      </w:r>
    </w:p>
    <w:p>
      <w:pPr>
        <w:pStyle w:val="ListBullet"/>
      </w:pPr>
      <w:r>
        <w:t>u09 -&gt; source_ref src-u09</w:t>
      </w:r>
    </w:p>
    <w:p>
      <w:pPr>
        <w:pStyle w:val="ListBullet"/>
      </w:pPr>
      <w:r>
        <w:t>u10 -&gt; source_ref src-u10</w:t>
      </w:r>
    </w:p>
    <w:p>
      <w:pPr>
        <w:pStyle w:val="ListBullet"/>
      </w:pPr>
      <w:r>
        <w:t>u11 -&gt; source_ref src-u11</w:t>
      </w:r>
    </w:p>
    <w:p>
      <w:pPr>
        <w:pStyle w:val="ListBullet"/>
      </w:pPr>
      <w:r>
        <w:t>u12 -&gt; source_ref src-u12</w:t>
      </w:r>
    </w:p>
    <w:p>
      <w:pPr>
        <w:pStyle w:val="ListBullet"/>
      </w:pPr>
      <w:r>
        <w:t>u13 -&gt; source_ref src-u13</w:t>
      </w:r>
    </w:p>
    <w:p>
      <w:pPr>
        <w:pStyle w:val="ListBullet"/>
      </w:pPr>
      <w:r>
        <w:t>u14 -&gt; source_ref src-u14</w:t>
      </w:r>
    </w:p>
    <w:p>
      <w:pPr>
        <w:pStyle w:val="ListBullet"/>
      </w:pPr>
      <w:r>
        <w:t>u15 -&gt; source_ref src-u15</w:t>
      </w:r>
    </w:p>
    <w:p>
      <w:pPr>
        <w:pStyle w:val="ListBullet"/>
      </w:pPr>
      <w:r>
        <w:t>u16 -&gt; source_ref src-u16</w:t>
      </w:r>
    </w:p>
    <w:p>
      <w:pPr>
        <w:pStyle w:val="ListBullet"/>
      </w:pPr>
      <w:r>
        <w:t>u17 -&gt; source_ref src-u17</w:t>
      </w:r>
    </w:p>
    <w:p>
      <w:pPr>
        <w:pStyle w:val="ListBullet"/>
      </w:pPr>
      <w:r>
        <w:t>u18 -&gt; source_ref src-u18</w:t>
      </w:r>
    </w:p>
    <w:p>
      <w:pPr>
        <w:pStyle w:val="Heading4"/>
      </w:pPr>
      <w:r>
        <w:t>Cited references &amp; further reading</w:t>
      </w:r>
    </w:p>
    <w:p>
      <w:pPr>
        <w:pStyle w:val="ListBullet"/>
      </w:pPr>
      <w:r>
        <w:t>(no corpus-native references supplied for this artifact)</w:t>
      </w:r>
    </w:p>
    <w:p>
      <w:pPr>
        <w:pStyle w:val="Heading4"/>
      </w:pPr>
      <w:r>
        <w:t>Live-research cited entries (DOI)</w:t>
      </w:r>
    </w:p>
    <w:p>
      <w:pPr>
        <w:pStyle w:val="ListBullet"/>
      </w:pPr>
      <w:r>
        <w:t>(no cited research entries recorded on this run's research contribution (recorded explicitly-empty; no DOI'd entries fabricated))</w:t>
      </w:r>
    </w:p>
    <w:p>
      <w:pPr>
        <w:pStyle w:val="Heading2"/>
      </w:pPr>
      <w:r>
        <w:t>Research Trends</w:t>
      </w:r>
    </w:p>
    <w:p>
      <w:r>
        <w:t>(no usable research packet rows for trends/hot-topics; recorded explicitly-empty (topics are not fabricated))</w:t>
      </w:r>
    </w:p>
    <w:p>
      <w:pPr>
        <w:pStyle w:val="Heading2"/>
      </w:pPr>
      <w:r>
        <w:t>Human Review Checkpoint</w:t>
      </w:r>
    </w:p>
    <w:p>
      <w:pPr>
        <w:pStyle w:val="ListBullet"/>
      </w:pPr>
      <w:r>
        <w:t>[ ] Irene workbook review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