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A8629A" w14:textId="01F44F77" w:rsidR="005B0673" w:rsidRDefault="000342F7" w:rsidP="005B0673">
      <w:r>
        <w:t>Loans and Grants from Title IV Volume Reports</w:t>
      </w:r>
    </w:p>
    <w:p w14:paraId="30257FF5" w14:textId="77777777" w:rsidR="005B0673" w:rsidRDefault="005B0673" w:rsidP="005B0673">
      <w:bookmarkStart w:id="0" w:name="_GoBack"/>
      <w:bookmarkEnd w:id="0"/>
    </w:p>
    <w:p w14:paraId="29AA9BDE" w14:textId="21C5DC75" w:rsidR="005B0673" w:rsidRDefault="005B0673" w:rsidP="005B0673">
      <w:r>
        <w:t>Contacts</w:t>
      </w:r>
    </w:p>
    <w:p w14:paraId="3D6872DB" w14:textId="77777777" w:rsidR="007150D1" w:rsidRDefault="007150D1" w:rsidP="005B0673"/>
    <w:p w14:paraId="6B0B0057" w14:textId="20190012" w:rsidR="007150D1" w:rsidRDefault="007150D1" w:rsidP="005B0673">
      <w:r>
        <w:t>Office of Higher Education</w:t>
      </w:r>
    </w:p>
    <w:p w14:paraId="112A6087" w14:textId="77777777" w:rsidR="005B0673" w:rsidRDefault="005B0673" w:rsidP="005B0673"/>
    <w:p w14:paraId="24E5E6EA" w14:textId="22D86EBC" w:rsidR="005B0673" w:rsidRDefault="005B0673" w:rsidP="005B0673">
      <w:r>
        <w:t>General Information: 860-974-1800</w:t>
      </w:r>
    </w:p>
    <w:p w14:paraId="24F9D0A0" w14:textId="77777777" w:rsidR="007150D1" w:rsidRDefault="007150D1" w:rsidP="005B0673">
      <w:r>
        <w:t>Mark French (</w:t>
      </w:r>
      <w:proofErr w:type="spellStart"/>
      <w:r>
        <w:t>Finanical</w:t>
      </w:r>
      <w:proofErr w:type="spellEnd"/>
      <w:r>
        <w:t xml:space="preserve"> Aid Director): </w:t>
      </w:r>
      <w:r w:rsidRPr="007150D1">
        <w:rPr>
          <w:rFonts w:ascii="Verdana" w:eastAsia="Times New Roman" w:hAnsi="Verdana" w:cs="Times New Roman"/>
          <w:sz w:val="20"/>
          <w:szCs w:val="20"/>
        </w:rPr>
        <w:t>(860)947-1855</w:t>
      </w:r>
      <w:r>
        <w:rPr>
          <w:rFonts w:ascii="Verdana" w:eastAsia="Times New Roman" w:hAnsi="Verdana" w:cs="Times New Roman"/>
          <w:sz w:val="20"/>
          <w:szCs w:val="20"/>
        </w:rPr>
        <w:t xml:space="preserve">, </w:t>
      </w:r>
    </w:p>
    <w:tbl>
      <w:tblPr>
        <w:tblW w:w="11310" w:type="dxa"/>
        <w:tblCellSpacing w:w="0" w:type="dxa"/>
        <w:shd w:val="clear" w:color="auto" w:fill="FFFFFF"/>
        <w:tblCellMar>
          <w:left w:w="0" w:type="dxa"/>
          <w:right w:w="0" w:type="dxa"/>
        </w:tblCellMar>
        <w:tblLook w:val="04A0" w:firstRow="1" w:lastRow="0" w:firstColumn="1" w:lastColumn="0" w:noHBand="0" w:noVBand="1"/>
      </w:tblPr>
      <w:tblGrid>
        <w:gridCol w:w="31"/>
        <w:gridCol w:w="11279"/>
      </w:tblGrid>
      <w:tr w:rsidR="007150D1" w:rsidRPr="007150D1" w14:paraId="31D833F6" w14:textId="77777777" w:rsidTr="004C441C">
        <w:trPr>
          <w:trHeight w:val="180"/>
          <w:tblCellSpacing w:w="0" w:type="dxa"/>
        </w:trPr>
        <w:tc>
          <w:tcPr>
            <w:tcW w:w="0" w:type="auto"/>
            <w:shd w:val="clear" w:color="auto" w:fill="FFFFFF"/>
            <w:hideMark/>
          </w:tcPr>
          <w:p w14:paraId="1EC55C53" w14:textId="77777777" w:rsidR="007150D1" w:rsidRPr="007150D1" w:rsidRDefault="007150D1" w:rsidP="004C441C">
            <w:pPr>
              <w:rPr>
                <w:rFonts w:ascii="Verdana" w:eastAsia="Times New Roman" w:hAnsi="Verdana" w:cs="Times New Roman"/>
              </w:rPr>
            </w:pPr>
          </w:p>
        </w:tc>
        <w:tc>
          <w:tcPr>
            <w:tcW w:w="0" w:type="auto"/>
            <w:shd w:val="clear" w:color="auto" w:fill="FFFFFF"/>
            <w:hideMark/>
          </w:tcPr>
          <w:p w14:paraId="14739999" w14:textId="77777777" w:rsidR="007150D1" w:rsidRPr="007150D1" w:rsidRDefault="00E165A1" w:rsidP="004C441C">
            <w:pPr>
              <w:rPr>
                <w:rFonts w:ascii="Verdana" w:eastAsia="Times New Roman" w:hAnsi="Verdana" w:cs="Times New Roman"/>
                <w:color w:val="3333CC"/>
                <w:sz w:val="20"/>
                <w:szCs w:val="20"/>
              </w:rPr>
            </w:pPr>
            <w:hyperlink r:id="rId5" w:history="1">
              <w:r w:rsidR="007150D1" w:rsidRPr="007150D1">
                <w:rPr>
                  <w:rFonts w:ascii="Verdana" w:eastAsia="Times New Roman" w:hAnsi="Verdana" w:cs="Times New Roman"/>
                  <w:b/>
                  <w:bCs/>
                  <w:color w:val="3333CC"/>
                  <w:sz w:val="20"/>
                  <w:szCs w:val="20"/>
                </w:rPr>
                <w:t>MFrench@ctohe.org</w:t>
              </w:r>
            </w:hyperlink>
          </w:p>
        </w:tc>
      </w:tr>
    </w:tbl>
    <w:p w14:paraId="42C8CD03" w14:textId="44697771" w:rsidR="005B0673" w:rsidRDefault="007150D1" w:rsidP="005B0673">
      <w:r>
        <w:t xml:space="preserve">Lynne M. Goodwin: 860-974-1855, </w:t>
      </w:r>
      <w:hyperlink r:id="rId6" w:history="1">
        <w:r w:rsidRPr="009819C4">
          <w:rPr>
            <w:rStyle w:val="Hyperlink"/>
          </w:rPr>
          <w:t>LGoodwin@ctohe.org</w:t>
        </w:r>
      </w:hyperlink>
    </w:p>
    <w:p w14:paraId="49627B63" w14:textId="1D180444" w:rsidR="007150D1" w:rsidRDefault="007150D1" w:rsidP="005B0673">
      <w:r>
        <w:t>Student Financial Aid: 860-947-1855, sfa@ctohe.org</w:t>
      </w:r>
    </w:p>
    <w:p w14:paraId="4E4E32BE" w14:textId="77777777" w:rsidR="007150D1" w:rsidRDefault="007150D1" w:rsidP="005B0673"/>
    <w:p w14:paraId="28FD7CB7" w14:textId="77777777" w:rsidR="007150D1" w:rsidRDefault="007150D1" w:rsidP="005B0673"/>
    <w:p w14:paraId="1FA63C38" w14:textId="77777777" w:rsidR="007150D1" w:rsidRDefault="007150D1" w:rsidP="005B0673"/>
    <w:p w14:paraId="0C7CB40C" w14:textId="52543370" w:rsidR="005B0673" w:rsidRDefault="005B0673" w:rsidP="005B0673">
      <w:r>
        <w:t>Information</w:t>
      </w:r>
    </w:p>
    <w:p w14:paraId="3B30986C" w14:textId="77777777" w:rsidR="005B0673" w:rsidRDefault="005B0673" w:rsidP="005B0673"/>
    <w:p w14:paraId="6F99AE30" w14:textId="7E276587" w:rsidR="005B0673" w:rsidRDefault="005B0673" w:rsidP="005B0673">
      <w:pPr>
        <w:pStyle w:val="ListParagraph"/>
        <w:numPr>
          <w:ilvl w:val="0"/>
          <w:numId w:val="4"/>
        </w:numPr>
      </w:pPr>
      <w:r>
        <w:t>The programs authorized under Title IV of the Higher Education Act are the major source of federal student aid</w:t>
      </w:r>
    </w:p>
    <w:p w14:paraId="7186EE2B" w14:textId="77777777" w:rsidR="005B0673" w:rsidRDefault="005B0673" w:rsidP="005B0673">
      <w:pPr>
        <w:pStyle w:val="ListParagraph"/>
        <w:numPr>
          <w:ilvl w:val="1"/>
          <w:numId w:val="4"/>
        </w:numPr>
      </w:pPr>
      <w:r>
        <w:t>Title IV programs include loans, grants, and federal work-study</w:t>
      </w:r>
    </w:p>
    <w:p w14:paraId="24B6A32B" w14:textId="10B411DA" w:rsidR="005B0673" w:rsidRPr="005B0673" w:rsidRDefault="005B0673" w:rsidP="005B0673">
      <w:pPr>
        <w:pStyle w:val="ListParagraph"/>
        <w:numPr>
          <w:ilvl w:val="0"/>
          <w:numId w:val="4"/>
        </w:numPr>
        <w:rPr>
          <w:color w:val="000000" w:themeColor="text1"/>
        </w:rPr>
      </w:pPr>
      <w:r w:rsidRPr="005B0673">
        <w:rPr>
          <w:color w:val="000000" w:themeColor="text1"/>
        </w:rPr>
        <w:t>The Higher Education Act of 1965 was legislation signed on November 8, 1965</w:t>
      </w:r>
      <w:r>
        <w:rPr>
          <w:color w:val="000000" w:themeColor="text1"/>
        </w:rPr>
        <w:t xml:space="preserve"> by</w:t>
      </w:r>
      <w:r w:rsidRPr="005B0673">
        <w:rPr>
          <w:color w:val="000000" w:themeColor="text1"/>
        </w:rPr>
        <w:t xml:space="preserve"> President </w:t>
      </w:r>
      <w:r>
        <w:rPr>
          <w:color w:val="000000" w:themeColor="text1"/>
        </w:rPr>
        <w:t>Lyndon Johnson</w:t>
      </w:r>
    </w:p>
    <w:p w14:paraId="75A07ED7" w14:textId="77777777" w:rsidR="005B0673" w:rsidRDefault="005B0673" w:rsidP="005B0673">
      <w:pPr>
        <w:pStyle w:val="ListParagraph"/>
        <w:numPr>
          <w:ilvl w:val="0"/>
          <w:numId w:val="4"/>
        </w:numPr>
        <w:rPr>
          <w:color w:val="000000" w:themeColor="text1"/>
        </w:rPr>
      </w:pPr>
      <w:r w:rsidRPr="005B0673">
        <w:rPr>
          <w:color w:val="000000" w:themeColor="text1"/>
        </w:rPr>
        <w:t xml:space="preserve">The law was intended “to strengthen the educational resources of our colleges and universities and to provide financial assistance for students in postsecondary and higher education”. It increased federal money given to universities, created scholarships, gave low-interest loans for students, and established a National Teachers Corps. </w:t>
      </w:r>
    </w:p>
    <w:p w14:paraId="0243D64E" w14:textId="77777777" w:rsidR="005B0673" w:rsidRDefault="005B0673" w:rsidP="005B0673">
      <w:pPr>
        <w:pStyle w:val="ListParagraph"/>
        <w:numPr>
          <w:ilvl w:val="0"/>
          <w:numId w:val="4"/>
        </w:numPr>
        <w:rPr>
          <w:color w:val="000000" w:themeColor="text1"/>
        </w:rPr>
      </w:pPr>
      <w:r w:rsidRPr="005B0673">
        <w:rPr>
          <w:color w:val="000000" w:themeColor="text1"/>
        </w:rPr>
        <w:t xml:space="preserve">The "financial assistance for students" is covered in </w:t>
      </w:r>
      <w:hyperlink r:id="rId7" w:tooltip="Title IV" w:history="1">
        <w:r w:rsidRPr="005B0673">
          <w:rPr>
            <w:rStyle w:val="Hyperlink"/>
            <w:color w:val="000000" w:themeColor="text1"/>
            <w:u w:val="none"/>
          </w:rPr>
          <w:t>Title IV</w:t>
        </w:r>
      </w:hyperlink>
      <w:r w:rsidRPr="005B0673">
        <w:rPr>
          <w:rStyle w:val="apple-converted-space"/>
          <w:color w:val="000000" w:themeColor="text1"/>
        </w:rPr>
        <w:t> </w:t>
      </w:r>
      <w:r w:rsidRPr="005B0673">
        <w:rPr>
          <w:color w:val="000000" w:themeColor="text1"/>
        </w:rPr>
        <w:t>of the HEA.</w:t>
      </w:r>
    </w:p>
    <w:p w14:paraId="748FCFF5" w14:textId="77777777" w:rsidR="007150D1" w:rsidRPr="007150D1" w:rsidRDefault="005B0673" w:rsidP="007150D1">
      <w:pPr>
        <w:pStyle w:val="ListParagraph"/>
        <w:numPr>
          <w:ilvl w:val="0"/>
          <w:numId w:val="4"/>
        </w:numPr>
        <w:rPr>
          <w:color w:val="000000" w:themeColor="text1"/>
        </w:rPr>
      </w:pPr>
      <w:r w:rsidRPr="005B0673">
        <w:rPr>
          <w:color w:val="000000" w:themeColor="text1"/>
        </w:rPr>
        <w:t xml:space="preserve">Current authorization for the programs in the Higher Education Act expired at the end of 2013, but has been extended through 2015 while Congress prepares changes and </w:t>
      </w:r>
      <w:r w:rsidRPr="007150D1">
        <w:rPr>
          <w:color w:val="000000" w:themeColor="text1"/>
        </w:rPr>
        <w:t>amendments. Before each re-authorization, Congress amends additional programs, changes the language and policies of existing programs, or makes other changes</w:t>
      </w:r>
    </w:p>
    <w:p w14:paraId="4BAB1982" w14:textId="36773671" w:rsidR="007150D1" w:rsidRPr="007150D1" w:rsidRDefault="007150D1" w:rsidP="007150D1">
      <w:pPr>
        <w:pStyle w:val="ListParagraph"/>
        <w:numPr>
          <w:ilvl w:val="0"/>
          <w:numId w:val="4"/>
        </w:numPr>
        <w:rPr>
          <w:color w:val="000000" w:themeColor="text1"/>
        </w:rPr>
      </w:pPr>
      <w:r w:rsidRPr="007150D1">
        <w:rPr>
          <w:bCs/>
          <w:color w:val="000000" w:themeColor="text1"/>
        </w:rPr>
        <w:t>Title IV</w:t>
      </w:r>
      <w:r w:rsidRPr="007150D1">
        <w:rPr>
          <w:rStyle w:val="apple-converted-space"/>
          <w:color w:val="000000" w:themeColor="text1"/>
        </w:rPr>
        <w:t> </w:t>
      </w:r>
      <w:r w:rsidRPr="007150D1">
        <w:rPr>
          <w:color w:val="000000" w:themeColor="text1"/>
        </w:rPr>
        <w:t>of the</w:t>
      </w:r>
      <w:r w:rsidRPr="007150D1">
        <w:rPr>
          <w:rStyle w:val="apple-converted-space"/>
          <w:color w:val="000000" w:themeColor="text1"/>
        </w:rPr>
        <w:t> </w:t>
      </w:r>
      <w:hyperlink r:id="rId8" w:tooltip="Higher Education Act of 1965" w:history="1">
        <w:r w:rsidRPr="007150D1">
          <w:rPr>
            <w:rStyle w:val="Hyperlink"/>
            <w:color w:val="000000" w:themeColor="text1"/>
            <w:u w:val="none"/>
          </w:rPr>
          <w:t>Higher Education Act of 1965</w:t>
        </w:r>
      </w:hyperlink>
      <w:r w:rsidRPr="007150D1">
        <w:rPr>
          <w:rStyle w:val="apple-converted-space"/>
          <w:color w:val="000000" w:themeColor="text1"/>
        </w:rPr>
        <w:t> </w:t>
      </w:r>
      <w:r w:rsidRPr="007150D1">
        <w:rPr>
          <w:color w:val="000000" w:themeColor="text1"/>
        </w:rPr>
        <w:t>covers the administration of the United States federal student</w:t>
      </w:r>
      <w:r w:rsidRPr="007150D1">
        <w:rPr>
          <w:rStyle w:val="apple-converted-space"/>
          <w:color w:val="000000" w:themeColor="text1"/>
        </w:rPr>
        <w:t> </w:t>
      </w:r>
      <w:hyperlink r:id="rId9" w:tooltip="Financial aid (educational expenses)" w:history="1">
        <w:r w:rsidRPr="007150D1">
          <w:rPr>
            <w:rStyle w:val="Hyperlink"/>
            <w:color w:val="000000" w:themeColor="text1"/>
            <w:u w:val="none"/>
          </w:rPr>
          <w:t>financial aid</w:t>
        </w:r>
      </w:hyperlink>
      <w:r w:rsidRPr="007150D1">
        <w:rPr>
          <w:rStyle w:val="apple-converted-space"/>
          <w:color w:val="000000" w:themeColor="text1"/>
        </w:rPr>
        <w:t> </w:t>
      </w:r>
      <w:r w:rsidRPr="007150D1">
        <w:rPr>
          <w:color w:val="000000" w:themeColor="text1"/>
        </w:rPr>
        <w:t>programs</w:t>
      </w:r>
    </w:p>
    <w:p w14:paraId="60C091C6" w14:textId="4EA66B56" w:rsidR="005B0673" w:rsidRDefault="007150D1" w:rsidP="00825272">
      <w:pPr>
        <w:pStyle w:val="ListParagraph"/>
        <w:numPr>
          <w:ilvl w:val="0"/>
          <w:numId w:val="4"/>
        </w:numPr>
        <w:rPr>
          <w:color w:val="000000" w:themeColor="text1"/>
        </w:rPr>
      </w:pPr>
      <w:r w:rsidRPr="007150D1">
        <w:rPr>
          <w:color w:val="000000" w:themeColor="text1"/>
        </w:rPr>
        <w:t>American colleges and universities are generally classified with regard to their inclusion under Title IV, such as under the</w:t>
      </w:r>
      <w:r w:rsidRPr="007150D1">
        <w:rPr>
          <w:rStyle w:val="apple-converted-space"/>
          <w:color w:val="000000" w:themeColor="text1"/>
        </w:rPr>
        <w:t> </w:t>
      </w:r>
      <w:hyperlink r:id="rId10" w:tooltip="U.S. Department of Education" w:history="1">
        <w:r w:rsidRPr="007150D1">
          <w:rPr>
            <w:rStyle w:val="Hyperlink"/>
            <w:color w:val="000000" w:themeColor="text1"/>
            <w:u w:val="none"/>
          </w:rPr>
          <w:t>U.S. Department of Education</w:t>
        </w:r>
      </w:hyperlink>
      <w:r w:rsidRPr="007150D1">
        <w:rPr>
          <w:color w:val="000000" w:themeColor="text1"/>
        </w:rPr>
        <w:t xml:space="preserve"> statistics. </w:t>
      </w:r>
    </w:p>
    <w:p w14:paraId="30033F9C" w14:textId="77777777" w:rsidR="00DB569B" w:rsidRDefault="00DB569B" w:rsidP="00DB569B">
      <w:pPr>
        <w:rPr>
          <w:color w:val="000000" w:themeColor="text1"/>
        </w:rPr>
      </w:pPr>
    </w:p>
    <w:p w14:paraId="6278E562" w14:textId="77777777" w:rsidR="0039743A" w:rsidRDefault="0039743A" w:rsidP="0039743A">
      <w:pPr>
        <w:rPr>
          <w:color w:val="000000" w:themeColor="text1"/>
        </w:rPr>
      </w:pPr>
    </w:p>
    <w:p w14:paraId="142D839E" w14:textId="77777777" w:rsidR="005729E0" w:rsidRDefault="0037399F" w:rsidP="00DB569B">
      <w:pPr>
        <w:rPr>
          <w:rFonts w:ascii="Calibri" w:eastAsia="Times New Roman" w:hAnsi="Calibri" w:cs="Times New Roman"/>
          <w:color w:val="212121"/>
          <w:shd w:val="clear" w:color="auto" w:fill="FFFFFF"/>
        </w:rPr>
      </w:pPr>
      <w:r>
        <w:t>Connie Fraser</w:t>
      </w:r>
      <w:r w:rsidR="005729E0">
        <w:t>, the agency spokesperson for the Connecticut Office of Higher Education said “</w:t>
      </w:r>
      <w:r w:rsidR="00DB569B" w:rsidRPr="00DB569B">
        <w:rPr>
          <w:rFonts w:ascii="Calibri" w:eastAsia="Times New Roman" w:hAnsi="Calibri" w:cs="Times New Roman"/>
          <w:color w:val="212121"/>
          <w:shd w:val="clear" w:color="auto" w:fill="FFFFFF"/>
        </w:rPr>
        <w:t>it is understood that private career schools tend to enroll lower-income individuals who, with limited financial resources, take on large loan amounts to finance their educations.</w:t>
      </w:r>
      <w:r w:rsidR="005729E0">
        <w:rPr>
          <w:rFonts w:ascii="Calibri" w:eastAsia="Times New Roman" w:hAnsi="Calibri" w:cs="Times New Roman"/>
          <w:color w:val="212121"/>
          <w:shd w:val="clear" w:color="auto" w:fill="FFFFFF"/>
        </w:rPr>
        <w:t>”</w:t>
      </w:r>
    </w:p>
    <w:p w14:paraId="0AB0CE37" w14:textId="77777777" w:rsidR="005729E0" w:rsidRDefault="005729E0" w:rsidP="00DB569B">
      <w:pPr>
        <w:rPr>
          <w:rFonts w:ascii="Calibri" w:eastAsia="Times New Roman" w:hAnsi="Calibri" w:cs="Times New Roman"/>
          <w:color w:val="212121"/>
          <w:shd w:val="clear" w:color="auto" w:fill="FFFFFF"/>
        </w:rPr>
      </w:pPr>
    </w:p>
    <w:p w14:paraId="15368C43" w14:textId="68AFB17E" w:rsidR="00F263AE" w:rsidRDefault="005729E0" w:rsidP="005B0673">
      <w:r>
        <w:rPr>
          <w:rFonts w:ascii="Calibri" w:eastAsia="Times New Roman" w:hAnsi="Calibri" w:cs="Times New Roman"/>
          <w:color w:val="212121"/>
          <w:shd w:val="clear" w:color="auto" w:fill="FFFFFF"/>
        </w:rPr>
        <w:t>Fraser continued, saying that while proprietary schools are expensive, they do</w:t>
      </w:r>
      <w:r w:rsidR="00DB569B" w:rsidRPr="00DB569B">
        <w:rPr>
          <w:rFonts w:ascii="Calibri" w:eastAsia="Times New Roman" w:hAnsi="Calibri" w:cs="Times New Roman"/>
          <w:color w:val="212121"/>
          <w:shd w:val="clear" w:color="auto" w:fill="FFFFFF"/>
        </w:rPr>
        <w:t xml:space="preserve"> not tend </w:t>
      </w:r>
      <w:r>
        <w:rPr>
          <w:rFonts w:ascii="Calibri" w:eastAsia="Times New Roman" w:hAnsi="Calibri" w:cs="Times New Roman"/>
          <w:color w:val="212121"/>
          <w:shd w:val="clear" w:color="auto" w:fill="FFFFFF"/>
        </w:rPr>
        <w:t>to have their own resources like</w:t>
      </w:r>
      <w:r w:rsidR="00DB569B" w:rsidRPr="00DB569B">
        <w:rPr>
          <w:rFonts w:ascii="Calibri" w:eastAsia="Times New Roman" w:hAnsi="Calibri" w:cs="Times New Roman"/>
          <w:color w:val="212121"/>
          <w:shd w:val="clear" w:color="auto" w:fill="FFFFFF"/>
        </w:rPr>
        <w:t xml:space="preserve"> campus-ba</w:t>
      </w:r>
      <w:r>
        <w:rPr>
          <w:rFonts w:ascii="Calibri" w:eastAsia="Times New Roman" w:hAnsi="Calibri" w:cs="Times New Roman"/>
          <w:color w:val="212121"/>
          <w:shd w:val="clear" w:color="auto" w:fill="FFFFFF"/>
        </w:rPr>
        <w:t xml:space="preserve">sed scholarships or endowments </w:t>
      </w:r>
      <w:r w:rsidR="00DB569B" w:rsidRPr="00DB569B">
        <w:rPr>
          <w:rFonts w:ascii="Calibri" w:eastAsia="Times New Roman" w:hAnsi="Calibri" w:cs="Times New Roman"/>
          <w:color w:val="212121"/>
          <w:shd w:val="clear" w:color="auto" w:fill="FFFFFF"/>
        </w:rPr>
        <w:t>to provide non-loan aid to students.</w:t>
      </w:r>
    </w:p>
    <w:p w14:paraId="0685307C" w14:textId="77777777" w:rsidR="0054487F" w:rsidRDefault="0054487F" w:rsidP="005B0673"/>
    <w:p w14:paraId="3EA1C4A9" w14:textId="14D75A23" w:rsidR="0054487F" w:rsidRDefault="0054487F" w:rsidP="005B0673">
      <w:r>
        <w:t xml:space="preserve">Prop are businesses; run for a profit; well-advertised, go to them b/c offer career-ready programs and reduced schedules </w:t>
      </w:r>
    </w:p>
    <w:p w14:paraId="00BF4034" w14:textId="54688D26" w:rsidR="00CA2D56" w:rsidRDefault="00CA2D56" w:rsidP="00F263AE"/>
    <w:sectPr w:rsidR="00CA2D56" w:rsidSect="00C90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681D9C"/>
    <w:multiLevelType w:val="hybridMultilevel"/>
    <w:tmpl w:val="1E4A4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325954"/>
    <w:multiLevelType w:val="hybridMultilevel"/>
    <w:tmpl w:val="60EEE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6176D5"/>
    <w:multiLevelType w:val="hybridMultilevel"/>
    <w:tmpl w:val="1B46D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BB55E6"/>
    <w:multiLevelType w:val="hybridMultilevel"/>
    <w:tmpl w:val="2C763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2F7"/>
    <w:rsid w:val="000342F7"/>
    <w:rsid w:val="00055242"/>
    <w:rsid w:val="00107366"/>
    <w:rsid w:val="001A6FC7"/>
    <w:rsid w:val="0022345A"/>
    <w:rsid w:val="002C1382"/>
    <w:rsid w:val="003149DB"/>
    <w:rsid w:val="0037399F"/>
    <w:rsid w:val="0039743A"/>
    <w:rsid w:val="004777DD"/>
    <w:rsid w:val="004A2866"/>
    <w:rsid w:val="0054487F"/>
    <w:rsid w:val="005729E0"/>
    <w:rsid w:val="005B0673"/>
    <w:rsid w:val="006622EC"/>
    <w:rsid w:val="00694DD7"/>
    <w:rsid w:val="007150D1"/>
    <w:rsid w:val="007860D7"/>
    <w:rsid w:val="008466D4"/>
    <w:rsid w:val="008B4A5D"/>
    <w:rsid w:val="008C09E2"/>
    <w:rsid w:val="008C3515"/>
    <w:rsid w:val="00A167D0"/>
    <w:rsid w:val="00B33489"/>
    <w:rsid w:val="00B67422"/>
    <w:rsid w:val="00BE6617"/>
    <w:rsid w:val="00C9084A"/>
    <w:rsid w:val="00CA2D56"/>
    <w:rsid w:val="00D16A30"/>
    <w:rsid w:val="00DB569B"/>
    <w:rsid w:val="00E165A1"/>
    <w:rsid w:val="00F263AE"/>
    <w:rsid w:val="00FA2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C32A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2F7"/>
    <w:pPr>
      <w:ind w:left="720"/>
      <w:contextualSpacing/>
    </w:pPr>
  </w:style>
  <w:style w:type="table" w:styleId="TableGrid">
    <w:name w:val="Table Grid"/>
    <w:basedOn w:val="TableNormal"/>
    <w:uiPriority w:val="39"/>
    <w:rsid w:val="000342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5B0673"/>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5B0673"/>
    <w:rPr>
      <w:color w:val="0000FF"/>
      <w:u w:val="single"/>
    </w:rPr>
  </w:style>
  <w:style w:type="character" w:customStyle="1" w:styleId="apple-converted-space">
    <w:name w:val="apple-converted-space"/>
    <w:basedOn w:val="DefaultParagraphFont"/>
    <w:rsid w:val="005B0673"/>
  </w:style>
  <w:style w:type="character" w:styleId="FollowedHyperlink">
    <w:name w:val="FollowedHyperlink"/>
    <w:basedOn w:val="DefaultParagraphFont"/>
    <w:uiPriority w:val="99"/>
    <w:semiHidden/>
    <w:unhideWhenUsed/>
    <w:rsid w:val="005B0673"/>
    <w:rPr>
      <w:color w:val="954F72" w:themeColor="followedHyperlink"/>
      <w:u w:val="single"/>
    </w:rPr>
  </w:style>
  <w:style w:type="character" w:styleId="Emphasis">
    <w:name w:val="Emphasis"/>
    <w:basedOn w:val="DefaultParagraphFont"/>
    <w:uiPriority w:val="20"/>
    <w:qFormat/>
    <w:rsid w:val="007150D1"/>
    <w:rPr>
      <w:i/>
      <w:iCs/>
    </w:rPr>
  </w:style>
  <w:style w:type="paragraph" w:customStyle="1" w:styleId="style89">
    <w:name w:val="style89"/>
    <w:basedOn w:val="Normal"/>
    <w:rsid w:val="007150D1"/>
    <w:pPr>
      <w:spacing w:before="100" w:beforeAutospacing="1" w:after="100" w:afterAutospacing="1"/>
    </w:pPr>
    <w:rPr>
      <w:rFonts w:ascii="Times New Roman" w:hAnsi="Times New Roman" w:cs="Times New Roman"/>
    </w:rPr>
  </w:style>
  <w:style w:type="character" w:customStyle="1" w:styleId="style82">
    <w:name w:val="style82"/>
    <w:basedOn w:val="DefaultParagraphFont"/>
    <w:rsid w:val="007150D1"/>
  </w:style>
  <w:style w:type="character" w:customStyle="1" w:styleId="body">
    <w:name w:val="body"/>
    <w:basedOn w:val="DefaultParagraphFont"/>
    <w:rsid w:val="007150D1"/>
  </w:style>
  <w:style w:type="character" w:styleId="Strong">
    <w:name w:val="Strong"/>
    <w:basedOn w:val="DefaultParagraphFont"/>
    <w:uiPriority w:val="22"/>
    <w:qFormat/>
    <w:rsid w:val="007150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78809">
      <w:bodyDiv w:val="1"/>
      <w:marLeft w:val="0"/>
      <w:marRight w:val="0"/>
      <w:marTop w:val="0"/>
      <w:marBottom w:val="0"/>
      <w:divBdr>
        <w:top w:val="none" w:sz="0" w:space="0" w:color="auto"/>
        <w:left w:val="none" w:sz="0" w:space="0" w:color="auto"/>
        <w:bottom w:val="none" w:sz="0" w:space="0" w:color="auto"/>
        <w:right w:val="none" w:sz="0" w:space="0" w:color="auto"/>
      </w:divBdr>
    </w:div>
    <w:div w:id="151876979">
      <w:bodyDiv w:val="1"/>
      <w:marLeft w:val="0"/>
      <w:marRight w:val="0"/>
      <w:marTop w:val="0"/>
      <w:marBottom w:val="0"/>
      <w:divBdr>
        <w:top w:val="none" w:sz="0" w:space="0" w:color="auto"/>
        <w:left w:val="none" w:sz="0" w:space="0" w:color="auto"/>
        <w:bottom w:val="none" w:sz="0" w:space="0" w:color="auto"/>
        <w:right w:val="none" w:sz="0" w:space="0" w:color="auto"/>
      </w:divBdr>
    </w:div>
    <w:div w:id="191111888">
      <w:bodyDiv w:val="1"/>
      <w:marLeft w:val="0"/>
      <w:marRight w:val="0"/>
      <w:marTop w:val="0"/>
      <w:marBottom w:val="0"/>
      <w:divBdr>
        <w:top w:val="none" w:sz="0" w:space="0" w:color="auto"/>
        <w:left w:val="none" w:sz="0" w:space="0" w:color="auto"/>
        <w:bottom w:val="none" w:sz="0" w:space="0" w:color="auto"/>
        <w:right w:val="none" w:sz="0" w:space="0" w:color="auto"/>
      </w:divBdr>
    </w:div>
    <w:div w:id="380448140">
      <w:bodyDiv w:val="1"/>
      <w:marLeft w:val="0"/>
      <w:marRight w:val="0"/>
      <w:marTop w:val="0"/>
      <w:marBottom w:val="0"/>
      <w:divBdr>
        <w:top w:val="none" w:sz="0" w:space="0" w:color="auto"/>
        <w:left w:val="none" w:sz="0" w:space="0" w:color="auto"/>
        <w:bottom w:val="none" w:sz="0" w:space="0" w:color="auto"/>
        <w:right w:val="none" w:sz="0" w:space="0" w:color="auto"/>
      </w:divBdr>
    </w:div>
    <w:div w:id="544949754">
      <w:bodyDiv w:val="1"/>
      <w:marLeft w:val="0"/>
      <w:marRight w:val="0"/>
      <w:marTop w:val="0"/>
      <w:marBottom w:val="0"/>
      <w:divBdr>
        <w:top w:val="none" w:sz="0" w:space="0" w:color="auto"/>
        <w:left w:val="none" w:sz="0" w:space="0" w:color="auto"/>
        <w:bottom w:val="none" w:sz="0" w:space="0" w:color="auto"/>
        <w:right w:val="none" w:sz="0" w:space="0" w:color="auto"/>
      </w:divBdr>
    </w:div>
    <w:div w:id="713237845">
      <w:bodyDiv w:val="1"/>
      <w:marLeft w:val="0"/>
      <w:marRight w:val="0"/>
      <w:marTop w:val="0"/>
      <w:marBottom w:val="0"/>
      <w:divBdr>
        <w:top w:val="none" w:sz="0" w:space="0" w:color="auto"/>
        <w:left w:val="none" w:sz="0" w:space="0" w:color="auto"/>
        <w:bottom w:val="none" w:sz="0" w:space="0" w:color="auto"/>
        <w:right w:val="none" w:sz="0" w:space="0" w:color="auto"/>
      </w:divBdr>
    </w:div>
    <w:div w:id="800273159">
      <w:bodyDiv w:val="1"/>
      <w:marLeft w:val="0"/>
      <w:marRight w:val="0"/>
      <w:marTop w:val="0"/>
      <w:marBottom w:val="0"/>
      <w:divBdr>
        <w:top w:val="none" w:sz="0" w:space="0" w:color="auto"/>
        <w:left w:val="none" w:sz="0" w:space="0" w:color="auto"/>
        <w:bottom w:val="none" w:sz="0" w:space="0" w:color="auto"/>
        <w:right w:val="none" w:sz="0" w:space="0" w:color="auto"/>
      </w:divBdr>
    </w:div>
    <w:div w:id="853225026">
      <w:bodyDiv w:val="1"/>
      <w:marLeft w:val="0"/>
      <w:marRight w:val="0"/>
      <w:marTop w:val="0"/>
      <w:marBottom w:val="0"/>
      <w:divBdr>
        <w:top w:val="none" w:sz="0" w:space="0" w:color="auto"/>
        <w:left w:val="none" w:sz="0" w:space="0" w:color="auto"/>
        <w:bottom w:val="none" w:sz="0" w:space="0" w:color="auto"/>
        <w:right w:val="none" w:sz="0" w:space="0" w:color="auto"/>
      </w:divBdr>
    </w:div>
    <w:div w:id="900794215">
      <w:bodyDiv w:val="1"/>
      <w:marLeft w:val="0"/>
      <w:marRight w:val="0"/>
      <w:marTop w:val="0"/>
      <w:marBottom w:val="0"/>
      <w:divBdr>
        <w:top w:val="none" w:sz="0" w:space="0" w:color="auto"/>
        <w:left w:val="none" w:sz="0" w:space="0" w:color="auto"/>
        <w:bottom w:val="none" w:sz="0" w:space="0" w:color="auto"/>
        <w:right w:val="none" w:sz="0" w:space="0" w:color="auto"/>
      </w:divBdr>
    </w:div>
    <w:div w:id="936406558">
      <w:bodyDiv w:val="1"/>
      <w:marLeft w:val="0"/>
      <w:marRight w:val="0"/>
      <w:marTop w:val="0"/>
      <w:marBottom w:val="0"/>
      <w:divBdr>
        <w:top w:val="none" w:sz="0" w:space="0" w:color="auto"/>
        <w:left w:val="none" w:sz="0" w:space="0" w:color="auto"/>
        <w:bottom w:val="none" w:sz="0" w:space="0" w:color="auto"/>
        <w:right w:val="none" w:sz="0" w:space="0" w:color="auto"/>
      </w:divBdr>
    </w:div>
    <w:div w:id="2013871531">
      <w:bodyDiv w:val="1"/>
      <w:marLeft w:val="0"/>
      <w:marRight w:val="0"/>
      <w:marTop w:val="0"/>
      <w:marBottom w:val="0"/>
      <w:divBdr>
        <w:top w:val="none" w:sz="0" w:space="0" w:color="auto"/>
        <w:left w:val="none" w:sz="0" w:space="0" w:color="auto"/>
        <w:bottom w:val="none" w:sz="0" w:space="0" w:color="auto"/>
        <w:right w:val="none" w:sz="0" w:space="0" w:color="auto"/>
      </w:divBdr>
    </w:div>
    <w:div w:id="20411983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MFrench@ctohe.org" TargetMode="External"/><Relationship Id="rId6" Type="http://schemas.openxmlformats.org/officeDocument/2006/relationships/hyperlink" Target="mailto:LGoodwin@ctohe.org" TargetMode="External"/><Relationship Id="rId7" Type="http://schemas.openxmlformats.org/officeDocument/2006/relationships/hyperlink" Target="https://en.wikipedia.org/wiki/Title_IV" TargetMode="External"/><Relationship Id="rId8" Type="http://schemas.openxmlformats.org/officeDocument/2006/relationships/hyperlink" Target="https://en.wikipedia.org/wiki/Higher_Education_Act_of_1965" TargetMode="External"/><Relationship Id="rId9" Type="http://schemas.openxmlformats.org/officeDocument/2006/relationships/hyperlink" Target="https://en.wikipedia.org/wiki/Financial_aid_(educational_expenses)" TargetMode="External"/><Relationship Id="rId10" Type="http://schemas.openxmlformats.org/officeDocument/2006/relationships/hyperlink" Target="https://en.wikipedia.org/wiki/U.S._Department_of_Edu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405</Words>
  <Characters>2313</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Lerner</dc:creator>
  <cp:keywords/>
  <dc:description/>
  <cp:lastModifiedBy>Jessica Lerner</cp:lastModifiedBy>
  <cp:revision>8</cp:revision>
  <dcterms:created xsi:type="dcterms:W3CDTF">2016-06-22T14:08:00Z</dcterms:created>
  <dcterms:modified xsi:type="dcterms:W3CDTF">2016-06-28T19:05:00Z</dcterms:modified>
</cp:coreProperties>
</file>