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AF6AAF" w14:textId="77777777" w:rsidR="003A5C74" w:rsidRPr="001F2B02" w:rsidRDefault="00ED2C78" w:rsidP="00473217">
      <w:pPr>
        <w:spacing w:line="276" w:lineRule="auto"/>
        <w:jc w:val="center"/>
        <w:rPr>
          <w:u w:val="single"/>
        </w:rPr>
      </w:pPr>
      <w:r w:rsidRPr="001F2B02">
        <w:rPr>
          <w:u w:val="single"/>
        </w:rPr>
        <w:t>ENGR 111 H1</w:t>
      </w:r>
    </w:p>
    <w:p w14:paraId="199C8DFF" w14:textId="77777777" w:rsidR="00ED2C78" w:rsidRPr="001F2B02" w:rsidRDefault="00ED2C78" w:rsidP="00473217">
      <w:pPr>
        <w:spacing w:line="276" w:lineRule="auto"/>
        <w:jc w:val="center"/>
        <w:rPr>
          <w:u w:val="single"/>
        </w:rPr>
      </w:pPr>
    </w:p>
    <w:p w14:paraId="5CFC07A1" w14:textId="77777777" w:rsidR="00551B3A" w:rsidRPr="001F2B02" w:rsidRDefault="00ED2C78" w:rsidP="00473217">
      <w:pPr>
        <w:spacing w:line="276" w:lineRule="auto"/>
      </w:pPr>
      <w:r w:rsidRPr="001F2B02">
        <w:t xml:space="preserve">1. </w:t>
      </w:r>
    </w:p>
    <w:p w14:paraId="383C551E" w14:textId="77777777" w:rsidR="00551B3A" w:rsidRPr="001F2B02" w:rsidRDefault="00551B3A" w:rsidP="00473217">
      <w:pPr>
        <w:widowControl w:val="0"/>
        <w:autoSpaceDE w:val="0"/>
        <w:autoSpaceDN w:val="0"/>
        <w:adjustRightInd w:val="0"/>
        <w:spacing w:line="276" w:lineRule="auto"/>
        <w:rPr>
          <w:i/>
        </w:rPr>
      </w:pPr>
      <w:r w:rsidRPr="001F2B02">
        <w:rPr>
          <w:i/>
        </w:rPr>
        <w:t>Find two companies (of your choice) whose financial statements are</w:t>
      </w:r>
    </w:p>
    <w:p w14:paraId="450EE6E1" w14:textId="7D9A36D0" w:rsidR="00551B3A" w:rsidRPr="001F2B02" w:rsidRDefault="00551B3A" w:rsidP="00473217">
      <w:pPr>
        <w:spacing w:line="276" w:lineRule="auto"/>
        <w:rPr>
          <w:i/>
        </w:rPr>
      </w:pPr>
      <w:r w:rsidRPr="001F2B02">
        <w:rPr>
          <w:i/>
        </w:rPr>
        <w:t>publicly available. Fill out the following table using the latest available annual numbers:</w:t>
      </w:r>
    </w:p>
    <w:p w14:paraId="260041FC" w14:textId="3975AC41" w:rsidR="00ED2C78" w:rsidRPr="001F2B02" w:rsidRDefault="00ED2C78" w:rsidP="00473217">
      <w:pPr>
        <w:spacing w:line="276" w:lineRule="auto"/>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15252" w:rsidRPr="001F2B02" w14:paraId="489521E8" w14:textId="77777777" w:rsidTr="00F15252">
        <w:tc>
          <w:tcPr>
            <w:tcW w:w="1596" w:type="dxa"/>
          </w:tcPr>
          <w:p w14:paraId="72F02BEC" w14:textId="77777777" w:rsidR="00F15252" w:rsidRPr="001F2B02" w:rsidRDefault="00F15252" w:rsidP="00473217">
            <w:pPr>
              <w:spacing w:line="276" w:lineRule="auto"/>
            </w:pPr>
          </w:p>
        </w:tc>
        <w:tc>
          <w:tcPr>
            <w:tcW w:w="1596" w:type="dxa"/>
          </w:tcPr>
          <w:p w14:paraId="02D1F29A" w14:textId="77777777" w:rsidR="00F15252" w:rsidRPr="001F2B02" w:rsidRDefault="00F15252" w:rsidP="00473217">
            <w:pPr>
              <w:spacing w:line="276" w:lineRule="auto"/>
            </w:pPr>
            <w:r w:rsidRPr="001F2B02">
              <w:t>Current Assets</w:t>
            </w:r>
          </w:p>
        </w:tc>
        <w:tc>
          <w:tcPr>
            <w:tcW w:w="1596" w:type="dxa"/>
          </w:tcPr>
          <w:p w14:paraId="4B54A6C8" w14:textId="77777777" w:rsidR="00F15252" w:rsidRPr="001F2B02" w:rsidRDefault="00F15252" w:rsidP="00473217">
            <w:pPr>
              <w:spacing w:line="276" w:lineRule="auto"/>
            </w:pPr>
            <w:r w:rsidRPr="001F2B02">
              <w:t>Long Term Debt</w:t>
            </w:r>
          </w:p>
        </w:tc>
        <w:tc>
          <w:tcPr>
            <w:tcW w:w="1596" w:type="dxa"/>
          </w:tcPr>
          <w:p w14:paraId="098F2047" w14:textId="77777777" w:rsidR="00F15252" w:rsidRPr="001F2B02" w:rsidRDefault="00F15252" w:rsidP="00473217">
            <w:pPr>
              <w:spacing w:line="276" w:lineRule="auto"/>
            </w:pPr>
            <w:r w:rsidRPr="001F2B02">
              <w:t>Equity</w:t>
            </w:r>
          </w:p>
        </w:tc>
        <w:tc>
          <w:tcPr>
            <w:tcW w:w="1596" w:type="dxa"/>
          </w:tcPr>
          <w:p w14:paraId="52D5F133" w14:textId="77777777" w:rsidR="00F15252" w:rsidRPr="001F2B02" w:rsidRDefault="00F15252" w:rsidP="00473217">
            <w:pPr>
              <w:spacing w:line="276" w:lineRule="auto"/>
            </w:pPr>
            <w:r w:rsidRPr="001F2B02">
              <w:t>Revenue</w:t>
            </w:r>
          </w:p>
        </w:tc>
        <w:tc>
          <w:tcPr>
            <w:tcW w:w="1596" w:type="dxa"/>
          </w:tcPr>
          <w:p w14:paraId="74930E36" w14:textId="77777777" w:rsidR="00F15252" w:rsidRPr="001F2B02" w:rsidRDefault="00F15252" w:rsidP="00473217">
            <w:pPr>
              <w:spacing w:line="276" w:lineRule="auto"/>
            </w:pPr>
            <w:r w:rsidRPr="001F2B02">
              <w:t>Net Income</w:t>
            </w:r>
          </w:p>
        </w:tc>
      </w:tr>
      <w:tr w:rsidR="00F15252" w:rsidRPr="001F2B02" w14:paraId="439456DC" w14:textId="77777777" w:rsidTr="00F15252">
        <w:tc>
          <w:tcPr>
            <w:tcW w:w="1596" w:type="dxa"/>
          </w:tcPr>
          <w:p w14:paraId="1C429787" w14:textId="77777777" w:rsidR="00F15252" w:rsidRPr="001F2B02" w:rsidRDefault="00F15252" w:rsidP="00473217">
            <w:pPr>
              <w:spacing w:line="276" w:lineRule="auto"/>
            </w:pPr>
            <w:r w:rsidRPr="001F2B02">
              <w:t>Facebook</w:t>
            </w:r>
          </w:p>
        </w:tc>
        <w:tc>
          <w:tcPr>
            <w:tcW w:w="1596" w:type="dxa"/>
          </w:tcPr>
          <w:p w14:paraId="41BBCC24" w14:textId="77777777" w:rsidR="00F15252" w:rsidRPr="001F2B02" w:rsidRDefault="00F15252" w:rsidP="00473217">
            <w:pPr>
              <w:spacing w:line="276" w:lineRule="auto"/>
            </w:pPr>
            <w:r w:rsidRPr="001F2B02">
              <w:t>50,480,000</w:t>
            </w:r>
          </w:p>
        </w:tc>
        <w:tc>
          <w:tcPr>
            <w:tcW w:w="1596" w:type="dxa"/>
          </w:tcPr>
          <w:p w14:paraId="5C936076" w14:textId="77777777" w:rsidR="00F15252" w:rsidRPr="001F2B02" w:rsidRDefault="00F15252" w:rsidP="00473217">
            <w:pPr>
              <w:spacing w:line="276" w:lineRule="auto"/>
            </w:pPr>
            <w:r w:rsidRPr="001F2B02">
              <w:t>-</w:t>
            </w:r>
          </w:p>
        </w:tc>
        <w:tc>
          <w:tcPr>
            <w:tcW w:w="1596" w:type="dxa"/>
          </w:tcPr>
          <w:p w14:paraId="1CE8717A" w14:textId="77777777" w:rsidR="00F15252" w:rsidRPr="001F2B02" w:rsidRDefault="00F15252" w:rsidP="00473217">
            <w:pPr>
              <w:spacing w:line="276" w:lineRule="auto"/>
            </w:pPr>
            <w:r w:rsidRPr="001F2B02">
              <w:t>84,127,000</w:t>
            </w:r>
          </w:p>
        </w:tc>
        <w:tc>
          <w:tcPr>
            <w:tcW w:w="1596" w:type="dxa"/>
          </w:tcPr>
          <w:p w14:paraId="1C560A4C" w14:textId="77777777" w:rsidR="00F15252" w:rsidRPr="001F2B02" w:rsidRDefault="00F15252" w:rsidP="00473217">
            <w:pPr>
              <w:spacing w:line="276" w:lineRule="auto"/>
            </w:pPr>
            <w:r w:rsidRPr="001F2B02">
              <w:t>55,838,000</w:t>
            </w:r>
          </w:p>
        </w:tc>
        <w:tc>
          <w:tcPr>
            <w:tcW w:w="1596" w:type="dxa"/>
          </w:tcPr>
          <w:p w14:paraId="2BD5C932" w14:textId="77777777" w:rsidR="00F15252" w:rsidRPr="001F2B02" w:rsidRDefault="00F15252" w:rsidP="00473217">
            <w:pPr>
              <w:spacing w:line="276" w:lineRule="auto"/>
            </w:pPr>
            <w:r w:rsidRPr="001F2B02">
              <w:t>22,112,000</w:t>
            </w:r>
          </w:p>
        </w:tc>
      </w:tr>
      <w:tr w:rsidR="00F15252" w:rsidRPr="001F2B02" w14:paraId="4C49B9CB" w14:textId="77777777" w:rsidTr="00F15252">
        <w:tc>
          <w:tcPr>
            <w:tcW w:w="1596" w:type="dxa"/>
          </w:tcPr>
          <w:p w14:paraId="2CD50BA4" w14:textId="77777777" w:rsidR="00F15252" w:rsidRPr="001F2B02" w:rsidRDefault="00F15252" w:rsidP="00473217">
            <w:pPr>
              <w:spacing w:line="276" w:lineRule="auto"/>
            </w:pPr>
            <w:r w:rsidRPr="001F2B02">
              <w:t>Google</w:t>
            </w:r>
          </w:p>
        </w:tc>
        <w:tc>
          <w:tcPr>
            <w:tcW w:w="1596" w:type="dxa"/>
          </w:tcPr>
          <w:p w14:paraId="042C64A1" w14:textId="77777777" w:rsidR="00F15252" w:rsidRPr="001F2B02" w:rsidRDefault="00F15252" w:rsidP="00473217">
            <w:pPr>
              <w:spacing w:line="276" w:lineRule="auto"/>
            </w:pPr>
            <w:r w:rsidRPr="001F2B02">
              <w:t>135,676,000</w:t>
            </w:r>
          </w:p>
        </w:tc>
        <w:tc>
          <w:tcPr>
            <w:tcW w:w="1596" w:type="dxa"/>
          </w:tcPr>
          <w:p w14:paraId="361D23FE" w14:textId="77777777" w:rsidR="00F15252" w:rsidRPr="001F2B02" w:rsidRDefault="00F15252" w:rsidP="00473217">
            <w:pPr>
              <w:spacing w:line="276" w:lineRule="auto"/>
            </w:pPr>
            <w:r w:rsidRPr="001F2B02">
              <w:t>3,950,000</w:t>
            </w:r>
          </w:p>
        </w:tc>
        <w:tc>
          <w:tcPr>
            <w:tcW w:w="1596" w:type="dxa"/>
          </w:tcPr>
          <w:p w14:paraId="16FAA742" w14:textId="77777777" w:rsidR="00F15252" w:rsidRPr="001F2B02" w:rsidRDefault="00F15252" w:rsidP="00473217">
            <w:pPr>
              <w:spacing w:line="276" w:lineRule="auto"/>
            </w:pPr>
            <w:r w:rsidRPr="001F2B02">
              <w:t>177,628,000</w:t>
            </w:r>
          </w:p>
        </w:tc>
        <w:tc>
          <w:tcPr>
            <w:tcW w:w="1596" w:type="dxa"/>
          </w:tcPr>
          <w:p w14:paraId="28EF5C9B" w14:textId="77777777" w:rsidR="00F15252" w:rsidRPr="001F2B02" w:rsidRDefault="00F15252" w:rsidP="00473217">
            <w:pPr>
              <w:spacing w:line="276" w:lineRule="auto"/>
            </w:pPr>
            <w:r w:rsidRPr="001F2B02">
              <w:t>136,819,000</w:t>
            </w:r>
          </w:p>
        </w:tc>
        <w:tc>
          <w:tcPr>
            <w:tcW w:w="1596" w:type="dxa"/>
          </w:tcPr>
          <w:p w14:paraId="01C060AF" w14:textId="77777777" w:rsidR="00F15252" w:rsidRPr="001F2B02" w:rsidRDefault="00F15252" w:rsidP="00473217">
            <w:pPr>
              <w:spacing w:line="276" w:lineRule="auto"/>
            </w:pPr>
            <w:r w:rsidRPr="001F2B02">
              <w:t>30,736,000</w:t>
            </w:r>
          </w:p>
        </w:tc>
      </w:tr>
    </w:tbl>
    <w:p w14:paraId="725E177F" w14:textId="77777777" w:rsidR="00551B3A" w:rsidRPr="001F2B02" w:rsidRDefault="00551B3A" w:rsidP="00473217">
      <w:pPr>
        <w:spacing w:line="276" w:lineRule="auto"/>
        <w:rPr>
          <w:u w:val="single"/>
        </w:rPr>
      </w:pPr>
      <w:r w:rsidRPr="001F2B02">
        <w:rPr>
          <w:u w:val="single"/>
        </w:rPr>
        <w:t>Note: All numbers are in thousands</w:t>
      </w:r>
    </w:p>
    <w:p w14:paraId="43697EA2" w14:textId="77777777" w:rsidR="00ED2C78" w:rsidRPr="001F2B02" w:rsidRDefault="00ED2C78" w:rsidP="00473217">
      <w:pPr>
        <w:spacing w:line="276" w:lineRule="auto"/>
      </w:pPr>
    </w:p>
    <w:p w14:paraId="12C0E8B9" w14:textId="77777777" w:rsidR="00551B3A" w:rsidRPr="001F2B02" w:rsidRDefault="00551B3A" w:rsidP="00473217">
      <w:pPr>
        <w:widowControl w:val="0"/>
        <w:autoSpaceDE w:val="0"/>
        <w:autoSpaceDN w:val="0"/>
        <w:adjustRightInd w:val="0"/>
        <w:spacing w:line="276" w:lineRule="auto"/>
        <w:rPr>
          <w:i/>
        </w:rPr>
      </w:pPr>
      <w:r w:rsidRPr="001F2B02">
        <w:rPr>
          <w:i/>
        </w:rPr>
        <w:t>Can you compare the financial health of these companies by looking at the above</w:t>
      </w:r>
    </w:p>
    <w:p w14:paraId="0DACAA1F" w14:textId="77777777" w:rsidR="00551B3A" w:rsidRPr="001F2B02" w:rsidRDefault="00551B3A" w:rsidP="00473217">
      <w:pPr>
        <w:widowControl w:val="0"/>
        <w:autoSpaceDE w:val="0"/>
        <w:autoSpaceDN w:val="0"/>
        <w:adjustRightInd w:val="0"/>
        <w:spacing w:line="276" w:lineRule="auto"/>
        <w:rPr>
          <w:i/>
        </w:rPr>
      </w:pPr>
      <w:r w:rsidRPr="001F2B02">
        <w:rPr>
          <w:i/>
        </w:rPr>
        <w:t>numbers? Why or why not? Provide at least three criteria to be able to compare financial</w:t>
      </w:r>
    </w:p>
    <w:p w14:paraId="40CE172A" w14:textId="3407217B" w:rsidR="00551B3A" w:rsidRPr="001F2B02" w:rsidRDefault="00551B3A" w:rsidP="00473217">
      <w:pPr>
        <w:spacing w:line="276" w:lineRule="auto"/>
        <w:rPr>
          <w:i/>
        </w:rPr>
      </w:pPr>
      <w:r w:rsidRPr="001F2B02">
        <w:rPr>
          <w:i/>
        </w:rPr>
        <w:t>numbers of these two companies.</w:t>
      </w:r>
    </w:p>
    <w:p w14:paraId="109C4AB2" w14:textId="77777777" w:rsidR="00551B3A" w:rsidRPr="001F2B02" w:rsidRDefault="00551B3A" w:rsidP="00473217">
      <w:pPr>
        <w:spacing w:line="276" w:lineRule="auto"/>
      </w:pPr>
    </w:p>
    <w:p w14:paraId="088A9355" w14:textId="77777777" w:rsidR="009504B4" w:rsidRPr="001F2B02" w:rsidRDefault="00551B3A" w:rsidP="00473217">
      <w:pPr>
        <w:spacing w:line="276" w:lineRule="auto"/>
      </w:pPr>
      <w:r w:rsidRPr="001F2B02">
        <w:tab/>
      </w:r>
      <w:r w:rsidR="00B82074" w:rsidRPr="001F2B02">
        <w:t xml:space="preserve">It is difficult to compare the financial health of FB and GOOG with just the numbers in the table above. Evaluating the financial health of a company cannot be achieved by looking at a single metric, but is a culmination of a number of financial ratios to provide a deep dive into a given company. With that said, the financial health of two companies can be compared by looking at their liquidity, solvency, and profitability. </w:t>
      </w:r>
    </w:p>
    <w:p w14:paraId="6D436D96" w14:textId="77777777" w:rsidR="009504B4" w:rsidRPr="001F2B02" w:rsidRDefault="009504B4" w:rsidP="00473217">
      <w:pPr>
        <w:spacing w:line="276" w:lineRule="auto"/>
      </w:pPr>
    </w:p>
    <w:p w14:paraId="3D5B87AA" w14:textId="19E85D85" w:rsidR="00551B3A" w:rsidRPr="001F2B02" w:rsidRDefault="00B82074" w:rsidP="00473217">
      <w:pPr>
        <w:spacing w:line="276" w:lineRule="auto"/>
        <w:ind w:firstLine="720"/>
      </w:pPr>
      <w:r w:rsidRPr="001F2B02">
        <w:t xml:space="preserve">Liquidity </w:t>
      </w:r>
      <w:r w:rsidR="009504B4" w:rsidRPr="001F2B02">
        <w:t>is the amount of cash and easily-convertible-to-cash assets a company owns to manage its short-term debt obligations. Liquidity can be measured using the current ratio for example, which is the current assets divided by the current liabilities (with the latter missing from the table). Solvency is a company's ability to meet its debt obligations on an ongoing basis (and not just in the short term). Solvency can be measured using the debt/equity ratio, which divides the total liabilities by the shareholder's equity (with current liabilities missing, so total liabilities cannot be calculated). Lastly, looking at a company's bottom line or net profitability is a good measure of financial health, which can be found by using the net income and revenue to calculate how much profit is generated as a percentage of revenue (which can be found using the table above).</w:t>
      </w:r>
    </w:p>
    <w:p w14:paraId="3A3F0BA8" w14:textId="77777777" w:rsidR="009504B4" w:rsidRPr="001F2B02" w:rsidRDefault="009504B4" w:rsidP="00473217">
      <w:pPr>
        <w:spacing w:line="276" w:lineRule="auto"/>
      </w:pPr>
    </w:p>
    <w:p w14:paraId="3756E458" w14:textId="77777777" w:rsidR="00473217" w:rsidRPr="001F2B02" w:rsidRDefault="00473217" w:rsidP="00473217">
      <w:pPr>
        <w:spacing w:line="276" w:lineRule="auto"/>
      </w:pPr>
    </w:p>
    <w:p w14:paraId="1B82DAAA" w14:textId="77777777" w:rsidR="00473217" w:rsidRPr="001F2B02" w:rsidRDefault="00473217" w:rsidP="00473217">
      <w:pPr>
        <w:spacing w:line="276" w:lineRule="auto"/>
      </w:pPr>
    </w:p>
    <w:p w14:paraId="060B654E" w14:textId="77777777" w:rsidR="00473217" w:rsidRPr="001F2B02" w:rsidRDefault="00473217" w:rsidP="00473217">
      <w:pPr>
        <w:spacing w:line="276" w:lineRule="auto"/>
      </w:pPr>
    </w:p>
    <w:p w14:paraId="7E3A27FD" w14:textId="77777777" w:rsidR="00473217" w:rsidRPr="001F2B02" w:rsidRDefault="00473217" w:rsidP="00473217">
      <w:pPr>
        <w:spacing w:line="276" w:lineRule="auto"/>
      </w:pPr>
    </w:p>
    <w:p w14:paraId="181D2021" w14:textId="77777777" w:rsidR="00473217" w:rsidRPr="001F2B02" w:rsidRDefault="00473217" w:rsidP="00473217">
      <w:pPr>
        <w:spacing w:line="276" w:lineRule="auto"/>
      </w:pPr>
    </w:p>
    <w:p w14:paraId="30665859" w14:textId="77777777" w:rsidR="00473217" w:rsidRPr="001F2B02" w:rsidRDefault="00473217" w:rsidP="00473217">
      <w:pPr>
        <w:spacing w:line="276" w:lineRule="auto"/>
      </w:pPr>
    </w:p>
    <w:p w14:paraId="6158174F" w14:textId="77777777" w:rsidR="00473217" w:rsidRPr="001F2B02" w:rsidRDefault="00473217" w:rsidP="00473217">
      <w:pPr>
        <w:spacing w:line="276" w:lineRule="auto"/>
      </w:pPr>
    </w:p>
    <w:p w14:paraId="412BEE2F" w14:textId="77777777" w:rsidR="00F15252" w:rsidRPr="001F2B02" w:rsidRDefault="00F15252" w:rsidP="00473217">
      <w:pPr>
        <w:spacing w:line="276" w:lineRule="auto"/>
      </w:pPr>
      <w:r w:rsidRPr="001F2B02">
        <w:lastRenderedPageBreak/>
        <w:t xml:space="preserve">2. </w:t>
      </w:r>
    </w:p>
    <w:p w14:paraId="68E25793" w14:textId="77777777" w:rsidR="001B056D" w:rsidRPr="001F2B02" w:rsidRDefault="001B056D" w:rsidP="00473217">
      <w:pPr>
        <w:widowControl w:val="0"/>
        <w:autoSpaceDE w:val="0"/>
        <w:autoSpaceDN w:val="0"/>
        <w:adjustRightInd w:val="0"/>
        <w:spacing w:line="276" w:lineRule="auto"/>
        <w:rPr>
          <w:i/>
        </w:rPr>
      </w:pPr>
      <w:r w:rsidRPr="001F2B02">
        <w:rPr>
          <w:i/>
        </w:rPr>
        <w:t>Following are the account entries for Company X. Organize company’s</w:t>
      </w:r>
    </w:p>
    <w:p w14:paraId="561F16A0" w14:textId="4E46A022" w:rsidR="007D3134" w:rsidRPr="001F2B02" w:rsidRDefault="001B056D" w:rsidP="00473217">
      <w:pPr>
        <w:spacing w:line="276" w:lineRule="auto"/>
        <w:rPr>
          <w:i/>
        </w:rPr>
      </w:pPr>
      <w:r w:rsidRPr="001F2B02">
        <w:rPr>
          <w:i/>
        </w:rPr>
        <w:t>Balance Sheet and Income Statement.</w:t>
      </w:r>
    </w:p>
    <w:p w14:paraId="067A0A41" w14:textId="77777777" w:rsidR="001B056D" w:rsidRPr="001F2B02" w:rsidRDefault="001B056D" w:rsidP="00473217">
      <w:pPr>
        <w:spacing w:line="276" w:lineRule="auto"/>
      </w:pPr>
    </w:p>
    <w:p w14:paraId="697E922F" w14:textId="23C2C6DC" w:rsidR="00447A0D" w:rsidRPr="001F2B02" w:rsidRDefault="00447A0D" w:rsidP="00473217">
      <w:pPr>
        <w:spacing w:line="276" w:lineRule="auto"/>
      </w:pPr>
      <w:r w:rsidRPr="001F2B02">
        <w:rPr>
          <w:u w:val="single"/>
        </w:rPr>
        <w:t>Balance Sheet</w:t>
      </w:r>
    </w:p>
    <w:p w14:paraId="2CF400F5" w14:textId="25B7AD12" w:rsidR="00447A0D" w:rsidRPr="001F2B02" w:rsidRDefault="00447A0D" w:rsidP="00473217">
      <w:pPr>
        <w:widowControl w:val="0"/>
        <w:autoSpaceDE w:val="0"/>
        <w:autoSpaceDN w:val="0"/>
        <w:adjustRightInd w:val="0"/>
        <w:rPr>
          <w:b/>
        </w:rPr>
      </w:pPr>
      <w:r w:rsidRPr="001F2B02">
        <w:rPr>
          <w:b/>
        </w:rPr>
        <w:t>Assets</w:t>
      </w:r>
    </w:p>
    <w:p w14:paraId="191FB41E" w14:textId="704DA4FC" w:rsidR="00447A0D" w:rsidRPr="001F2B02" w:rsidRDefault="00447A0D" w:rsidP="00473217">
      <w:pPr>
        <w:pStyle w:val="ListParagraph"/>
        <w:widowControl w:val="0"/>
        <w:numPr>
          <w:ilvl w:val="0"/>
          <w:numId w:val="2"/>
        </w:numPr>
        <w:autoSpaceDE w:val="0"/>
        <w:autoSpaceDN w:val="0"/>
        <w:adjustRightInd w:val="0"/>
      </w:pPr>
      <w:r w:rsidRPr="001F2B02">
        <w:t>Current Assets</w:t>
      </w:r>
    </w:p>
    <w:p w14:paraId="54F4FF9E" w14:textId="39CD6EC8" w:rsidR="00447A0D" w:rsidRPr="001F2B02" w:rsidRDefault="00447A0D" w:rsidP="00473217">
      <w:pPr>
        <w:pStyle w:val="ListParagraph"/>
        <w:widowControl w:val="0"/>
        <w:numPr>
          <w:ilvl w:val="1"/>
          <w:numId w:val="2"/>
        </w:numPr>
        <w:autoSpaceDE w:val="0"/>
        <w:autoSpaceDN w:val="0"/>
        <w:adjustRightInd w:val="0"/>
      </w:pPr>
      <w:r w:rsidRPr="001F2B02">
        <w:t>Cash 250</w:t>
      </w:r>
    </w:p>
    <w:p w14:paraId="0919DFA3" w14:textId="77777777" w:rsidR="00447A0D" w:rsidRPr="001F2B02" w:rsidRDefault="00447A0D" w:rsidP="00473217">
      <w:pPr>
        <w:pStyle w:val="ListParagraph"/>
        <w:widowControl w:val="0"/>
        <w:numPr>
          <w:ilvl w:val="1"/>
          <w:numId w:val="2"/>
        </w:numPr>
        <w:autoSpaceDE w:val="0"/>
        <w:autoSpaceDN w:val="0"/>
        <w:adjustRightInd w:val="0"/>
      </w:pPr>
      <w:r w:rsidRPr="001F2B02">
        <w:t>Inventory 200</w:t>
      </w:r>
    </w:p>
    <w:p w14:paraId="6DBF3953" w14:textId="40A52AF5" w:rsidR="00447A0D" w:rsidRPr="001F2B02" w:rsidRDefault="00447A0D" w:rsidP="00473217">
      <w:pPr>
        <w:pStyle w:val="ListParagraph"/>
        <w:widowControl w:val="0"/>
        <w:numPr>
          <w:ilvl w:val="0"/>
          <w:numId w:val="2"/>
        </w:numPr>
        <w:autoSpaceDE w:val="0"/>
        <w:autoSpaceDN w:val="0"/>
        <w:adjustRightInd w:val="0"/>
      </w:pPr>
      <w:r w:rsidRPr="001F2B02">
        <w:t>Fixed Assets</w:t>
      </w:r>
    </w:p>
    <w:p w14:paraId="5CF426EE" w14:textId="2E5FA791" w:rsidR="00BC4356" w:rsidRPr="001F2B02" w:rsidRDefault="00447A0D" w:rsidP="00473217">
      <w:pPr>
        <w:pStyle w:val="ListParagraph"/>
        <w:widowControl w:val="0"/>
        <w:numPr>
          <w:ilvl w:val="1"/>
          <w:numId w:val="2"/>
        </w:numPr>
        <w:autoSpaceDE w:val="0"/>
        <w:autoSpaceDN w:val="0"/>
        <w:adjustRightInd w:val="0"/>
      </w:pPr>
      <w:r w:rsidRPr="001F2B02">
        <w:t>Plant&amp;Equipment 600</w:t>
      </w:r>
    </w:p>
    <w:p w14:paraId="3D60DF06" w14:textId="1160BB6E" w:rsidR="00447A0D" w:rsidRPr="001F2B02" w:rsidRDefault="00447A0D" w:rsidP="00473217">
      <w:pPr>
        <w:widowControl w:val="0"/>
        <w:autoSpaceDE w:val="0"/>
        <w:autoSpaceDN w:val="0"/>
        <w:adjustRightInd w:val="0"/>
        <w:rPr>
          <w:b/>
        </w:rPr>
      </w:pPr>
      <w:r w:rsidRPr="001F2B02">
        <w:rPr>
          <w:b/>
        </w:rPr>
        <w:t>Liabilities</w:t>
      </w:r>
    </w:p>
    <w:p w14:paraId="7DFA09C9" w14:textId="18303D64" w:rsidR="00447A0D" w:rsidRPr="001F2B02" w:rsidRDefault="00447A0D" w:rsidP="00473217">
      <w:pPr>
        <w:pStyle w:val="ListParagraph"/>
        <w:widowControl w:val="0"/>
        <w:numPr>
          <w:ilvl w:val="0"/>
          <w:numId w:val="3"/>
        </w:numPr>
        <w:autoSpaceDE w:val="0"/>
        <w:autoSpaceDN w:val="0"/>
        <w:adjustRightInd w:val="0"/>
      </w:pPr>
      <w:r w:rsidRPr="001F2B02">
        <w:t>Current Liabilities</w:t>
      </w:r>
    </w:p>
    <w:p w14:paraId="059B8D92" w14:textId="3B92CFB0" w:rsidR="00447A0D" w:rsidRPr="001F2B02" w:rsidRDefault="00447A0D" w:rsidP="00473217">
      <w:pPr>
        <w:pStyle w:val="ListParagraph"/>
        <w:widowControl w:val="0"/>
        <w:numPr>
          <w:ilvl w:val="1"/>
          <w:numId w:val="3"/>
        </w:numPr>
        <w:autoSpaceDE w:val="0"/>
        <w:autoSpaceDN w:val="0"/>
        <w:adjustRightInd w:val="0"/>
      </w:pPr>
      <w:r w:rsidRPr="001F2B02">
        <w:t>Accounts Payable 150</w:t>
      </w:r>
    </w:p>
    <w:p w14:paraId="44A99EB4" w14:textId="64CF73D5" w:rsidR="00447A0D" w:rsidRPr="001F2B02" w:rsidRDefault="00447A0D" w:rsidP="00473217">
      <w:pPr>
        <w:pStyle w:val="ListParagraph"/>
        <w:widowControl w:val="0"/>
        <w:numPr>
          <w:ilvl w:val="0"/>
          <w:numId w:val="3"/>
        </w:numPr>
        <w:autoSpaceDE w:val="0"/>
        <w:autoSpaceDN w:val="0"/>
        <w:adjustRightInd w:val="0"/>
      </w:pPr>
      <w:r w:rsidRPr="001F2B02">
        <w:t>Long Term Debt 400</w:t>
      </w:r>
    </w:p>
    <w:p w14:paraId="4858CA96" w14:textId="18CB2659" w:rsidR="00447A0D" w:rsidRPr="001F2B02" w:rsidRDefault="00447A0D" w:rsidP="00473217">
      <w:pPr>
        <w:pStyle w:val="ListParagraph"/>
        <w:widowControl w:val="0"/>
        <w:numPr>
          <w:ilvl w:val="0"/>
          <w:numId w:val="3"/>
        </w:numPr>
        <w:autoSpaceDE w:val="0"/>
        <w:autoSpaceDN w:val="0"/>
        <w:adjustRightInd w:val="0"/>
      </w:pPr>
      <w:r w:rsidRPr="001F2B02">
        <w:t>Owners' Equity 500</w:t>
      </w:r>
    </w:p>
    <w:p w14:paraId="27D57FFC" w14:textId="77777777" w:rsidR="00447A0D" w:rsidRPr="001F2B02" w:rsidRDefault="00447A0D" w:rsidP="00473217">
      <w:pPr>
        <w:widowControl w:val="0"/>
        <w:autoSpaceDE w:val="0"/>
        <w:autoSpaceDN w:val="0"/>
        <w:adjustRightInd w:val="0"/>
      </w:pPr>
    </w:p>
    <w:p w14:paraId="30852B43" w14:textId="77777777" w:rsidR="00447A0D" w:rsidRPr="001F2B02" w:rsidRDefault="00447A0D" w:rsidP="00473217">
      <w:pPr>
        <w:widowControl w:val="0"/>
        <w:autoSpaceDE w:val="0"/>
        <w:autoSpaceDN w:val="0"/>
        <w:adjustRightInd w:val="0"/>
        <w:rPr>
          <w:u w:val="single"/>
        </w:rPr>
      </w:pPr>
      <w:r w:rsidRPr="001F2B02">
        <w:rPr>
          <w:u w:val="single"/>
        </w:rPr>
        <w:t>Income Statement</w:t>
      </w:r>
    </w:p>
    <w:p w14:paraId="6696992A" w14:textId="2B121E9E" w:rsidR="00447A0D" w:rsidRPr="001F2B02" w:rsidRDefault="00447A0D" w:rsidP="00473217">
      <w:pPr>
        <w:pStyle w:val="ListParagraph"/>
        <w:widowControl w:val="0"/>
        <w:numPr>
          <w:ilvl w:val="0"/>
          <w:numId w:val="5"/>
        </w:numPr>
        <w:autoSpaceDE w:val="0"/>
        <w:autoSpaceDN w:val="0"/>
        <w:adjustRightInd w:val="0"/>
      </w:pPr>
      <w:r w:rsidRPr="001F2B02">
        <w:t>Revenue 1,100</w:t>
      </w:r>
    </w:p>
    <w:p w14:paraId="712D5C00" w14:textId="7DF8453E" w:rsidR="00447A0D" w:rsidRPr="001F2B02" w:rsidRDefault="00447A0D" w:rsidP="00473217">
      <w:pPr>
        <w:pStyle w:val="ListParagraph"/>
        <w:widowControl w:val="0"/>
        <w:numPr>
          <w:ilvl w:val="1"/>
          <w:numId w:val="5"/>
        </w:numPr>
        <w:autoSpaceDE w:val="0"/>
        <w:autoSpaceDN w:val="0"/>
        <w:adjustRightInd w:val="0"/>
      </w:pPr>
      <w:r w:rsidRPr="001F2B02">
        <w:t>Costs of Goods Sold 700</w:t>
      </w:r>
    </w:p>
    <w:p w14:paraId="1CEF3223" w14:textId="7FD9789C" w:rsidR="00447A0D" w:rsidRPr="001F2B02" w:rsidRDefault="00447A0D" w:rsidP="00473217">
      <w:pPr>
        <w:pStyle w:val="ListParagraph"/>
        <w:widowControl w:val="0"/>
        <w:numPr>
          <w:ilvl w:val="0"/>
          <w:numId w:val="5"/>
        </w:numPr>
        <w:autoSpaceDE w:val="0"/>
        <w:autoSpaceDN w:val="0"/>
        <w:adjustRightInd w:val="0"/>
      </w:pPr>
      <w:r w:rsidRPr="001F2B02">
        <w:t>Tax 122.5</w:t>
      </w:r>
    </w:p>
    <w:p w14:paraId="397C671E" w14:textId="31E15255" w:rsidR="00447A0D" w:rsidRPr="001F2B02" w:rsidRDefault="00447A0D" w:rsidP="00473217">
      <w:pPr>
        <w:pStyle w:val="ListParagraph"/>
        <w:widowControl w:val="0"/>
        <w:numPr>
          <w:ilvl w:val="0"/>
          <w:numId w:val="5"/>
        </w:numPr>
        <w:autoSpaceDE w:val="0"/>
        <w:autoSpaceDN w:val="0"/>
        <w:adjustRightInd w:val="0"/>
      </w:pPr>
      <w:r w:rsidRPr="001F2B02">
        <w:t>Interest 50</w:t>
      </w:r>
    </w:p>
    <w:p w14:paraId="12E8012F" w14:textId="5A5FB534" w:rsidR="001B056D" w:rsidRPr="001F2B02" w:rsidRDefault="00447A0D" w:rsidP="00473217">
      <w:pPr>
        <w:pStyle w:val="ListParagraph"/>
        <w:widowControl w:val="0"/>
        <w:numPr>
          <w:ilvl w:val="0"/>
          <w:numId w:val="5"/>
        </w:numPr>
        <w:autoSpaceDE w:val="0"/>
        <w:autoSpaceDN w:val="0"/>
        <w:adjustRightInd w:val="0"/>
      </w:pPr>
      <w:r w:rsidRPr="001F2B02">
        <w:t>Net Income 227.5</w:t>
      </w:r>
    </w:p>
    <w:p w14:paraId="2AF81C09" w14:textId="77777777" w:rsidR="00473217" w:rsidRPr="001F2B02" w:rsidRDefault="00473217" w:rsidP="00473217">
      <w:pPr>
        <w:widowControl w:val="0"/>
        <w:autoSpaceDE w:val="0"/>
        <w:autoSpaceDN w:val="0"/>
        <w:adjustRightInd w:val="0"/>
      </w:pPr>
    </w:p>
    <w:p w14:paraId="72A51BF5" w14:textId="67D1942D" w:rsidR="00370C56" w:rsidRPr="001F2B02" w:rsidRDefault="00370C56" w:rsidP="00473217">
      <w:pPr>
        <w:spacing w:line="276" w:lineRule="auto"/>
      </w:pPr>
      <w:r w:rsidRPr="001F2B02">
        <w:t>3.</w:t>
      </w:r>
    </w:p>
    <w:p w14:paraId="00FFC0C3" w14:textId="77777777" w:rsidR="00370C56" w:rsidRPr="001F2B02" w:rsidRDefault="00370C56" w:rsidP="00473217">
      <w:pPr>
        <w:widowControl w:val="0"/>
        <w:autoSpaceDE w:val="0"/>
        <w:autoSpaceDN w:val="0"/>
        <w:adjustRightInd w:val="0"/>
        <w:spacing w:line="276" w:lineRule="auto"/>
        <w:rPr>
          <w:i/>
        </w:rPr>
      </w:pPr>
      <w:r w:rsidRPr="001F2B02">
        <w:rPr>
          <w:i/>
        </w:rPr>
        <w:t>Profit margins tend to differ in different industries. An example is that</w:t>
      </w:r>
    </w:p>
    <w:p w14:paraId="6E92B635" w14:textId="77777777" w:rsidR="00370C56" w:rsidRPr="001F2B02" w:rsidRDefault="00370C56" w:rsidP="00473217">
      <w:pPr>
        <w:widowControl w:val="0"/>
        <w:autoSpaceDE w:val="0"/>
        <w:autoSpaceDN w:val="0"/>
        <w:adjustRightInd w:val="0"/>
        <w:spacing w:line="276" w:lineRule="auto"/>
        <w:rPr>
          <w:i/>
        </w:rPr>
      </w:pPr>
      <w:r w:rsidRPr="001F2B02">
        <w:rPr>
          <w:i/>
        </w:rPr>
        <w:t>grocery stores have notoriously low profit margins. Albertson’s Profit Margin is 1.2%</w:t>
      </w:r>
    </w:p>
    <w:p w14:paraId="0D64F707" w14:textId="77777777" w:rsidR="00370C56" w:rsidRPr="001F2B02" w:rsidRDefault="00370C56" w:rsidP="00473217">
      <w:pPr>
        <w:widowControl w:val="0"/>
        <w:autoSpaceDE w:val="0"/>
        <w:autoSpaceDN w:val="0"/>
        <w:adjustRightInd w:val="0"/>
        <w:spacing w:line="276" w:lineRule="auto"/>
        <w:rPr>
          <w:i/>
        </w:rPr>
      </w:pPr>
      <w:r w:rsidRPr="001F2B02">
        <w:rPr>
          <w:i/>
        </w:rPr>
        <w:t>compared to Pfizer’s Profit Margin of 15.6%, a pharmaceutical company.</w:t>
      </w:r>
    </w:p>
    <w:p w14:paraId="1F801540" w14:textId="77777777" w:rsidR="00B30264" w:rsidRPr="001F2B02" w:rsidRDefault="00B30264" w:rsidP="00473217">
      <w:pPr>
        <w:spacing w:line="276" w:lineRule="auto"/>
        <w:rPr>
          <w:i/>
        </w:rPr>
      </w:pPr>
    </w:p>
    <w:p w14:paraId="432E71D3" w14:textId="75657DDD" w:rsidR="00370C56" w:rsidRPr="001F2B02" w:rsidRDefault="00370C56" w:rsidP="00473217">
      <w:pPr>
        <w:spacing w:line="276" w:lineRule="auto"/>
        <w:rPr>
          <w:i/>
        </w:rPr>
      </w:pPr>
      <w:r w:rsidRPr="001F2B02">
        <w:rPr>
          <w:i/>
        </w:rPr>
        <w:t>Then, why invest on grocery stores instead of pharmaceutical companies?</w:t>
      </w:r>
    </w:p>
    <w:p w14:paraId="2E838CA5" w14:textId="77777777" w:rsidR="00370C56" w:rsidRPr="001F2B02" w:rsidRDefault="00370C56" w:rsidP="00473217">
      <w:pPr>
        <w:spacing w:line="276" w:lineRule="auto"/>
        <w:rPr>
          <w:i/>
        </w:rPr>
      </w:pPr>
    </w:p>
    <w:p w14:paraId="07B77268" w14:textId="3EB5091F" w:rsidR="00370C56" w:rsidRPr="001F2B02" w:rsidRDefault="00AC343A" w:rsidP="00473217">
      <w:pPr>
        <w:spacing w:line="276" w:lineRule="auto"/>
      </w:pPr>
      <w:r w:rsidRPr="001F2B02">
        <w:tab/>
        <w:t>Grocery stores may not have the impressive looking profit margins that pharmaceutical companies have, but they offer investors with stability and a more defensive position to have in a portfolio. This is because grocery stores are more defensive by nature as they aren't affected by the cycles of the economy (i.e. people always need to buy groceries/food to eat whether we are in a recession or expansion) and are usually considered value stocks as they pay higher dividends. On the other hand, pharmaceutical companies are growth stocks that have much more risk involved as they are under increased scrutiny from the FDA; spend billions of dollars in trials for new products/patents (and if they ultimately fail, they would have wasted billions of dollars and many years, which investors don't look at too kindly); and pay much lower dividends to investors.</w:t>
      </w:r>
    </w:p>
    <w:p w14:paraId="0FBBF4F2" w14:textId="77777777" w:rsidR="00B30264" w:rsidRPr="001F2B02" w:rsidRDefault="00B30264" w:rsidP="00473217">
      <w:pPr>
        <w:widowControl w:val="0"/>
        <w:autoSpaceDE w:val="0"/>
        <w:autoSpaceDN w:val="0"/>
        <w:adjustRightInd w:val="0"/>
        <w:spacing w:line="276" w:lineRule="auto"/>
      </w:pPr>
    </w:p>
    <w:p w14:paraId="7A70CC92" w14:textId="77777777" w:rsidR="00473217" w:rsidRPr="001F2B02" w:rsidRDefault="00473217" w:rsidP="00473217">
      <w:pPr>
        <w:widowControl w:val="0"/>
        <w:autoSpaceDE w:val="0"/>
        <w:autoSpaceDN w:val="0"/>
        <w:adjustRightInd w:val="0"/>
        <w:spacing w:line="276" w:lineRule="auto"/>
      </w:pPr>
      <w:r w:rsidRPr="001F2B02">
        <w:t>4.</w:t>
      </w:r>
    </w:p>
    <w:p w14:paraId="224699B7" w14:textId="5464FA65" w:rsidR="00473217" w:rsidRPr="001F2B02" w:rsidRDefault="00473217" w:rsidP="00473217">
      <w:pPr>
        <w:widowControl w:val="0"/>
        <w:autoSpaceDE w:val="0"/>
        <w:autoSpaceDN w:val="0"/>
        <w:adjustRightInd w:val="0"/>
        <w:spacing w:line="276" w:lineRule="auto"/>
        <w:rPr>
          <w:i/>
        </w:rPr>
      </w:pPr>
      <w:r w:rsidRPr="001F2B02">
        <w:rPr>
          <w:i/>
        </w:rPr>
        <w:t>Pull out the Income Statement and the Balance Sheet for Dec 31, 2018 for</w:t>
      </w:r>
    </w:p>
    <w:p w14:paraId="0983B5A2" w14:textId="77777777" w:rsidR="00473217" w:rsidRPr="001F2B02" w:rsidRDefault="00473217" w:rsidP="00473217">
      <w:pPr>
        <w:widowControl w:val="0"/>
        <w:autoSpaceDE w:val="0"/>
        <w:autoSpaceDN w:val="0"/>
        <w:adjustRightInd w:val="0"/>
        <w:spacing w:line="276" w:lineRule="auto"/>
        <w:rPr>
          <w:i/>
        </w:rPr>
      </w:pPr>
      <w:r w:rsidRPr="001F2B02">
        <w:rPr>
          <w:i/>
        </w:rPr>
        <w:t>Alcoa Inc., one of the major aluminum companies in the world. Answer the following</w:t>
      </w:r>
    </w:p>
    <w:p w14:paraId="1CDBCB84" w14:textId="77777777" w:rsidR="00473217" w:rsidRPr="001F2B02" w:rsidRDefault="00473217" w:rsidP="00473217">
      <w:pPr>
        <w:widowControl w:val="0"/>
        <w:autoSpaceDE w:val="0"/>
        <w:autoSpaceDN w:val="0"/>
        <w:adjustRightInd w:val="0"/>
        <w:spacing w:line="276" w:lineRule="auto"/>
        <w:rPr>
          <w:i/>
        </w:rPr>
      </w:pPr>
      <w:r w:rsidRPr="001F2B02">
        <w:rPr>
          <w:i/>
        </w:rPr>
        <w:t>questions:</w:t>
      </w:r>
    </w:p>
    <w:p w14:paraId="15EEEC1A" w14:textId="77777777" w:rsidR="003B4BD9" w:rsidRPr="001F2B02" w:rsidRDefault="003B4BD9" w:rsidP="003B4BD9">
      <w:pPr>
        <w:spacing w:line="276" w:lineRule="auto"/>
        <w:rPr>
          <w:u w:val="single"/>
        </w:rPr>
      </w:pPr>
      <w:r w:rsidRPr="001F2B02">
        <w:rPr>
          <w:u w:val="single"/>
        </w:rPr>
        <w:t>Note: All numbers are in thousands</w:t>
      </w:r>
    </w:p>
    <w:p w14:paraId="40E6CA2F" w14:textId="77777777" w:rsidR="00473217" w:rsidRPr="001F2B02" w:rsidRDefault="00473217" w:rsidP="00473217">
      <w:pPr>
        <w:widowControl w:val="0"/>
        <w:autoSpaceDE w:val="0"/>
        <w:autoSpaceDN w:val="0"/>
        <w:adjustRightInd w:val="0"/>
        <w:spacing w:line="276" w:lineRule="auto"/>
        <w:rPr>
          <w:i/>
        </w:rPr>
      </w:pPr>
    </w:p>
    <w:p w14:paraId="70E75094" w14:textId="54E06439" w:rsidR="00473217" w:rsidRPr="001F2B02" w:rsidRDefault="00473217" w:rsidP="00473217">
      <w:pPr>
        <w:widowControl w:val="0"/>
        <w:autoSpaceDE w:val="0"/>
        <w:autoSpaceDN w:val="0"/>
        <w:adjustRightInd w:val="0"/>
        <w:spacing w:line="276" w:lineRule="auto"/>
        <w:rPr>
          <w:i/>
        </w:rPr>
      </w:pPr>
      <w:r w:rsidRPr="001F2B02">
        <w:rPr>
          <w:i/>
        </w:rPr>
        <w:t xml:space="preserve">a) </w:t>
      </w:r>
      <w:r w:rsidR="001F2B02">
        <w:rPr>
          <w:i/>
        </w:rPr>
        <w:t>What is the Quick Ratio for 2018</w:t>
      </w:r>
      <w:r w:rsidRPr="001F2B02">
        <w:rPr>
          <w:i/>
        </w:rPr>
        <w:t>?</w:t>
      </w:r>
    </w:p>
    <w:p w14:paraId="1AF89CA6" w14:textId="7BC6DF89" w:rsidR="00473217" w:rsidRPr="001F2B02" w:rsidRDefault="00473217" w:rsidP="00473217">
      <w:pPr>
        <w:widowControl w:val="0"/>
        <w:autoSpaceDE w:val="0"/>
        <w:autoSpaceDN w:val="0"/>
        <w:adjustRightInd w:val="0"/>
        <w:spacing w:line="276" w:lineRule="auto"/>
      </w:pPr>
      <w:r w:rsidRPr="001F2B02">
        <w:tab/>
        <w:t>Quick Ratio</w:t>
      </w:r>
      <w:r w:rsidR="00C103DC" w:rsidRPr="001F2B02">
        <w:t xml:space="preserve"> = [Cash And Cash Equivalents + Short Term Investments + Net Receivables] / Current Liabilities</w:t>
      </w:r>
    </w:p>
    <w:p w14:paraId="2BDDEC81" w14:textId="177A8056" w:rsidR="00C103DC" w:rsidRPr="001F2B02" w:rsidRDefault="00C103DC" w:rsidP="00473217">
      <w:pPr>
        <w:widowControl w:val="0"/>
        <w:autoSpaceDE w:val="0"/>
        <w:autoSpaceDN w:val="0"/>
        <w:adjustRightInd w:val="0"/>
        <w:spacing w:line="276" w:lineRule="auto"/>
      </w:pPr>
      <w:r w:rsidRPr="001F2B02">
        <w:tab/>
        <w:t>Quick Ratio = 0.72</w:t>
      </w:r>
    </w:p>
    <w:p w14:paraId="4E9E3B36" w14:textId="77777777" w:rsidR="00473217" w:rsidRPr="001F2B02" w:rsidRDefault="00473217" w:rsidP="00473217">
      <w:pPr>
        <w:widowControl w:val="0"/>
        <w:autoSpaceDE w:val="0"/>
        <w:autoSpaceDN w:val="0"/>
        <w:adjustRightInd w:val="0"/>
        <w:spacing w:line="276" w:lineRule="auto"/>
      </w:pPr>
    </w:p>
    <w:p w14:paraId="46D75892" w14:textId="7CE18214" w:rsidR="00473217" w:rsidRPr="001F2B02" w:rsidRDefault="00473217" w:rsidP="00473217">
      <w:pPr>
        <w:widowControl w:val="0"/>
        <w:autoSpaceDE w:val="0"/>
        <w:autoSpaceDN w:val="0"/>
        <w:adjustRightInd w:val="0"/>
        <w:spacing w:line="276" w:lineRule="auto"/>
        <w:rPr>
          <w:i/>
        </w:rPr>
      </w:pPr>
      <w:r w:rsidRPr="001F2B02">
        <w:rPr>
          <w:i/>
        </w:rPr>
        <w:t>b) What i</w:t>
      </w:r>
      <w:r w:rsidR="001F2B02">
        <w:rPr>
          <w:i/>
        </w:rPr>
        <w:t>s the Equity Multiplier for 2018</w:t>
      </w:r>
      <w:r w:rsidRPr="001F2B02">
        <w:rPr>
          <w:i/>
        </w:rPr>
        <w:t>?</w:t>
      </w:r>
    </w:p>
    <w:p w14:paraId="5951678F" w14:textId="4DC33FE8" w:rsidR="00991F60" w:rsidRPr="001F2B02" w:rsidRDefault="00991F60" w:rsidP="00473217">
      <w:pPr>
        <w:widowControl w:val="0"/>
        <w:autoSpaceDE w:val="0"/>
        <w:autoSpaceDN w:val="0"/>
        <w:adjustRightInd w:val="0"/>
        <w:spacing w:line="276" w:lineRule="auto"/>
      </w:pPr>
      <w:r w:rsidRPr="001F2B02">
        <w:tab/>
        <w:t>Equity Multiplier = Total Assets / Total Net Equity</w:t>
      </w:r>
    </w:p>
    <w:p w14:paraId="29F5978A" w14:textId="405C828C" w:rsidR="00991F60" w:rsidRPr="001F2B02" w:rsidRDefault="00991F60" w:rsidP="00473217">
      <w:pPr>
        <w:widowControl w:val="0"/>
        <w:autoSpaceDE w:val="0"/>
        <w:autoSpaceDN w:val="0"/>
        <w:adjustRightInd w:val="0"/>
        <w:spacing w:line="276" w:lineRule="auto"/>
      </w:pPr>
      <w:r w:rsidRPr="001F2B02">
        <w:tab/>
        <w:t>Equity Multiplier = 3.1</w:t>
      </w:r>
    </w:p>
    <w:p w14:paraId="22FECCCA" w14:textId="77777777" w:rsidR="00991F60" w:rsidRPr="001F2B02" w:rsidRDefault="00991F60" w:rsidP="00473217">
      <w:pPr>
        <w:widowControl w:val="0"/>
        <w:autoSpaceDE w:val="0"/>
        <w:autoSpaceDN w:val="0"/>
        <w:adjustRightInd w:val="0"/>
        <w:spacing w:line="276" w:lineRule="auto"/>
        <w:rPr>
          <w:i/>
        </w:rPr>
      </w:pPr>
    </w:p>
    <w:p w14:paraId="38091392" w14:textId="4FF2A1A1" w:rsidR="00991F60" w:rsidRPr="001F2B02" w:rsidRDefault="00473217" w:rsidP="00473217">
      <w:pPr>
        <w:widowControl w:val="0"/>
        <w:autoSpaceDE w:val="0"/>
        <w:autoSpaceDN w:val="0"/>
        <w:adjustRightInd w:val="0"/>
        <w:spacing w:line="276" w:lineRule="auto"/>
        <w:rPr>
          <w:i/>
        </w:rPr>
      </w:pPr>
      <w:r w:rsidRPr="001F2B02">
        <w:rPr>
          <w:i/>
        </w:rPr>
        <w:t xml:space="preserve">c) What is </w:t>
      </w:r>
      <w:r w:rsidR="001F2B02">
        <w:rPr>
          <w:i/>
        </w:rPr>
        <w:t>the Cash Coverage Ratio for 2018</w:t>
      </w:r>
      <w:r w:rsidRPr="001F2B02">
        <w:rPr>
          <w:i/>
        </w:rPr>
        <w:t>?</w:t>
      </w:r>
    </w:p>
    <w:p w14:paraId="4F40924B" w14:textId="6C416896" w:rsidR="00991F60" w:rsidRPr="001F2B02" w:rsidRDefault="00991F60" w:rsidP="00473217">
      <w:pPr>
        <w:widowControl w:val="0"/>
        <w:autoSpaceDE w:val="0"/>
        <w:autoSpaceDN w:val="0"/>
        <w:adjustRightInd w:val="0"/>
        <w:spacing w:line="276" w:lineRule="auto"/>
      </w:pPr>
      <w:r w:rsidRPr="001F2B02">
        <w:rPr>
          <w:i/>
        </w:rPr>
        <w:tab/>
      </w:r>
      <w:r w:rsidRPr="001F2B02">
        <w:t>Cash Coverage Ratio = Cash And Cash Equivalents / Current Liabilities</w:t>
      </w:r>
    </w:p>
    <w:p w14:paraId="5170B7A0" w14:textId="1BC25E6B" w:rsidR="00991F60" w:rsidRPr="001F2B02" w:rsidRDefault="00991F60" w:rsidP="00473217">
      <w:pPr>
        <w:widowControl w:val="0"/>
        <w:autoSpaceDE w:val="0"/>
        <w:autoSpaceDN w:val="0"/>
        <w:adjustRightInd w:val="0"/>
        <w:spacing w:line="276" w:lineRule="auto"/>
      </w:pPr>
      <w:r w:rsidRPr="001F2B02">
        <w:tab/>
        <w:t>Cash Coverage Ratio = 0.38</w:t>
      </w:r>
    </w:p>
    <w:p w14:paraId="4E6DB846" w14:textId="77777777" w:rsidR="00473217" w:rsidRPr="001F2B02" w:rsidRDefault="00473217" w:rsidP="00473217">
      <w:pPr>
        <w:widowControl w:val="0"/>
        <w:autoSpaceDE w:val="0"/>
        <w:autoSpaceDN w:val="0"/>
        <w:adjustRightInd w:val="0"/>
        <w:spacing w:line="276" w:lineRule="auto"/>
        <w:rPr>
          <w:i/>
        </w:rPr>
      </w:pPr>
    </w:p>
    <w:p w14:paraId="0AACE3C6" w14:textId="0D00BD20" w:rsidR="00991F60" w:rsidRPr="001F2B02" w:rsidRDefault="00473217" w:rsidP="00473217">
      <w:pPr>
        <w:widowControl w:val="0"/>
        <w:autoSpaceDE w:val="0"/>
        <w:autoSpaceDN w:val="0"/>
        <w:adjustRightInd w:val="0"/>
        <w:spacing w:line="276" w:lineRule="auto"/>
        <w:rPr>
          <w:i/>
        </w:rPr>
      </w:pPr>
      <w:r w:rsidRPr="001F2B02">
        <w:rPr>
          <w:i/>
        </w:rPr>
        <w:t xml:space="preserve">d) What </w:t>
      </w:r>
      <w:r w:rsidR="001F2B02">
        <w:rPr>
          <w:i/>
        </w:rPr>
        <w:t>is the Return on Equity for 2018</w:t>
      </w:r>
      <w:r w:rsidRPr="001F2B02">
        <w:rPr>
          <w:i/>
        </w:rPr>
        <w:t>?</w:t>
      </w:r>
    </w:p>
    <w:p w14:paraId="25AADF8C" w14:textId="27E28D30" w:rsidR="00991F60" w:rsidRPr="001F2B02" w:rsidRDefault="00991F60" w:rsidP="00473217">
      <w:pPr>
        <w:widowControl w:val="0"/>
        <w:autoSpaceDE w:val="0"/>
        <w:autoSpaceDN w:val="0"/>
        <w:adjustRightInd w:val="0"/>
        <w:spacing w:line="276" w:lineRule="auto"/>
      </w:pPr>
      <w:r w:rsidRPr="001F2B02">
        <w:rPr>
          <w:i/>
        </w:rPr>
        <w:tab/>
      </w:r>
      <w:r w:rsidRPr="001F2B02">
        <w:t xml:space="preserve">Return on Equity = Net Income / </w:t>
      </w:r>
      <w:r w:rsidR="00A14A95" w:rsidRPr="001F2B02">
        <w:t xml:space="preserve">Average </w:t>
      </w:r>
      <w:r w:rsidRPr="001F2B02">
        <w:t>Shareholders' Equity</w:t>
      </w:r>
    </w:p>
    <w:p w14:paraId="341AE45F" w14:textId="1EF13DF4" w:rsidR="00991F60" w:rsidRPr="001F2B02" w:rsidRDefault="00991F60" w:rsidP="00473217">
      <w:pPr>
        <w:widowControl w:val="0"/>
        <w:autoSpaceDE w:val="0"/>
        <w:autoSpaceDN w:val="0"/>
        <w:adjustRightInd w:val="0"/>
        <w:spacing w:line="276" w:lineRule="auto"/>
      </w:pPr>
      <w:r w:rsidRPr="001F2B02">
        <w:tab/>
        <w:t xml:space="preserve">Return on Equity = </w:t>
      </w:r>
      <w:r w:rsidR="00A14A95" w:rsidRPr="001F2B02">
        <w:t>4.58%</w:t>
      </w:r>
    </w:p>
    <w:p w14:paraId="62432A19" w14:textId="77777777" w:rsidR="00473217" w:rsidRPr="001F2B02" w:rsidRDefault="00473217" w:rsidP="00473217">
      <w:pPr>
        <w:widowControl w:val="0"/>
        <w:autoSpaceDE w:val="0"/>
        <w:autoSpaceDN w:val="0"/>
        <w:adjustRightInd w:val="0"/>
        <w:spacing w:line="276" w:lineRule="auto"/>
        <w:rPr>
          <w:i/>
        </w:rPr>
      </w:pPr>
    </w:p>
    <w:p w14:paraId="2FBA8590" w14:textId="77777777" w:rsidR="00473217" w:rsidRPr="001F2B02" w:rsidRDefault="00473217" w:rsidP="00473217">
      <w:pPr>
        <w:widowControl w:val="0"/>
        <w:autoSpaceDE w:val="0"/>
        <w:autoSpaceDN w:val="0"/>
        <w:adjustRightInd w:val="0"/>
        <w:spacing w:line="276" w:lineRule="auto"/>
        <w:rPr>
          <w:i/>
        </w:rPr>
      </w:pPr>
      <w:r w:rsidRPr="001F2B02">
        <w:rPr>
          <w:i/>
        </w:rPr>
        <w:t>e) How did the NWC (Net Working Capital) change from 2017 to 2018 (you need</w:t>
      </w:r>
    </w:p>
    <w:p w14:paraId="394F3238" w14:textId="1F0D2B5A" w:rsidR="00A14A95" w:rsidRPr="001F2B02" w:rsidRDefault="00473217" w:rsidP="00473217">
      <w:pPr>
        <w:widowControl w:val="0"/>
        <w:autoSpaceDE w:val="0"/>
        <w:autoSpaceDN w:val="0"/>
        <w:adjustRightInd w:val="0"/>
        <w:spacing w:line="276" w:lineRule="auto"/>
        <w:rPr>
          <w:i/>
        </w:rPr>
      </w:pPr>
      <w:r w:rsidRPr="001F2B02">
        <w:rPr>
          <w:i/>
        </w:rPr>
        <w:t>Balance Sheet for 2017) ?</w:t>
      </w:r>
    </w:p>
    <w:p w14:paraId="2E4668A2" w14:textId="5A647DF4" w:rsidR="00A14A95" w:rsidRPr="001F2B02" w:rsidRDefault="00A14A95" w:rsidP="00473217">
      <w:pPr>
        <w:widowControl w:val="0"/>
        <w:autoSpaceDE w:val="0"/>
        <w:autoSpaceDN w:val="0"/>
        <w:adjustRightInd w:val="0"/>
        <w:spacing w:line="276" w:lineRule="auto"/>
      </w:pPr>
      <w:r w:rsidRPr="001F2B02">
        <w:tab/>
        <w:t>Net Working Capital = Current Assets – Current Liabilities</w:t>
      </w:r>
    </w:p>
    <w:p w14:paraId="7FC6E679" w14:textId="3FDDA0E7" w:rsidR="00A14A95" w:rsidRPr="001F2B02" w:rsidRDefault="00A14A95" w:rsidP="00473217">
      <w:pPr>
        <w:widowControl w:val="0"/>
        <w:autoSpaceDE w:val="0"/>
        <w:autoSpaceDN w:val="0"/>
        <w:adjustRightInd w:val="0"/>
        <w:spacing w:line="276" w:lineRule="auto"/>
      </w:pPr>
      <w:r w:rsidRPr="001F2B02">
        <w:tab/>
        <w:t>NWC (2018) = 1,215,000</w:t>
      </w:r>
      <w:r w:rsidR="003B4BD9" w:rsidRPr="001F2B02">
        <w:t xml:space="preserve">, </w:t>
      </w:r>
      <w:r w:rsidRPr="001F2B02">
        <w:t>NWC (2017) = 986,000</w:t>
      </w:r>
    </w:p>
    <w:p w14:paraId="00FF5B1C" w14:textId="46E954BD" w:rsidR="003B4BD9" w:rsidRPr="001F2B02" w:rsidRDefault="003B4BD9" w:rsidP="00473217">
      <w:pPr>
        <w:widowControl w:val="0"/>
        <w:autoSpaceDE w:val="0"/>
        <w:autoSpaceDN w:val="0"/>
        <w:adjustRightInd w:val="0"/>
        <w:spacing w:line="276" w:lineRule="auto"/>
      </w:pPr>
      <w:r w:rsidRPr="001F2B02">
        <w:tab/>
        <w:t xml:space="preserve">The NWC increased from 2017 to 2018 </w:t>
      </w:r>
    </w:p>
    <w:p w14:paraId="45B2E4A9" w14:textId="77777777" w:rsidR="00473217" w:rsidRPr="001F2B02" w:rsidRDefault="00473217" w:rsidP="00473217">
      <w:pPr>
        <w:widowControl w:val="0"/>
        <w:autoSpaceDE w:val="0"/>
        <w:autoSpaceDN w:val="0"/>
        <w:adjustRightInd w:val="0"/>
        <w:spacing w:line="276" w:lineRule="auto"/>
        <w:rPr>
          <w:i/>
        </w:rPr>
      </w:pPr>
    </w:p>
    <w:p w14:paraId="2DFC9656" w14:textId="5744E3ED" w:rsidR="003B4BD9" w:rsidRPr="001F2B02" w:rsidRDefault="00473217" w:rsidP="00473217">
      <w:pPr>
        <w:widowControl w:val="0"/>
        <w:autoSpaceDE w:val="0"/>
        <w:autoSpaceDN w:val="0"/>
        <w:adjustRightInd w:val="0"/>
        <w:spacing w:line="276" w:lineRule="auto"/>
        <w:rPr>
          <w:i/>
        </w:rPr>
      </w:pPr>
      <w:r w:rsidRPr="001F2B02">
        <w:rPr>
          <w:i/>
        </w:rPr>
        <w:t>f) How did the Debt/Equity ratio change from 2017 to 2018?</w:t>
      </w:r>
    </w:p>
    <w:p w14:paraId="4E203BC1" w14:textId="56F49CD6" w:rsidR="003B4BD9" w:rsidRPr="001F2B02" w:rsidRDefault="003B4BD9" w:rsidP="00473217">
      <w:pPr>
        <w:widowControl w:val="0"/>
        <w:autoSpaceDE w:val="0"/>
        <w:autoSpaceDN w:val="0"/>
        <w:adjustRightInd w:val="0"/>
        <w:spacing w:line="276" w:lineRule="auto"/>
      </w:pPr>
      <w:r w:rsidRPr="001F2B02">
        <w:rPr>
          <w:i/>
        </w:rPr>
        <w:tab/>
      </w:r>
      <w:r w:rsidRPr="001F2B02">
        <w:t>Debt/Equity Ratio = Total Liabilities / Shareholders' Equity</w:t>
      </w:r>
    </w:p>
    <w:p w14:paraId="56E62A61" w14:textId="70D28587" w:rsidR="003B4BD9" w:rsidRPr="001F2B02" w:rsidRDefault="003B4BD9" w:rsidP="00473217">
      <w:pPr>
        <w:widowControl w:val="0"/>
        <w:autoSpaceDE w:val="0"/>
        <w:autoSpaceDN w:val="0"/>
        <w:adjustRightInd w:val="0"/>
        <w:spacing w:line="276" w:lineRule="auto"/>
      </w:pPr>
      <w:r w:rsidRPr="001F2B02">
        <w:tab/>
        <w:t>D/E Ratio (2018) = 1.65, D/E Ratio (2017) = 2.47</w:t>
      </w:r>
    </w:p>
    <w:p w14:paraId="57596FB2" w14:textId="1D1EEFFC" w:rsidR="003B4BD9" w:rsidRPr="001F2B02" w:rsidRDefault="003B4BD9" w:rsidP="00473217">
      <w:pPr>
        <w:widowControl w:val="0"/>
        <w:autoSpaceDE w:val="0"/>
        <w:autoSpaceDN w:val="0"/>
        <w:adjustRightInd w:val="0"/>
        <w:spacing w:line="276" w:lineRule="auto"/>
      </w:pPr>
      <w:r w:rsidRPr="001F2B02">
        <w:tab/>
        <w:t>D/E ratio decreased from 2017 to 2018</w:t>
      </w:r>
    </w:p>
    <w:p w14:paraId="7AFB1097" w14:textId="77777777" w:rsidR="00473217" w:rsidRPr="001F2B02" w:rsidRDefault="00473217" w:rsidP="00473217">
      <w:pPr>
        <w:widowControl w:val="0"/>
        <w:autoSpaceDE w:val="0"/>
        <w:autoSpaceDN w:val="0"/>
        <w:adjustRightInd w:val="0"/>
        <w:spacing w:line="276" w:lineRule="auto"/>
        <w:rPr>
          <w:i/>
        </w:rPr>
      </w:pPr>
    </w:p>
    <w:p w14:paraId="7330F926" w14:textId="54E05895" w:rsidR="00473217" w:rsidRPr="001F2B02" w:rsidRDefault="00473217" w:rsidP="00473217">
      <w:pPr>
        <w:spacing w:line="276" w:lineRule="auto"/>
        <w:rPr>
          <w:i/>
        </w:rPr>
      </w:pPr>
      <w:r w:rsidRPr="001F2B02">
        <w:rPr>
          <w:i/>
        </w:rPr>
        <w:t>g) What was the ADDITION to retained earnings for 2018?</w:t>
      </w:r>
    </w:p>
    <w:p w14:paraId="0CB871F6" w14:textId="2F366FA1" w:rsidR="00473217" w:rsidRPr="001F2B02" w:rsidRDefault="003B4BD9" w:rsidP="00473217">
      <w:pPr>
        <w:spacing w:line="276" w:lineRule="auto"/>
      </w:pPr>
      <w:r w:rsidRPr="001F2B02">
        <w:rPr>
          <w:i/>
        </w:rPr>
        <w:tab/>
      </w:r>
      <w:r w:rsidRPr="001F2B02">
        <w:t>Retained Earnings (2018) = 341,000, Retained Earnings (2017) = 113,000</w:t>
      </w:r>
    </w:p>
    <w:p w14:paraId="67D34622" w14:textId="02C275D4" w:rsidR="003B4BD9" w:rsidRPr="001F2B02" w:rsidRDefault="003B4BD9" w:rsidP="00473217">
      <w:pPr>
        <w:spacing w:line="276" w:lineRule="auto"/>
      </w:pPr>
      <w:r w:rsidRPr="001F2B02">
        <w:tab/>
        <w:t>Addition to retained earnings is 228,000</w:t>
      </w:r>
    </w:p>
    <w:p w14:paraId="594B1D8D" w14:textId="77777777" w:rsidR="00B30264" w:rsidRPr="001F2B02" w:rsidRDefault="00B30264" w:rsidP="00473217">
      <w:pPr>
        <w:spacing w:line="276" w:lineRule="auto"/>
      </w:pPr>
    </w:p>
    <w:p w14:paraId="31B98C15" w14:textId="77777777" w:rsidR="00B30264" w:rsidRPr="001F2B02" w:rsidRDefault="00B30264" w:rsidP="00473217">
      <w:pPr>
        <w:spacing w:line="276" w:lineRule="auto"/>
      </w:pPr>
    </w:p>
    <w:p w14:paraId="38B0A056" w14:textId="77777777" w:rsidR="00B30264" w:rsidRPr="001F2B02" w:rsidRDefault="00B30264" w:rsidP="00473217">
      <w:pPr>
        <w:spacing w:line="276" w:lineRule="auto"/>
      </w:pPr>
    </w:p>
    <w:p w14:paraId="49CDC809" w14:textId="20A9C27F" w:rsidR="00B30264" w:rsidRPr="001F2B02" w:rsidRDefault="00B30264" w:rsidP="00473217">
      <w:pPr>
        <w:spacing w:line="276" w:lineRule="auto"/>
      </w:pPr>
      <w:r w:rsidRPr="001F2B02">
        <w:t>5.</w:t>
      </w:r>
    </w:p>
    <w:p w14:paraId="69D3408C" w14:textId="77777777" w:rsidR="001F2B02" w:rsidRDefault="001F2B02" w:rsidP="001F2B02">
      <w:pPr>
        <w:rPr>
          <w:rFonts w:eastAsia="Times New Roman"/>
          <w:i/>
        </w:rPr>
      </w:pPr>
      <w:r w:rsidRPr="001F2B02">
        <w:rPr>
          <w:rFonts w:eastAsia="Times New Roman"/>
          <w:i/>
        </w:rPr>
        <w:t>LinkedIn is a professional networking service. It is a relatively young company that filed for an initial public offering(IPO) in January 2011 and traded its first shares on May 19, 2011, under the NYSE symbol "LNKD". It was purchased by Microsoft in June 2016 and stopped trading under LKDN symbol.</w:t>
      </w:r>
    </w:p>
    <w:p w14:paraId="6565D292" w14:textId="77777777" w:rsidR="001F2B02" w:rsidRDefault="001F2B02" w:rsidP="001F2B02">
      <w:pPr>
        <w:rPr>
          <w:rFonts w:eastAsia="Times New Roman"/>
          <w:i/>
        </w:rPr>
      </w:pPr>
    </w:p>
    <w:p w14:paraId="0E4C1C69" w14:textId="77777777" w:rsidR="001F2B02" w:rsidRDefault="001F2B02" w:rsidP="001F2B02">
      <w:pPr>
        <w:rPr>
          <w:rFonts w:eastAsia="Times New Roman"/>
          <w:i/>
        </w:rPr>
      </w:pPr>
      <w:r w:rsidRPr="001F2B02">
        <w:rPr>
          <w:rFonts w:eastAsia="Times New Roman"/>
          <w:i/>
        </w:rPr>
        <w:t xml:space="preserve">Find the latest P/E ratio of LNKD (2016) and compare it to an average P/E ratio corresponding to the same time (You can use the average P/E ratio of S&amp;P 500, which includes selected 500 companies whose shares are traded in NYSE or NASDAQ, two of the major exchanges where stocks are traded). How did the P/E ratio changed since 2011 compared to the average P/E. </w:t>
      </w:r>
    </w:p>
    <w:p w14:paraId="7A5B6033" w14:textId="77777777" w:rsidR="001F2B02" w:rsidRDefault="001F2B02" w:rsidP="001F2B02">
      <w:pPr>
        <w:rPr>
          <w:rFonts w:eastAsia="Times New Roman"/>
          <w:i/>
        </w:rPr>
      </w:pPr>
    </w:p>
    <w:p w14:paraId="1E867BAA" w14:textId="77777777" w:rsidR="001F2B02" w:rsidRDefault="001F2B02" w:rsidP="001F2B02">
      <w:pPr>
        <w:rPr>
          <w:rFonts w:eastAsia="Times New Roman"/>
          <w:i/>
        </w:rPr>
      </w:pPr>
      <w:r w:rsidRPr="001F2B02">
        <w:rPr>
          <w:rFonts w:eastAsia="Times New Roman"/>
          <w:i/>
        </w:rPr>
        <w:t xml:space="preserve">Do you see a difference? What maybe the explanation? </w:t>
      </w:r>
    </w:p>
    <w:p w14:paraId="2CB385AC" w14:textId="77777777" w:rsidR="001F2B02" w:rsidRDefault="001F2B02" w:rsidP="001F2B02">
      <w:pPr>
        <w:rPr>
          <w:rFonts w:eastAsia="Times New Roman"/>
          <w:i/>
        </w:rPr>
      </w:pPr>
    </w:p>
    <w:p w14:paraId="2C2D8850" w14:textId="2842FB68" w:rsidR="001F2B02" w:rsidRPr="001F2B02" w:rsidRDefault="001F2B02" w:rsidP="001F2B02">
      <w:pPr>
        <w:rPr>
          <w:rFonts w:eastAsia="Times New Roman"/>
          <w:i/>
        </w:rPr>
      </w:pPr>
      <w:r w:rsidRPr="001F2B02">
        <w:rPr>
          <w:rFonts w:eastAsia="Times New Roman"/>
          <w:i/>
        </w:rPr>
        <w:t>(For consistency, you can pick one P/E ratio for each year corresponding to the same month around same day, an example would be mid June. Choice is yours as long as you pick the same month for each year. We are trying to get an overall trend for the P/E ratio for this stock)</w:t>
      </w:r>
    </w:p>
    <w:p w14:paraId="2594EA4D" w14:textId="77777777" w:rsidR="001F2B02" w:rsidRPr="001F2B02" w:rsidRDefault="001F2B02" w:rsidP="00B30264">
      <w:pPr>
        <w:spacing w:line="276" w:lineRule="auto"/>
        <w:rPr>
          <w:i/>
          <w:color w:val="1C1C1C"/>
        </w:rPr>
      </w:pPr>
    </w:p>
    <w:p w14:paraId="5CED4F68" w14:textId="1D51DF86" w:rsidR="001F2B02" w:rsidRPr="001F2B02" w:rsidRDefault="001F2B02" w:rsidP="00B30264">
      <w:pPr>
        <w:spacing w:line="276" w:lineRule="auto"/>
        <w:rPr>
          <w:color w:val="1C1C1C"/>
        </w:rPr>
      </w:pPr>
      <w:r w:rsidRPr="001F2B02">
        <w:rPr>
          <w:color w:val="1C1C1C"/>
        </w:rPr>
        <w:t xml:space="preserve">P/E Ratio = </w:t>
      </w:r>
      <w:r w:rsidR="00855946">
        <w:rPr>
          <w:color w:val="1C1C1C"/>
        </w:rPr>
        <w:t>Price of Share</w:t>
      </w:r>
      <w:r w:rsidRPr="001F2B02">
        <w:rPr>
          <w:color w:val="1C1C1C"/>
        </w:rPr>
        <w:t xml:space="preserve"> / EPS</w:t>
      </w:r>
    </w:p>
    <w:p w14:paraId="170C34E8" w14:textId="2EA54341" w:rsidR="001F2B02" w:rsidRDefault="001F2B02" w:rsidP="00B30264">
      <w:pPr>
        <w:spacing w:line="276" w:lineRule="auto"/>
        <w:rPr>
          <w:color w:val="1C1C1C"/>
        </w:rPr>
      </w:pPr>
    </w:p>
    <w:p w14:paraId="5120E48A" w14:textId="26622971" w:rsidR="00602D41" w:rsidRPr="00855946" w:rsidRDefault="00602D41" w:rsidP="00B30264">
      <w:pPr>
        <w:spacing w:line="276" w:lineRule="auto"/>
        <w:rPr>
          <w:color w:val="1C1C1C"/>
          <w:u w:val="single"/>
        </w:rPr>
      </w:pPr>
      <w:r w:rsidRPr="00855946">
        <w:rPr>
          <w:color w:val="1C1C1C"/>
          <w:u w:val="single"/>
        </w:rPr>
        <w:t>P/E Ratio</w:t>
      </w:r>
    </w:p>
    <w:tbl>
      <w:tblPr>
        <w:tblStyle w:val="TableGrid"/>
        <w:tblW w:w="0" w:type="auto"/>
        <w:tblLook w:val="04A0" w:firstRow="1" w:lastRow="0" w:firstColumn="1" w:lastColumn="0" w:noHBand="0" w:noVBand="1"/>
      </w:tblPr>
      <w:tblGrid>
        <w:gridCol w:w="1382"/>
        <w:gridCol w:w="1385"/>
        <w:gridCol w:w="1384"/>
        <w:gridCol w:w="1384"/>
        <w:gridCol w:w="1384"/>
        <w:gridCol w:w="1384"/>
      </w:tblGrid>
      <w:tr w:rsidR="00602D41" w14:paraId="4E9DD705" w14:textId="131F18D1" w:rsidTr="00602D41">
        <w:tc>
          <w:tcPr>
            <w:tcW w:w="1382" w:type="dxa"/>
          </w:tcPr>
          <w:p w14:paraId="7D8B327D" w14:textId="742FD38F" w:rsidR="00602D41" w:rsidRDefault="00602D41" w:rsidP="00B30264">
            <w:pPr>
              <w:spacing w:line="276" w:lineRule="auto"/>
            </w:pPr>
            <w:r>
              <w:rPr>
                <w:color w:val="1C1C1C"/>
              </w:rPr>
              <w:t>Year (Jan.)</w:t>
            </w:r>
          </w:p>
        </w:tc>
        <w:tc>
          <w:tcPr>
            <w:tcW w:w="1385" w:type="dxa"/>
          </w:tcPr>
          <w:p w14:paraId="601CD5A7" w14:textId="11C5E3FD" w:rsidR="00602D41" w:rsidRDefault="00602D41" w:rsidP="00B30264">
            <w:pPr>
              <w:spacing w:line="276" w:lineRule="auto"/>
            </w:pPr>
            <w:r>
              <w:t>2011</w:t>
            </w:r>
          </w:p>
        </w:tc>
        <w:tc>
          <w:tcPr>
            <w:tcW w:w="1384" w:type="dxa"/>
          </w:tcPr>
          <w:p w14:paraId="4D3D4567" w14:textId="6FC81522" w:rsidR="00602D41" w:rsidRDefault="00602D41" w:rsidP="00B30264">
            <w:pPr>
              <w:spacing w:line="276" w:lineRule="auto"/>
            </w:pPr>
            <w:r>
              <w:t>2012</w:t>
            </w:r>
          </w:p>
        </w:tc>
        <w:tc>
          <w:tcPr>
            <w:tcW w:w="1384" w:type="dxa"/>
          </w:tcPr>
          <w:p w14:paraId="429C632C" w14:textId="69DFAA57" w:rsidR="00602D41" w:rsidRDefault="00602D41" w:rsidP="00B30264">
            <w:pPr>
              <w:spacing w:line="276" w:lineRule="auto"/>
            </w:pPr>
            <w:r>
              <w:t>2013</w:t>
            </w:r>
          </w:p>
        </w:tc>
        <w:tc>
          <w:tcPr>
            <w:tcW w:w="1384" w:type="dxa"/>
          </w:tcPr>
          <w:p w14:paraId="04957843" w14:textId="4496C883" w:rsidR="00602D41" w:rsidRDefault="00602D41" w:rsidP="00B30264">
            <w:pPr>
              <w:spacing w:line="276" w:lineRule="auto"/>
            </w:pPr>
            <w:r>
              <w:t>2014</w:t>
            </w:r>
          </w:p>
        </w:tc>
        <w:tc>
          <w:tcPr>
            <w:tcW w:w="1384" w:type="dxa"/>
          </w:tcPr>
          <w:p w14:paraId="75335DAE" w14:textId="67971B8F" w:rsidR="00602D41" w:rsidRDefault="00602D41" w:rsidP="00B30264">
            <w:pPr>
              <w:spacing w:line="276" w:lineRule="auto"/>
            </w:pPr>
            <w:r>
              <w:t>2015</w:t>
            </w:r>
          </w:p>
        </w:tc>
      </w:tr>
      <w:tr w:rsidR="00602D41" w14:paraId="119415F2" w14:textId="6563EE48" w:rsidTr="00602D41">
        <w:tc>
          <w:tcPr>
            <w:tcW w:w="1382" w:type="dxa"/>
          </w:tcPr>
          <w:p w14:paraId="184EA992" w14:textId="026E5855" w:rsidR="00602D41" w:rsidRDefault="00602D41" w:rsidP="00B30264">
            <w:pPr>
              <w:spacing w:line="276" w:lineRule="auto"/>
            </w:pPr>
            <w:r>
              <w:t>LinkedIn</w:t>
            </w:r>
          </w:p>
        </w:tc>
        <w:tc>
          <w:tcPr>
            <w:tcW w:w="1385" w:type="dxa"/>
          </w:tcPr>
          <w:p w14:paraId="1CCBF5D9" w14:textId="676F8FC5" w:rsidR="00602D41" w:rsidRDefault="00602D41" w:rsidP="00B30264">
            <w:pPr>
              <w:spacing w:line="276" w:lineRule="auto"/>
            </w:pPr>
            <w:r>
              <w:t>5.00</w:t>
            </w:r>
          </w:p>
        </w:tc>
        <w:tc>
          <w:tcPr>
            <w:tcW w:w="1384" w:type="dxa"/>
          </w:tcPr>
          <w:p w14:paraId="57A334F6" w14:textId="3DEB570D" w:rsidR="00602D41" w:rsidRDefault="00602D41" w:rsidP="00B30264">
            <w:pPr>
              <w:spacing w:line="276" w:lineRule="auto"/>
            </w:pPr>
            <w:r>
              <w:t>8.60</w:t>
            </w:r>
          </w:p>
        </w:tc>
        <w:tc>
          <w:tcPr>
            <w:tcW w:w="1384" w:type="dxa"/>
          </w:tcPr>
          <w:p w14:paraId="2B33A4E0" w14:textId="08776970" w:rsidR="00602D41" w:rsidRDefault="00602D41" w:rsidP="00B30264">
            <w:pPr>
              <w:spacing w:line="276" w:lineRule="auto"/>
            </w:pPr>
            <w:r>
              <w:t>12.80</w:t>
            </w:r>
          </w:p>
        </w:tc>
        <w:tc>
          <w:tcPr>
            <w:tcW w:w="1384" w:type="dxa"/>
          </w:tcPr>
          <w:p w14:paraId="7748E13D" w14:textId="6814ADC0" w:rsidR="00602D41" w:rsidRDefault="00602D41" w:rsidP="00B30264">
            <w:pPr>
              <w:spacing w:line="276" w:lineRule="auto"/>
            </w:pPr>
            <w:r>
              <w:t>18.10</w:t>
            </w:r>
          </w:p>
        </w:tc>
        <w:tc>
          <w:tcPr>
            <w:tcW w:w="1384" w:type="dxa"/>
          </w:tcPr>
          <w:p w14:paraId="41F5E662" w14:textId="378E967C" w:rsidR="00602D41" w:rsidRDefault="00602D41" w:rsidP="00B30264">
            <w:pPr>
              <w:spacing w:line="276" w:lineRule="auto"/>
            </w:pPr>
            <w:r>
              <w:t>23.20</w:t>
            </w:r>
          </w:p>
        </w:tc>
      </w:tr>
      <w:tr w:rsidR="00602D41" w14:paraId="79394D94" w14:textId="6E48C234" w:rsidTr="00602D41">
        <w:tc>
          <w:tcPr>
            <w:tcW w:w="1382" w:type="dxa"/>
          </w:tcPr>
          <w:p w14:paraId="791A9E4E" w14:textId="5E3F6DF9" w:rsidR="00602D41" w:rsidRDefault="00602D41" w:rsidP="00B30264">
            <w:pPr>
              <w:spacing w:line="276" w:lineRule="auto"/>
            </w:pPr>
            <w:r>
              <w:t>S&amp;P 500</w:t>
            </w:r>
          </w:p>
        </w:tc>
        <w:tc>
          <w:tcPr>
            <w:tcW w:w="1385" w:type="dxa"/>
          </w:tcPr>
          <w:p w14:paraId="0D381BC9" w14:textId="426AD309" w:rsidR="00602D41" w:rsidRDefault="00602D41" w:rsidP="00B30264">
            <w:pPr>
              <w:spacing w:line="276" w:lineRule="auto"/>
            </w:pPr>
            <w:r>
              <w:t>16.30</w:t>
            </w:r>
          </w:p>
        </w:tc>
        <w:tc>
          <w:tcPr>
            <w:tcW w:w="1384" w:type="dxa"/>
          </w:tcPr>
          <w:p w14:paraId="3C8EB4D4" w14:textId="172EC821" w:rsidR="00602D41" w:rsidRDefault="00602D41" w:rsidP="00B30264">
            <w:pPr>
              <w:spacing w:line="276" w:lineRule="auto"/>
            </w:pPr>
            <w:r>
              <w:t>14.87</w:t>
            </w:r>
          </w:p>
        </w:tc>
        <w:tc>
          <w:tcPr>
            <w:tcW w:w="1384" w:type="dxa"/>
          </w:tcPr>
          <w:p w14:paraId="49BBF571" w14:textId="78C054E1" w:rsidR="00602D41" w:rsidRDefault="00602D41" w:rsidP="00B30264">
            <w:pPr>
              <w:spacing w:line="276" w:lineRule="auto"/>
            </w:pPr>
            <w:r>
              <w:t>17.03</w:t>
            </w:r>
          </w:p>
        </w:tc>
        <w:tc>
          <w:tcPr>
            <w:tcW w:w="1384" w:type="dxa"/>
          </w:tcPr>
          <w:p w14:paraId="4AC3D461" w14:textId="0585331A" w:rsidR="00602D41" w:rsidRDefault="00602D41" w:rsidP="00B30264">
            <w:pPr>
              <w:spacing w:line="276" w:lineRule="auto"/>
            </w:pPr>
            <w:r>
              <w:t>18.15</w:t>
            </w:r>
          </w:p>
        </w:tc>
        <w:tc>
          <w:tcPr>
            <w:tcW w:w="1384" w:type="dxa"/>
          </w:tcPr>
          <w:p w14:paraId="55B76F65" w14:textId="62062D8E" w:rsidR="00602D41" w:rsidRDefault="00602D41" w:rsidP="00B30264">
            <w:pPr>
              <w:spacing w:line="276" w:lineRule="auto"/>
            </w:pPr>
            <w:r>
              <w:t>20.02</w:t>
            </w:r>
          </w:p>
        </w:tc>
      </w:tr>
    </w:tbl>
    <w:p w14:paraId="1C7E4261" w14:textId="52B6FD51" w:rsidR="00602D41" w:rsidRDefault="00602D41" w:rsidP="00B30264">
      <w:pPr>
        <w:spacing w:line="276" w:lineRule="auto"/>
      </w:pPr>
    </w:p>
    <w:p w14:paraId="2DF6A0C8" w14:textId="450EFF76" w:rsidR="00855946" w:rsidRPr="001F2B02" w:rsidRDefault="00855946" w:rsidP="00B30264">
      <w:pPr>
        <w:spacing w:line="276" w:lineRule="auto"/>
      </w:pPr>
      <w:r>
        <w:t xml:space="preserve">The P/E ratio of LinkedIn grew at a much faster rate than the average P/E from 2011 to 2015, while the average P/E grew at a steady rate during the same time. This is most likely due to high investor excitement </w:t>
      </w:r>
      <w:r w:rsidR="00703DD8">
        <w:t>of</w:t>
      </w:r>
      <w:r>
        <w:t xml:space="preserve"> the LinkedIn stock, which drove the price of the stock high</w:t>
      </w:r>
      <w:r w:rsidR="00703DD8">
        <w:t xml:space="preserve"> over a short period of time as the investors were anticipating higher growth in the future. </w:t>
      </w:r>
      <w:bookmarkStart w:id="0" w:name="_GoBack"/>
      <w:bookmarkEnd w:id="0"/>
    </w:p>
    <w:sectPr w:rsidR="00855946" w:rsidRPr="001F2B02" w:rsidSect="00ED2C7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AAA582" w14:textId="77777777" w:rsidR="00855946" w:rsidRDefault="00855946" w:rsidP="00ED2C78">
      <w:r>
        <w:separator/>
      </w:r>
    </w:p>
  </w:endnote>
  <w:endnote w:type="continuationSeparator" w:id="0">
    <w:p w14:paraId="425A4550" w14:textId="77777777" w:rsidR="00855946" w:rsidRDefault="00855946" w:rsidP="00ED2C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5D590A" w14:textId="77777777" w:rsidR="00855946" w:rsidRDefault="00855946" w:rsidP="00ED2C78">
      <w:r>
        <w:separator/>
      </w:r>
    </w:p>
  </w:footnote>
  <w:footnote w:type="continuationSeparator" w:id="0">
    <w:p w14:paraId="21F55956" w14:textId="77777777" w:rsidR="00855946" w:rsidRDefault="00855946" w:rsidP="00ED2C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045A88" w14:textId="77777777" w:rsidR="00855946" w:rsidRDefault="00855946" w:rsidP="00ED2C78">
    <w:pPr>
      <w:pStyle w:val="Header"/>
      <w:jc w:val="right"/>
    </w:pPr>
    <w:r>
      <w:t>Jason Less</w:t>
    </w:r>
  </w:p>
  <w:p w14:paraId="17120141" w14:textId="77777777" w:rsidR="00855946" w:rsidRDefault="00855946" w:rsidP="00ED2C78">
    <w:pPr>
      <w:pStyle w:val="Header"/>
      <w:jc w:val="right"/>
    </w:pPr>
    <w:r>
      <w:t>404-640-158</w:t>
    </w:r>
  </w:p>
  <w:p w14:paraId="28C6D908" w14:textId="77777777" w:rsidR="00855946" w:rsidRDefault="00855946" w:rsidP="00ED2C78">
    <w:pPr>
      <w:pStyle w:val="Header"/>
      <w:jc w:val="right"/>
    </w:pPr>
    <w:r>
      <w:t>Dis 1E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4FB0"/>
    <w:multiLevelType w:val="hybridMultilevel"/>
    <w:tmpl w:val="D1F2C4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E947F5A"/>
    <w:multiLevelType w:val="hybridMultilevel"/>
    <w:tmpl w:val="339C3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4026AB"/>
    <w:multiLevelType w:val="hybridMultilevel"/>
    <w:tmpl w:val="1C684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325F7B"/>
    <w:multiLevelType w:val="hybridMultilevel"/>
    <w:tmpl w:val="BC2E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3036C5"/>
    <w:multiLevelType w:val="hybridMultilevel"/>
    <w:tmpl w:val="C1FA2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C78"/>
    <w:rsid w:val="001B056D"/>
    <w:rsid w:val="001F2B02"/>
    <w:rsid w:val="00370C56"/>
    <w:rsid w:val="003A5C74"/>
    <w:rsid w:val="003B4BD9"/>
    <w:rsid w:val="00447A0D"/>
    <w:rsid w:val="00473217"/>
    <w:rsid w:val="00551B3A"/>
    <w:rsid w:val="00602D41"/>
    <w:rsid w:val="00646A92"/>
    <w:rsid w:val="00703DD8"/>
    <w:rsid w:val="007D3134"/>
    <w:rsid w:val="00855946"/>
    <w:rsid w:val="009504B4"/>
    <w:rsid w:val="00991F60"/>
    <w:rsid w:val="00A14A95"/>
    <w:rsid w:val="00AC343A"/>
    <w:rsid w:val="00B30264"/>
    <w:rsid w:val="00B82074"/>
    <w:rsid w:val="00BC4356"/>
    <w:rsid w:val="00C103DC"/>
    <w:rsid w:val="00ED2C78"/>
    <w:rsid w:val="00F152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AB84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C78"/>
    <w:pPr>
      <w:tabs>
        <w:tab w:val="center" w:pos="4320"/>
        <w:tab w:val="right" w:pos="8640"/>
      </w:tabs>
    </w:pPr>
  </w:style>
  <w:style w:type="character" w:customStyle="1" w:styleId="HeaderChar">
    <w:name w:val="Header Char"/>
    <w:basedOn w:val="DefaultParagraphFont"/>
    <w:link w:val="Header"/>
    <w:uiPriority w:val="99"/>
    <w:rsid w:val="00ED2C78"/>
  </w:style>
  <w:style w:type="paragraph" w:styleId="Footer">
    <w:name w:val="footer"/>
    <w:basedOn w:val="Normal"/>
    <w:link w:val="FooterChar"/>
    <w:uiPriority w:val="99"/>
    <w:unhideWhenUsed/>
    <w:rsid w:val="00ED2C78"/>
    <w:pPr>
      <w:tabs>
        <w:tab w:val="center" w:pos="4320"/>
        <w:tab w:val="right" w:pos="8640"/>
      </w:tabs>
    </w:pPr>
  </w:style>
  <w:style w:type="character" w:customStyle="1" w:styleId="FooterChar">
    <w:name w:val="Footer Char"/>
    <w:basedOn w:val="DefaultParagraphFont"/>
    <w:link w:val="Footer"/>
    <w:uiPriority w:val="99"/>
    <w:rsid w:val="00ED2C78"/>
  </w:style>
  <w:style w:type="table" w:styleId="TableGrid">
    <w:name w:val="Table Grid"/>
    <w:basedOn w:val="TableNormal"/>
    <w:uiPriority w:val="59"/>
    <w:rsid w:val="00F15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7A0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2C78"/>
    <w:pPr>
      <w:tabs>
        <w:tab w:val="center" w:pos="4320"/>
        <w:tab w:val="right" w:pos="8640"/>
      </w:tabs>
    </w:pPr>
  </w:style>
  <w:style w:type="character" w:customStyle="1" w:styleId="HeaderChar">
    <w:name w:val="Header Char"/>
    <w:basedOn w:val="DefaultParagraphFont"/>
    <w:link w:val="Header"/>
    <w:uiPriority w:val="99"/>
    <w:rsid w:val="00ED2C78"/>
  </w:style>
  <w:style w:type="paragraph" w:styleId="Footer">
    <w:name w:val="footer"/>
    <w:basedOn w:val="Normal"/>
    <w:link w:val="FooterChar"/>
    <w:uiPriority w:val="99"/>
    <w:unhideWhenUsed/>
    <w:rsid w:val="00ED2C78"/>
    <w:pPr>
      <w:tabs>
        <w:tab w:val="center" w:pos="4320"/>
        <w:tab w:val="right" w:pos="8640"/>
      </w:tabs>
    </w:pPr>
  </w:style>
  <w:style w:type="character" w:customStyle="1" w:styleId="FooterChar">
    <w:name w:val="Footer Char"/>
    <w:basedOn w:val="DefaultParagraphFont"/>
    <w:link w:val="Footer"/>
    <w:uiPriority w:val="99"/>
    <w:rsid w:val="00ED2C78"/>
  </w:style>
  <w:style w:type="table" w:styleId="TableGrid">
    <w:name w:val="Table Grid"/>
    <w:basedOn w:val="TableNormal"/>
    <w:uiPriority w:val="59"/>
    <w:rsid w:val="00F152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7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695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954</Words>
  <Characters>5444</Characters>
  <Application>Microsoft Macintosh Word</Application>
  <DocSecurity>0</DocSecurity>
  <Lines>45</Lines>
  <Paragraphs>12</Paragraphs>
  <ScaleCrop>false</ScaleCrop>
  <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Less</dc:creator>
  <cp:keywords/>
  <dc:description/>
  <cp:lastModifiedBy>Jason Less</cp:lastModifiedBy>
  <cp:revision>14</cp:revision>
  <dcterms:created xsi:type="dcterms:W3CDTF">2019-04-14T21:41:00Z</dcterms:created>
  <dcterms:modified xsi:type="dcterms:W3CDTF">2019-04-14T23:23:00Z</dcterms:modified>
</cp:coreProperties>
</file>