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BCCB2F" w14:textId="457B4A90" w:rsidR="00465EA7" w:rsidRPr="00BF4115" w:rsidRDefault="00DD72CD" w:rsidP="00BF4115">
      <w:pPr>
        <w:widowControl w:val="0"/>
        <w:tabs>
          <w:tab w:val="left" w:pos="220"/>
          <w:tab w:val="left" w:pos="720"/>
        </w:tabs>
        <w:autoSpaceDE w:val="0"/>
        <w:autoSpaceDN w:val="0"/>
        <w:adjustRightInd w:val="0"/>
        <w:rPr>
          <w:sz w:val="16"/>
          <w:szCs w:val="16"/>
        </w:rPr>
      </w:pPr>
      <w:r w:rsidRPr="00BF4115">
        <w:rPr>
          <w:sz w:val="16"/>
          <w:szCs w:val="16"/>
        </w:rPr>
        <w:t>Financial planning often involves making decisions on how to manage a company's resources:</w:t>
      </w:r>
    </w:p>
    <w:p w14:paraId="186067D0" w14:textId="5CADF5F5" w:rsidR="00DD72CD" w:rsidRPr="00BF4115" w:rsidRDefault="00DD72CD" w:rsidP="00BF4115">
      <w:pPr>
        <w:widowControl w:val="0"/>
        <w:tabs>
          <w:tab w:val="left" w:pos="220"/>
          <w:tab w:val="left" w:pos="720"/>
        </w:tabs>
        <w:autoSpaceDE w:val="0"/>
        <w:autoSpaceDN w:val="0"/>
        <w:adjustRightInd w:val="0"/>
        <w:rPr>
          <w:sz w:val="16"/>
          <w:szCs w:val="16"/>
        </w:rPr>
      </w:pPr>
      <w:r w:rsidRPr="00BF4115">
        <w:rPr>
          <w:sz w:val="16"/>
          <w:szCs w:val="16"/>
        </w:rPr>
        <w:t>- Capital budgeting: the process of determining whether real assets (tangible assets such as machinery, equipment or intangible assets such as patents and trademarks) are worth investing in or not)</w:t>
      </w:r>
    </w:p>
    <w:p w14:paraId="25E85267" w14:textId="04E49B2D" w:rsidR="00DD72CD" w:rsidRPr="00BF4115" w:rsidRDefault="00DD72CD" w:rsidP="00BF4115">
      <w:pPr>
        <w:widowControl w:val="0"/>
        <w:tabs>
          <w:tab w:val="left" w:pos="220"/>
          <w:tab w:val="left" w:pos="720"/>
        </w:tabs>
        <w:autoSpaceDE w:val="0"/>
        <w:autoSpaceDN w:val="0"/>
        <w:adjustRightInd w:val="0"/>
        <w:rPr>
          <w:rFonts w:ascii="Times Roman" w:hAnsi="Times Roman" w:cs="Times Roman"/>
          <w:color w:val="000000"/>
          <w:sz w:val="16"/>
          <w:szCs w:val="16"/>
        </w:rPr>
      </w:pPr>
      <w:r w:rsidRPr="00BF4115">
        <w:rPr>
          <w:rFonts w:ascii="Times Roman" w:hAnsi="Times Roman" w:cs="Times Roman"/>
          <w:color w:val="000000"/>
          <w:sz w:val="16"/>
          <w:szCs w:val="16"/>
        </w:rPr>
        <w:t>- Capital Structuring: the decision on how to finance the company's investments, either by debt or equity</w:t>
      </w:r>
    </w:p>
    <w:p w14:paraId="6619BFEC" w14:textId="5121CA0A" w:rsidR="00DD72CD" w:rsidRPr="00BF4115" w:rsidRDefault="00DD72CD" w:rsidP="00BF4115">
      <w:pPr>
        <w:widowControl w:val="0"/>
        <w:tabs>
          <w:tab w:val="left" w:pos="220"/>
          <w:tab w:val="left" w:pos="720"/>
        </w:tabs>
        <w:autoSpaceDE w:val="0"/>
        <w:autoSpaceDN w:val="0"/>
        <w:adjustRightInd w:val="0"/>
        <w:rPr>
          <w:rFonts w:ascii="Times Roman" w:hAnsi="Times Roman" w:cs="Times Roman"/>
          <w:color w:val="000000"/>
          <w:sz w:val="16"/>
          <w:szCs w:val="16"/>
        </w:rPr>
      </w:pPr>
      <w:r w:rsidRPr="00BF4115">
        <w:rPr>
          <w:rFonts w:ascii="Times Roman" w:hAnsi="Times Roman" w:cs="Times Roman"/>
          <w:color w:val="000000"/>
          <w:sz w:val="16"/>
          <w:szCs w:val="16"/>
        </w:rPr>
        <w:t xml:space="preserve">- Net Working Capital: the decision of how much short-term debt to have in comparison to current assets </w:t>
      </w:r>
    </w:p>
    <w:p w14:paraId="42160104" w14:textId="77777777" w:rsidR="00465EA7" w:rsidRPr="00BF4115" w:rsidRDefault="00465EA7" w:rsidP="00294B53">
      <w:pPr>
        <w:rPr>
          <w:sz w:val="16"/>
          <w:szCs w:val="16"/>
          <w:u w:val="single"/>
        </w:rPr>
      </w:pPr>
    </w:p>
    <w:p w14:paraId="501B7860" w14:textId="55B3F3A6" w:rsidR="00465EA7" w:rsidRPr="00BF4115" w:rsidRDefault="00465EA7" w:rsidP="00294B53">
      <w:pPr>
        <w:rPr>
          <w:sz w:val="16"/>
          <w:szCs w:val="16"/>
          <w:u w:val="single"/>
        </w:rPr>
      </w:pPr>
      <w:r w:rsidRPr="00BF4115">
        <w:rPr>
          <w:sz w:val="16"/>
          <w:szCs w:val="16"/>
          <w:u w:val="single"/>
        </w:rPr>
        <w:t>Balance Sheet</w:t>
      </w:r>
    </w:p>
    <w:p w14:paraId="20693449" w14:textId="0A0A5719" w:rsidR="00F739E4" w:rsidRPr="00BF4115" w:rsidRDefault="00F739E4" w:rsidP="00294B53">
      <w:pPr>
        <w:rPr>
          <w:sz w:val="16"/>
          <w:szCs w:val="16"/>
        </w:rPr>
      </w:pPr>
      <w:r w:rsidRPr="00BF4115">
        <w:rPr>
          <w:sz w:val="16"/>
          <w:szCs w:val="16"/>
        </w:rPr>
        <w:t>- Financial snapshot of a firm's accounting value on a particular date</w:t>
      </w:r>
    </w:p>
    <w:p w14:paraId="122FE060" w14:textId="27094D00" w:rsidR="0007092B" w:rsidRPr="00BF4115" w:rsidRDefault="00F739E4" w:rsidP="0007092B">
      <w:pPr>
        <w:rPr>
          <w:sz w:val="16"/>
          <w:szCs w:val="16"/>
        </w:rPr>
      </w:pPr>
      <w:r w:rsidRPr="00BF4115">
        <w:rPr>
          <w:sz w:val="16"/>
          <w:szCs w:val="16"/>
        </w:rPr>
        <w:t xml:space="preserve">- </w:t>
      </w:r>
      <w:r w:rsidR="0007092B" w:rsidRPr="00BF4115">
        <w:rPr>
          <w:sz w:val="16"/>
          <w:szCs w:val="16"/>
        </w:rPr>
        <w:t xml:space="preserve">Be concerned </w:t>
      </w:r>
      <w:r w:rsidR="00BF4115" w:rsidRPr="00BF4115">
        <w:rPr>
          <w:sz w:val="16"/>
          <w:szCs w:val="16"/>
        </w:rPr>
        <w:t>w/</w:t>
      </w:r>
      <w:r w:rsidR="0007092B" w:rsidRPr="00BF4115">
        <w:rPr>
          <w:sz w:val="16"/>
          <w:szCs w:val="16"/>
        </w:rPr>
        <w:t xml:space="preserve"> liquidity, debt vs. equity, and value vs. cost</w:t>
      </w:r>
    </w:p>
    <w:p w14:paraId="3482E7D0" w14:textId="12FD7178" w:rsidR="00BB519F" w:rsidRPr="00BF4115" w:rsidRDefault="00BB519F" w:rsidP="00BB519F">
      <w:pPr>
        <w:widowControl w:val="0"/>
        <w:autoSpaceDE w:val="0"/>
        <w:autoSpaceDN w:val="0"/>
        <w:adjustRightInd w:val="0"/>
        <w:spacing w:line="280" w:lineRule="atLeast"/>
        <w:rPr>
          <w:rFonts w:ascii="Times Roman" w:hAnsi="Times Roman" w:cs="Times Roman"/>
          <w:color w:val="000000"/>
          <w:sz w:val="16"/>
          <w:szCs w:val="16"/>
        </w:rPr>
      </w:pPr>
      <w:r w:rsidRPr="00BF4115">
        <w:rPr>
          <w:rFonts w:ascii="Times Roman" w:hAnsi="Times Roman" w:cs="Times Roman"/>
          <w:noProof/>
          <w:color w:val="000000"/>
          <w:sz w:val="16"/>
          <w:szCs w:val="16"/>
        </w:rPr>
        <w:drawing>
          <wp:inline distT="0" distB="0" distL="0" distR="0" wp14:anchorId="074671A8" wp14:editId="0DAC250A">
            <wp:extent cx="2698115" cy="201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11980"/>
                    <a:stretch/>
                  </pic:blipFill>
                  <pic:spPr bwMode="auto">
                    <a:xfrm>
                      <a:off x="0" y="0"/>
                      <a:ext cx="2699211" cy="2012497"/>
                    </a:xfrm>
                    <a:prstGeom prst="rect">
                      <a:avLst/>
                    </a:prstGeom>
                    <a:noFill/>
                    <a:ln>
                      <a:noFill/>
                    </a:ln>
                    <a:extLst>
                      <a:ext uri="{53640926-AAD7-44d8-BBD7-CCE9431645EC}">
                        <a14:shadowObscured xmlns:a14="http://schemas.microsoft.com/office/drawing/2010/main"/>
                      </a:ext>
                    </a:extLst>
                  </pic:spPr>
                </pic:pic>
              </a:graphicData>
            </a:graphic>
          </wp:inline>
        </w:drawing>
      </w:r>
    </w:p>
    <w:p w14:paraId="7133218A" w14:textId="77777777" w:rsidR="006F5600" w:rsidRPr="00BF4115" w:rsidRDefault="006F5600" w:rsidP="0007092B">
      <w:pPr>
        <w:rPr>
          <w:sz w:val="16"/>
          <w:szCs w:val="16"/>
          <w:u w:val="single"/>
        </w:rPr>
      </w:pPr>
    </w:p>
    <w:p w14:paraId="76AC4F8D" w14:textId="59430B28" w:rsidR="00BB519F" w:rsidRPr="00BF4115" w:rsidRDefault="00BB519F" w:rsidP="0007092B">
      <w:pPr>
        <w:rPr>
          <w:sz w:val="16"/>
          <w:szCs w:val="16"/>
          <w:u w:val="single"/>
        </w:rPr>
      </w:pPr>
      <w:r w:rsidRPr="00BF4115">
        <w:rPr>
          <w:sz w:val="16"/>
          <w:szCs w:val="16"/>
          <w:u w:val="single"/>
        </w:rPr>
        <w:t>Income Statement</w:t>
      </w:r>
    </w:p>
    <w:p w14:paraId="4B74C1FE" w14:textId="07FA162C" w:rsidR="00BB519F" w:rsidRPr="00BF4115" w:rsidRDefault="00BB519F" w:rsidP="0007092B">
      <w:pPr>
        <w:rPr>
          <w:sz w:val="16"/>
          <w:szCs w:val="16"/>
        </w:rPr>
      </w:pPr>
      <w:r w:rsidRPr="00BF4115">
        <w:rPr>
          <w:sz w:val="16"/>
          <w:szCs w:val="16"/>
        </w:rPr>
        <w:t>- Measures performance over a specific period (e.g. year)</w:t>
      </w:r>
    </w:p>
    <w:p w14:paraId="1C2D3780" w14:textId="45716D35" w:rsidR="00AC3483" w:rsidRPr="00BF4115" w:rsidRDefault="00AC3483" w:rsidP="00AC3483">
      <w:pPr>
        <w:widowControl w:val="0"/>
        <w:autoSpaceDE w:val="0"/>
        <w:autoSpaceDN w:val="0"/>
        <w:adjustRightInd w:val="0"/>
        <w:spacing w:line="280" w:lineRule="atLeast"/>
        <w:rPr>
          <w:rFonts w:ascii="Times Roman" w:hAnsi="Times Roman" w:cs="Times Roman"/>
          <w:color w:val="000000"/>
          <w:sz w:val="16"/>
          <w:szCs w:val="16"/>
        </w:rPr>
      </w:pPr>
      <w:r w:rsidRPr="00BF4115">
        <w:rPr>
          <w:rFonts w:ascii="Times Roman" w:hAnsi="Times Roman" w:cs="Times Roman"/>
          <w:noProof/>
          <w:color w:val="000000"/>
          <w:sz w:val="16"/>
          <w:szCs w:val="16"/>
        </w:rPr>
        <w:drawing>
          <wp:inline distT="0" distB="0" distL="0" distR="0" wp14:anchorId="3414C743" wp14:editId="4CF664B7">
            <wp:extent cx="2661452" cy="191181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6994"/>
                    <a:stretch/>
                  </pic:blipFill>
                  <pic:spPr bwMode="auto">
                    <a:xfrm>
                      <a:off x="0" y="0"/>
                      <a:ext cx="2663729" cy="1913454"/>
                    </a:xfrm>
                    <a:prstGeom prst="rect">
                      <a:avLst/>
                    </a:prstGeom>
                    <a:noFill/>
                    <a:ln>
                      <a:noFill/>
                    </a:ln>
                    <a:extLst>
                      <a:ext uri="{53640926-AAD7-44d8-BBD7-CCE9431645EC}">
                        <a14:shadowObscured xmlns:a14="http://schemas.microsoft.com/office/drawing/2010/main"/>
                      </a:ext>
                    </a:extLst>
                  </pic:spPr>
                </pic:pic>
              </a:graphicData>
            </a:graphic>
          </wp:inline>
        </w:drawing>
      </w:r>
    </w:p>
    <w:p w14:paraId="7DBAAEB0" w14:textId="7594878B" w:rsidR="00BB519F" w:rsidRPr="00BF4115" w:rsidRDefault="00AC3483" w:rsidP="0007092B">
      <w:pPr>
        <w:rPr>
          <w:sz w:val="16"/>
          <w:szCs w:val="16"/>
        </w:rPr>
      </w:pPr>
      <w:r w:rsidRPr="00BF4115">
        <w:rPr>
          <w:sz w:val="16"/>
          <w:szCs w:val="16"/>
        </w:rPr>
        <w:t>- Non-cash items</w:t>
      </w:r>
      <w:r w:rsidR="00663E18" w:rsidRPr="00BF4115">
        <w:rPr>
          <w:sz w:val="16"/>
          <w:szCs w:val="16"/>
        </w:rPr>
        <w:t xml:space="preserve">: depreciation and </w:t>
      </w:r>
      <w:r w:rsidRPr="00BF4115">
        <w:rPr>
          <w:sz w:val="16"/>
          <w:szCs w:val="16"/>
        </w:rPr>
        <w:t>deferred taxes</w:t>
      </w:r>
      <w:r w:rsidR="00663E18" w:rsidRPr="00BF4115">
        <w:rPr>
          <w:sz w:val="16"/>
          <w:szCs w:val="16"/>
        </w:rPr>
        <w:t xml:space="preserve"> (also amortization, which applies to intangible asset)</w:t>
      </w:r>
    </w:p>
    <w:p w14:paraId="7C8CF214" w14:textId="37DBEAFD" w:rsidR="00AC3483" w:rsidRPr="00BF4115" w:rsidRDefault="00AC3483" w:rsidP="0007092B">
      <w:pPr>
        <w:rPr>
          <w:sz w:val="16"/>
          <w:szCs w:val="16"/>
        </w:rPr>
      </w:pPr>
      <w:r w:rsidRPr="00BF4115">
        <w:rPr>
          <w:sz w:val="16"/>
          <w:szCs w:val="16"/>
        </w:rPr>
        <w:t>- Avg. Tax Rate = tax paid / taxable income</w:t>
      </w:r>
    </w:p>
    <w:p w14:paraId="2BB773A2" w14:textId="51B45709" w:rsidR="00AC3483" w:rsidRPr="00BF4115" w:rsidRDefault="00AC3483" w:rsidP="0007092B">
      <w:pPr>
        <w:rPr>
          <w:sz w:val="16"/>
          <w:szCs w:val="16"/>
        </w:rPr>
      </w:pPr>
      <w:r w:rsidRPr="00BF4115">
        <w:rPr>
          <w:sz w:val="16"/>
          <w:szCs w:val="16"/>
        </w:rPr>
        <w:t>- Marginal Tax Rate = if we made one more dollar, the tax on that dollar would be x cents</w:t>
      </w:r>
    </w:p>
    <w:p w14:paraId="0AD2BD49" w14:textId="5F127F53" w:rsidR="00AC3483" w:rsidRPr="00BF4115" w:rsidRDefault="00AC3483" w:rsidP="0007092B">
      <w:pPr>
        <w:rPr>
          <w:sz w:val="16"/>
          <w:szCs w:val="16"/>
        </w:rPr>
      </w:pPr>
      <w:r w:rsidRPr="00BF4115">
        <w:rPr>
          <w:sz w:val="16"/>
          <w:szCs w:val="16"/>
        </w:rPr>
        <w:t>- Firms can invest in fixed assets (capital spending) or in NWC (change in NWC)</w:t>
      </w:r>
    </w:p>
    <w:p w14:paraId="2ADBB518" w14:textId="77777777" w:rsidR="00BF4115" w:rsidRPr="00BF4115" w:rsidRDefault="00BF4115" w:rsidP="0007092B">
      <w:pPr>
        <w:rPr>
          <w:sz w:val="16"/>
          <w:szCs w:val="16"/>
          <w:u w:val="single"/>
        </w:rPr>
      </w:pPr>
    </w:p>
    <w:p w14:paraId="63AB869D" w14:textId="40781CE9" w:rsidR="00AC3483" w:rsidRPr="00BF4115" w:rsidRDefault="00AC3483" w:rsidP="0007092B">
      <w:pPr>
        <w:rPr>
          <w:sz w:val="16"/>
          <w:szCs w:val="16"/>
          <w:u w:val="single"/>
        </w:rPr>
      </w:pPr>
      <w:r w:rsidRPr="00BF4115">
        <w:rPr>
          <w:sz w:val="16"/>
          <w:szCs w:val="16"/>
          <w:u w:val="single"/>
        </w:rPr>
        <w:t>Statement of Cash Flows</w:t>
      </w:r>
    </w:p>
    <w:p w14:paraId="465831B7" w14:textId="41C23443" w:rsidR="00AC3483" w:rsidRPr="00BF4115" w:rsidRDefault="00AC3483" w:rsidP="0007092B">
      <w:pPr>
        <w:rPr>
          <w:sz w:val="16"/>
          <w:szCs w:val="16"/>
        </w:rPr>
      </w:pPr>
      <w:r w:rsidRPr="00BF4115">
        <w:rPr>
          <w:sz w:val="16"/>
          <w:szCs w:val="16"/>
        </w:rPr>
        <w:t>- Explains change in accounting cash and equivalents</w:t>
      </w:r>
    </w:p>
    <w:p w14:paraId="5F40A041" w14:textId="320E60AA" w:rsidR="00AC3483" w:rsidRPr="00BF4115" w:rsidRDefault="00AC3483" w:rsidP="00DD72CD">
      <w:pPr>
        <w:rPr>
          <w:sz w:val="16"/>
          <w:szCs w:val="16"/>
        </w:rPr>
      </w:pPr>
      <w:r w:rsidRPr="00BF4115">
        <w:rPr>
          <w:sz w:val="16"/>
          <w:szCs w:val="16"/>
        </w:rPr>
        <w:t>- Cash Flow != NWC [increasing inventory requires cash, both are current assets, doesn't affect NWC, as incr. inventory is associated w/ decr. cash flow]</w:t>
      </w:r>
    </w:p>
    <w:p w14:paraId="2D263B34" w14:textId="7B2B71C7" w:rsidR="006F5600" w:rsidRPr="00BF4115" w:rsidRDefault="006F5600" w:rsidP="006F5600">
      <w:pPr>
        <w:widowControl w:val="0"/>
        <w:autoSpaceDE w:val="0"/>
        <w:autoSpaceDN w:val="0"/>
        <w:adjustRightInd w:val="0"/>
        <w:spacing w:line="280" w:lineRule="atLeast"/>
        <w:rPr>
          <w:rFonts w:ascii="Times Roman" w:hAnsi="Times Roman" w:cs="Times Roman"/>
          <w:color w:val="000000"/>
          <w:sz w:val="16"/>
          <w:szCs w:val="16"/>
        </w:rPr>
      </w:pPr>
      <w:r w:rsidRPr="00BF4115">
        <w:rPr>
          <w:rFonts w:ascii="Times Roman" w:hAnsi="Times Roman" w:cs="Times Roman"/>
          <w:noProof/>
          <w:color w:val="000000"/>
          <w:sz w:val="16"/>
          <w:szCs w:val="16"/>
        </w:rPr>
        <w:lastRenderedPageBreak/>
        <w:drawing>
          <wp:inline distT="0" distB="0" distL="0" distR="0" wp14:anchorId="482777A8" wp14:editId="4CF4C542">
            <wp:extent cx="2298798" cy="22860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8798" cy="2286000"/>
                    </a:xfrm>
                    <a:prstGeom prst="rect">
                      <a:avLst/>
                    </a:prstGeom>
                    <a:noFill/>
                    <a:ln>
                      <a:noFill/>
                    </a:ln>
                  </pic:spPr>
                </pic:pic>
              </a:graphicData>
            </a:graphic>
          </wp:inline>
        </w:drawing>
      </w:r>
    </w:p>
    <w:p w14:paraId="6C9F1A6B" w14:textId="77777777" w:rsidR="00DD72CD" w:rsidRPr="00BF4115" w:rsidRDefault="00DD72CD" w:rsidP="0007092B">
      <w:pPr>
        <w:rPr>
          <w:sz w:val="16"/>
          <w:szCs w:val="16"/>
        </w:rPr>
      </w:pPr>
    </w:p>
    <w:p w14:paraId="3B825354" w14:textId="18FC7F70" w:rsidR="00663E18" w:rsidRPr="00BF4115" w:rsidRDefault="00663E18" w:rsidP="0007092B">
      <w:pPr>
        <w:rPr>
          <w:sz w:val="16"/>
          <w:szCs w:val="16"/>
          <w:u w:val="single"/>
        </w:rPr>
      </w:pPr>
      <w:r w:rsidRPr="00BF4115">
        <w:rPr>
          <w:sz w:val="16"/>
          <w:szCs w:val="16"/>
          <w:u w:val="single"/>
        </w:rPr>
        <w:t>Ratio Analysis</w:t>
      </w:r>
    </w:p>
    <w:p w14:paraId="11C3A0CC" w14:textId="0FC4D677" w:rsidR="00663E18" w:rsidRPr="00BF4115" w:rsidRDefault="00663E18" w:rsidP="0007092B">
      <w:pPr>
        <w:rPr>
          <w:sz w:val="16"/>
          <w:szCs w:val="16"/>
        </w:rPr>
      </w:pPr>
      <w:r w:rsidRPr="00BF4115">
        <w:rPr>
          <w:sz w:val="16"/>
          <w:szCs w:val="16"/>
        </w:rPr>
        <w:t>- Short-term solvency (or liquidity): firm's ability to pay its bills over the short run w/o undue stress</w:t>
      </w:r>
    </w:p>
    <w:p w14:paraId="36F27D7C" w14:textId="3D7E86AE" w:rsidR="00663E18" w:rsidRPr="00BF4115" w:rsidRDefault="00663E18" w:rsidP="0007092B">
      <w:pPr>
        <w:rPr>
          <w:sz w:val="16"/>
          <w:szCs w:val="16"/>
        </w:rPr>
      </w:pPr>
      <w:r w:rsidRPr="00BF4115">
        <w:rPr>
          <w:sz w:val="16"/>
          <w:szCs w:val="16"/>
        </w:rPr>
        <w:t>- Long-term solvency (or leverage): firm's ability to meet long-term obligations (or its financial leverage)</w:t>
      </w:r>
    </w:p>
    <w:p w14:paraId="33FAF465" w14:textId="476474DB" w:rsidR="00663E18" w:rsidRPr="00BF4115" w:rsidRDefault="00663E18" w:rsidP="0007092B">
      <w:pPr>
        <w:rPr>
          <w:sz w:val="16"/>
          <w:szCs w:val="16"/>
        </w:rPr>
      </w:pPr>
      <w:r w:rsidRPr="00BF4115">
        <w:rPr>
          <w:sz w:val="16"/>
          <w:szCs w:val="16"/>
        </w:rPr>
        <w:t>- Asset management (or turnover measures, or utilization measures): attention to the efficiency that a firm uses its assets to generate sales</w:t>
      </w:r>
    </w:p>
    <w:p w14:paraId="600F5609" w14:textId="04D7B665" w:rsidR="00663E18" w:rsidRPr="00BF4115" w:rsidRDefault="00663E18" w:rsidP="0007092B">
      <w:pPr>
        <w:rPr>
          <w:sz w:val="16"/>
          <w:szCs w:val="16"/>
        </w:rPr>
      </w:pPr>
      <w:r w:rsidRPr="00BF4115">
        <w:rPr>
          <w:sz w:val="16"/>
          <w:szCs w:val="16"/>
        </w:rPr>
        <w:t>- Profitability: measure how efficiently the firm uses its assets and how efficiently the firm manages its operations</w:t>
      </w:r>
    </w:p>
    <w:p w14:paraId="73E3CA60" w14:textId="627CFB5C" w:rsidR="00663E18" w:rsidRPr="00BF4115" w:rsidRDefault="00663E18" w:rsidP="0007092B">
      <w:pPr>
        <w:rPr>
          <w:sz w:val="16"/>
          <w:szCs w:val="16"/>
        </w:rPr>
      </w:pPr>
      <w:r w:rsidRPr="00BF4115">
        <w:rPr>
          <w:sz w:val="16"/>
          <w:szCs w:val="16"/>
        </w:rPr>
        <w:t>- Market value: how's this stock trading with other stocks in the broad index, and in its own industry</w:t>
      </w:r>
    </w:p>
    <w:p w14:paraId="19D52F8E" w14:textId="4E2645BA" w:rsidR="00663E18" w:rsidRPr="00BF4115" w:rsidRDefault="00663E18" w:rsidP="00663E18">
      <w:pPr>
        <w:widowControl w:val="0"/>
        <w:autoSpaceDE w:val="0"/>
        <w:autoSpaceDN w:val="0"/>
        <w:adjustRightInd w:val="0"/>
        <w:spacing w:line="280" w:lineRule="atLeast"/>
        <w:rPr>
          <w:rFonts w:ascii="Times Roman" w:hAnsi="Times Roman" w:cs="Times Roman"/>
          <w:color w:val="000000"/>
          <w:sz w:val="16"/>
          <w:szCs w:val="16"/>
        </w:rPr>
      </w:pPr>
      <w:r w:rsidRPr="00BF4115">
        <w:rPr>
          <w:rFonts w:ascii="Times Roman" w:hAnsi="Times Roman" w:cs="Times Roman"/>
          <w:noProof/>
          <w:color w:val="000000"/>
          <w:sz w:val="16"/>
          <w:szCs w:val="16"/>
        </w:rPr>
        <w:drawing>
          <wp:inline distT="0" distB="0" distL="0" distR="0" wp14:anchorId="433315B9" wp14:editId="29F85B79">
            <wp:extent cx="2859364" cy="2016493"/>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369" cy="2017907"/>
                    </a:xfrm>
                    <a:prstGeom prst="rect">
                      <a:avLst/>
                    </a:prstGeom>
                    <a:noFill/>
                    <a:ln>
                      <a:noFill/>
                    </a:ln>
                  </pic:spPr>
                </pic:pic>
              </a:graphicData>
            </a:graphic>
          </wp:inline>
        </w:drawing>
      </w:r>
    </w:p>
    <w:p w14:paraId="362BEF09" w14:textId="51BD88DD" w:rsidR="000226AF" w:rsidRPr="00BF4115" w:rsidRDefault="000226AF" w:rsidP="0007092B">
      <w:pPr>
        <w:rPr>
          <w:sz w:val="16"/>
          <w:szCs w:val="16"/>
          <w:u w:val="single"/>
        </w:rPr>
      </w:pPr>
      <w:r w:rsidRPr="00BF4115">
        <w:rPr>
          <w:sz w:val="16"/>
          <w:szCs w:val="16"/>
          <w:u w:val="single"/>
        </w:rPr>
        <w:t>Du Pont Identity</w:t>
      </w:r>
    </w:p>
    <w:p w14:paraId="3B46354F" w14:textId="65C233DD" w:rsidR="000226AF" w:rsidRPr="00BF4115" w:rsidRDefault="000226AF" w:rsidP="0007092B">
      <w:pPr>
        <w:rPr>
          <w:sz w:val="16"/>
          <w:szCs w:val="16"/>
        </w:rPr>
      </w:pPr>
      <w:r w:rsidRPr="00BF4115">
        <w:rPr>
          <w:sz w:val="16"/>
          <w:szCs w:val="16"/>
        </w:rPr>
        <w:t>- ROE = ROA * Equity Multiplier</w:t>
      </w:r>
    </w:p>
    <w:p w14:paraId="2BA7F72D" w14:textId="2F0D9A78" w:rsidR="000226AF" w:rsidRPr="00BF4115" w:rsidRDefault="000226AF" w:rsidP="0007092B">
      <w:pPr>
        <w:rPr>
          <w:sz w:val="16"/>
          <w:szCs w:val="16"/>
        </w:rPr>
      </w:pPr>
      <w:r w:rsidRPr="00BF4115">
        <w:rPr>
          <w:sz w:val="16"/>
          <w:szCs w:val="16"/>
        </w:rPr>
        <w:t>- ROE = ROA * (1 + Debt-equity ratio)</w:t>
      </w:r>
    </w:p>
    <w:p w14:paraId="4E7DF8C5" w14:textId="05BC80DB" w:rsidR="000226AF" w:rsidRPr="00BF4115" w:rsidRDefault="000226AF" w:rsidP="0007092B">
      <w:pPr>
        <w:rPr>
          <w:sz w:val="16"/>
          <w:szCs w:val="16"/>
        </w:rPr>
      </w:pPr>
      <w:r w:rsidRPr="00BF4115">
        <w:rPr>
          <w:sz w:val="16"/>
          <w:szCs w:val="16"/>
        </w:rPr>
        <w:t>- ROE = Profit Margin * Total Asset Turnover * Equity Multiplier</w:t>
      </w:r>
    </w:p>
    <w:p w14:paraId="6F386451" w14:textId="1D938809" w:rsidR="000226AF" w:rsidRPr="00BF4115" w:rsidRDefault="000226AF" w:rsidP="0007092B">
      <w:pPr>
        <w:rPr>
          <w:sz w:val="16"/>
          <w:szCs w:val="16"/>
        </w:rPr>
      </w:pPr>
      <w:r w:rsidRPr="00BF4115">
        <w:rPr>
          <w:sz w:val="16"/>
          <w:szCs w:val="16"/>
        </w:rPr>
        <w:t>- ROE is affected by operating efficiency, asset use efficiency, and financial leverage (weakness in either of the first two will show up in diminished ROA, and lower ROE) (incr. debt, incr. interest expense, which reduces profit margins, which reduces ROE)</w:t>
      </w:r>
      <w:r w:rsidR="00BF4115">
        <w:rPr>
          <w:sz w:val="16"/>
          <w:szCs w:val="16"/>
        </w:rPr>
        <w:t xml:space="preserve"> (however, if company has no debt, then can incr. debt for higher EM)</w:t>
      </w:r>
    </w:p>
    <w:p w14:paraId="37EBAF3B" w14:textId="77777777" w:rsidR="000226AF" w:rsidRPr="00BF4115" w:rsidRDefault="000226AF" w:rsidP="0007092B">
      <w:pPr>
        <w:rPr>
          <w:sz w:val="16"/>
          <w:szCs w:val="16"/>
        </w:rPr>
      </w:pPr>
    </w:p>
    <w:p w14:paraId="67AE48C4" w14:textId="0CCAA747" w:rsidR="000226AF" w:rsidRPr="00BF4115" w:rsidRDefault="000226AF" w:rsidP="0007092B">
      <w:pPr>
        <w:rPr>
          <w:sz w:val="16"/>
          <w:szCs w:val="16"/>
          <w:u w:val="single"/>
        </w:rPr>
      </w:pPr>
      <w:r w:rsidRPr="00BF4115">
        <w:rPr>
          <w:sz w:val="16"/>
          <w:szCs w:val="16"/>
          <w:u w:val="single"/>
        </w:rPr>
        <w:t>Percentage of Sales Approach</w:t>
      </w:r>
    </w:p>
    <w:p w14:paraId="316BB85B" w14:textId="7AFE346F" w:rsidR="000226AF" w:rsidRPr="00BF4115" w:rsidRDefault="000226AF" w:rsidP="000226AF">
      <w:pPr>
        <w:rPr>
          <w:sz w:val="16"/>
          <w:szCs w:val="16"/>
        </w:rPr>
      </w:pPr>
      <w:r w:rsidRPr="00BF4115">
        <w:rPr>
          <w:sz w:val="16"/>
          <w:szCs w:val="16"/>
        </w:rPr>
        <w:t>Pro Forma Income Statement</w:t>
      </w:r>
    </w:p>
    <w:p w14:paraId="052E9045" w14:textId="422B7D87" w:rsidR="000226AF" w:rsidRPr="00BF4115" w:rsidRDefault="000226AF" w:rsidP="000226AF">
      <w:pPr>
        <w:rPr>
          <w:sz w:val="16"/>
          <w:szCs w:val="16"/>
        </w:rPr>
      </w:pPr>
      <w:r w:rsidRPr="00BF4115">
        <w:rPr>
          <w:sz w:val="16"/>
          <w:szCs w:val="16"/>
        </w:rPr>
        <w:t>- List all numbers as a percentage of sales</w:t>
      </w:r>
    </w:p>
    <w:p w14:paraId="666169FA" w14:textId="5526F8A4" w:rsidR="000226AF" w:rsidRPr="00BF4115" w:rsidRDefault="000226AF" w:rsidP="000226AF">
      <w:pPr>
        <w:rPr>
          <w:sz w:val="16"/>
          <w:szCs w:val="16"/>
        </w:rPr>
      </w:pPr>
      <w:r w:rsidRPr="00BF4115">
        <w:rPr>
          <w:sz w:val="16"/>
          <w:szCs w:val="16"/>
        </w:rPr>
        <w:lastRenderedPageBreak/>
        <w:t>- Project sales value for the following year and match the rest of the income statement to the projection</w:t>
      </w:r>
    </w:p>
    <w:p w14:paraId="0BC9BB66" w14:textId="31E14586" w:rsidR="000226AF" w:rsidRPr="00BF4115" w:rsidRDefault="000226AF" w:rsidP="000226AF">
      <w:pPr>
        <w:rPr>
          <w:sz w:val="16"/>
          <w:szCs w:val="16"/>
        </w:rPr>
      </w:pPr>
      <w:r w:rsidRPr="00BF4115">
        <w:rPr>
          <w:sz w:val="16"/>
          <w:szCs w:val="16"/>
        </w:rPr>
        <w:t>Pro Forma Balance Sheet</w:t>
      </w:r>
    </w:p>
    <w:p w14:paraId="531D9B72" w14:textId="4AD18A4E" w:rsidR="000226AF" w:rsidRPr="00BF4115" w:rsidRDefault="000226AF" w:rsidP="000226AF">
      <w:pPr>
        <w:rPr>
          <w:sz w:val="16"/>
          <w:szCs w:val="16"/>
        </w:rPr>
      </w:pPr>
      <w:r w:rsidRPr="00BF4115">
        <w:rPr>
          <w:sz w:val="16"/>
          <w:szCs w:val="16"/>
        </w:rPr>
        <w:t>- Identify spontaneous accounts and list them as percentage of sales (not notes payable, long-term debt, common stock)</w:t>
      </w:r>
    </w:p>
    <w:p w14:paraId="63B39E89" w14:textId="599CCACA" w:rsidR="000226AF" w:rsidRPr="00BF4115" w:rsidRDefault="000226AF" w:rsidP="000226AF">
      <w:pPr>
        <w:rPr>
          <w:sz w:val="16"/>
          <w:szCs w:val="16"/>
        </w:rPr>
      </w:pPr>
      <w:r w:rsidRPr="00BF4115">
        <w:rPr>
          <w:sz w:val="16"/>
          <w:szCs w:val="16"/>
        </w:rPr>
        <w:t>- Project numbers that support growth in sales</w:t>
      </w:r>
    </w:p>
    <w:p w14:paraId="39785D37" w14:textId="35CC7FE7" w:rsidR="000226AF" w:rsidRPr="00BF4115" w:rsidRDefault="000226AF" w:rsidP="000226AF">
      <w:pPr>
        <w:rPr>
          <w:sz w:val="16"/>
          <w:szCs w:val="16"/>
        </w:rPr>
      </w:pPr>
      <w:r w:rsidRPr="00BF4115">
        <w:rPr>
          <w:sz w:val="16"/>
          <w:szCs w:val="16"/>
        </w:rPr>
        <w:t>- Calculate retained earnings</w:t>
      </w:r>
    </w:p>
    <w:p w14:paraId="6F1C8FFB" w14:textId="7C8D38A3" w:rsidR="000226AF" w:rsidRPr="00BF4115" w:rsidRDefault="00537E66" w:rsidP="000226AF">
      <w:pPr>
        <w:rPr>
          <w:sz w:val="16"/>
          <w:szCs w:val="16"/>
        </w:rPr>
      </w:pPr>
      <w:r w:rsidRPr="00BF4115">
        <w:rPr>
          <w:sz w:val="16"/>
          <w:szCs w:val="16"/>
        </w:rPr>
        <w:t>- Determine EFNs (identify plug variables to inject EFN) (e.g. short-term debt to balance NWC, and then remaining in long-term debt)</w:t>
      </w:r>
    </w:p>
    <w:p w14:paraId="34904134" w14:textId="77777777" w:rsidR="00C567A7" w:rsidRPr="00BF4115" w:rsidRDefault="00C567A7" w:rsidP="000226AF">
      <w:pPr>
        <w:rPr>
          <w:sz w:val="16"/>
          <w:szCs w:val="16"/>
        </w:rPr>
      </w:pPr>
    </w:p>
    <w:p w14:paraId="1D222569" w14:textId="5DCDDD07" w:rsidR="00C567A7" w:rsidRPr="00BF4115" w:rsidRDefault="00C567A7" w:rsidP="000226AF">
      <w:pPr>
        <w:rPr>
          <w:sz w:val="16"/>
          <w:szCs w:val="16"/>
          <w:u w:val="single"/>
        </w:rPr>
      </w:pPr>
      <w:r w:rsidRPr="00BF4115">
        <w:rPr>
          <w:sz w:val="16"/>
          <w:szCs w:val="16"/>
          <w:u w:val="single"/>
        </w:rPr>
        <w:t>Other Ratios</w:t>
      </w:r>
    </w:p>
    <w:p w14:paraId="6D42816F" w14:textId="2B6C6D78" w:rsidR="00C567A7" w:rsidRPr="00BF4115" w:rsidRDefault="00C567A7" w:rsidP="000226AF">
      <w:pPr>
        <w:rPr>
          <w:sz w:val="16"/>
          <w:szCs w:val="16"/>
        </w:rPr>
      </w:pPr>
      <w:r w:rsidRPr="00BF4115">
        <w:rPr>
          <w:sz w:val="16"/>
          <w:szCs w:val="16"/>
        </w:rPr>
        <w:t>Equity Multiplier = 1 + DE</w:t>
      </w:r>
    </w:p>
    <w:p w14:paraId="6CA58677" w14:textId="4275CDF4" w:rsidR="00C567A7" w:rsidRPr="00BF4115" w:rsidRDefault="00C567A7" w:rsidP="000226AF">
      <w:pPr>
        <w:rPr>
          <w:sz w:val="16"/>
          <w:szCs w:val="16"/>
        </w:rPr>
      </w:pPr>
      <w:r w:rsidRPr="00BF4115">
        <w:rPr>
          <w:sz w:val="16"/>
          <w:szCs w:val="16"/>
        </w:rPr>
        <w:t>EBIT = Sales – COGS - D</w:t>
      </w:r>
    </w:p>
    <w:p w14:paraId="4201E57E" w14:textId="4B62F1D0" w:rsidR="00C567A7" w:rsidRPr="00BF4115" w:rsidRDefault="00C567A7" w:rsidP="000226AF">
      <w:pPr>
        <w:rPr>
          <w:sz w:val="16"/>
          <w:szCs w:val="16"/>
        </w:rPr>
      </w:pPr>
      <w:r w:rsidRPr="00BF4115">
        <w:rPr>
          <w:sz w:val="16"/>
          <w:szCs w:val="16"/>
        </w:rPr>
        <w:t>NI = (Pretax)(1 – Tax Rate)</w:t>
      </w:r>
    </w:p>
    <w:p w14:paraId="4716A91F" w14:textId="3310F274" w:rsidR="00C567A7" w:rsidRPr="00BF4115" w:rsidRDefault="00C567A7" w:rsidP="000226AF">
      <w:pPr>
        <w:rPr>
          <w:sz w:val="16"/>
          <w:szCs w:val="16"/>
        </w:rPr>
      </w:pPr>
      <w:r w:rsidRPr="00BF4115">
        <w:rPr>
          <w:sz w:val="16"/>
          <w:szCs w:val="16"/>
        </w:rPr>
        <w:t>Taxable Income = EBIT – I</w:t>
      </w:r>
    </w:p>
    <w:p w14:paraId="2DE39374" w14:textId="1727CB0E" w:rsidR="00C567A7" w:rsidRPr="00BF4115" w:rsidRDefault="00C567A7" w:rsidP="000226AF">
      <w:pPr>
        <w:rPr>
          <w:sz w:val="16"/>
          <w:szCs w:val="16"/>
        </w:rPr>
      </w:pPr>
      <w:r w:rsidRPr="00BF4115">
        <w:rPr>
          <w:sz w:val="16"/>
          <w:szCs w:val="16"/>
        </w:rPr>
        <w:t>Tax = (Taxable Income)(Tax Rate)</w:t>
      </w:r>
    </w:p>
    <w:p w14:paraId="2C320CF5" w14:textId="77777777" w:rsidR="00C567A7" w:rsidRPr="00BF4115" w:rsidRDefault="00C567A7" w:rsidP="000226AF">
      <w:pPr>
        <w:rPr>
          <w:sz w:val="16"/>
          <w:szCs w:val="16"/>
        </w:rPr>
      </w:pPr>
    </w:p>
    <w:p w14:paraId="3C6ACF96" w14:textId="0888FE8D" w:rsidR="00C567A7" w:rsidRPr="00BF4115" w:rsidRDefault="00C567A7" w:rsidP="000226AF">
      <w:pPr>
        <w:rPr>
          <w:sz w:val="16"/>
          <w:szCs w:val="16"/>
        </w:rPr>
      </w:pPr>
      <w:r w:rsidRPr="00BF4115">
        <w:rPr>
          <w:sz w:val="16"/>
          <w:szCs w:val="16"/>
        </w:rPr>
        <w:t>OCF = EBIT + D – T</w:t>
      </w:r>
    </w:p>
    <w:p w14:paraId="68AA89A7" w14:textId="6E466C9D" w:rsidR="00C567A7" w:rsidRPr="00BF4115" w:rsidRDefault="00C567A7" w:rsidP="000226AF">
      <w:pPr>
        <w:rPr>
          <w:sz w:val="16"/>
          <w:szCs w:val="16"/>
        </w:rPr>
      </w:pPr>
      <w:r w:rsidRPr="00BF4115">
        <w:rPr>
          <w:sz w:val="16"/>
          <w:szCs w:val="16"/>
        </w:rPr>
        <w:t>FCF = OFC – Capital Expenditures</w:t>
      </w:r>
    </w:p>
    <w:p w14:paraId="6E1672FE" w14:textId="0C467EEF" w:rsidR="00C567A7" w:rsidRPr="00BF4115" w:rsidRDefault="00C567A7" w:rsidP="000226AF">
      <w:pPr>
        <w:rPr>
          <w:sz w:val="16"/>
          <w:szCs w:val="16"/>
        </w:rPr>
      </w:pPr>
      <w:r w:rsidRPr="00BF4115">
        <w:rPr>
          <w:sz w:val="16"/>
          <w:szCs w:val="16"/>
        </w:rPr>
        <w:t xml:space="preserve">Capital Expenditures = </w:t>
      </w:r>
      <m:oMath>
        <m:r>
          <m:rPr>
            <m:sty m:val="p"/>
          </m:rPr>
          <w:rPr>
            <w:rFonts w:ascii="Cambria Math" w:hAnsi="Cambria Math"/>
            <w:sz w:val="16"/>
            <w:szCs w:val="16"/>
          </w:rPr>
          <m:t>Δ</m:t>
        </m:r>
      </m:oMath>
      <w:r w:rsidRPr="00BF4115">
        <w:rPr>
          <w:sz w:val="16"/>
          <w:szCs w:val="16"/>
        </w:rPr>
        <w:t xml:space="preserve">Capital Spending – </w:t>
      </w:r>
      <m:oMath>
        <m:r>
          <m:rPr>
            <m:sty m:val="p"/>
          </m:rPr>
          <w:rPr>
            <w:rFonts w:ascii="Cambria Math" w:hAnsi="Cambria Math"/>
            <w:sz w:val="16"/>
            <w:szCs w:val="16"/>
          </w:rPr>
          <m:t>Δ</m:t>
        </m:r>
      </m:oMath>
      <w:r w:rsidRPr="00BF4115">
        <w:rPr>
          <w:sz w:val="16"/>
          <w:szCs w:val="16"/>
        </w:rPr>
        <w:t>NWC</w:t>
      </w:r>
    </w:p>
    <w:p w14:paraId="54405211" w14:textId="09C08AE5" w:rsidR="00C567A7" w:rsidRPr="00BF4115" w:rsidRDefault="00C567A7" w:rsidP="000226AF">
      <w:pPr>
        <w:rPr>
          <w:sz w:val="16"/>
          <w:szCs w:val="16"/>
        </w:rPr>
      </w:pPr>
      <w:r w:rsidRPr="00BF4115">
        <w:rPr>
          <w:sz w:val="16"/>
          <w:szCs w:val="16"/>
        </w:rPr>
        <w:t xml:space="preserve">Net Capital Spending = </w:t>
      </w:r>
      <m:oMath>
        <m:sSub>
          <m:sSubPr>
            <m:ctrlPr>
              <w:rPr>
                <w:rFonts w:ascii="Cambria Math" w:hAnsi="Cambria Math"/>
                <w:i/>
                <w:sz w:val="16"/>
                <w:szCs w:val="16"/>
              </w:rPr>
            </m:ctrlPr>
          </m:sSubPr>
          <m:e>
            <m:r>
              <w:rPr>
                <w:rFonts w:ascii="Cambria Math" w:hAnsi="Cambria Math"/>
                <w:sz w:val="16"/>
                <w:szCs w:val="16"/>
              </w:rPr>
              <m:t>FA</m:t>
            </m:r>
          </m:e>
          <m:sub>
            <m:r>
              <w:rPr>
                <w:rFonts w:ascii="Cambria Math" w:hAnsi="Cambria Math"/>
                <w:sz w:val="16"/>
                <w:szCs w:val="16"/>
              </w:rPr>
              <m:t>end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FA</m:t>
            </m:r>
          </m:e>
          <m:sub>
            <m:r>
              <w:rPr>
                <w:rFonts w:ascii="Cambria Math" w:hAnsi="Cambria Math"/>
                <w:sz w:val="16"/>
                <w:szCs w:val="16"/>
              </w:rPr>
              <m:t>beg</m:t>
            </m:r>
          </m:sub>
        </m:sSub>
        <m:r>
          <w:rPr>
            <w:rFonts w:ascii="Cambria Math" w:hAnsi="Cambria Math"/>
            <w:sz w:val="16"/>
            <w:szCs w:val="16"/>
          </w:rPr>
          <m:t>+D</m:t>
        </m:r>
      </m:oMath>
    </w:p>
    <w:p w14:paraId="6A967DD0" w14:textId="13D2AE5B" w:rsidR="00C567A7" w:rsidRPr="00BF4115" w:rsidRDefault="00C567A7" w:rsidP="000226AF">
      <w:pPr>
        <w:rPr>
          <w:sz w:val="16"/>
          <w:szCs w:val="16"/>
        </w:rPr>
      </w:pPr>
      <w:r w:rsidRPr="00BF4115">
        <w:rPr>
          <w:sz w:val="16"/>
          <w:szCs w:val="16"/>
        </w:rPr>
        <w:t>CF(A) = CF(C) + CF(S)</w:t>
      </w:r>
    </w:p>
    <w:p w14:paraId="2A658601" w14:textId="4A348B7C" w:rsidR="00C567A7" w:rsidRPr="00BF4115" w:rsidRDefault="00C567A7" w:rsidP="000226AF">
      <w:pPr>
        <w:rPr>
          <w:sz w:val="16"/>
          <w:szCs w:val="16"/>
        </w:rPr>
      </w:pPr>
      <w:r w:rsidRPr="00BF4115">
        <w:rPr>
          <w:sz w:val="16"/>
          <w:szCs w:val="16"/>
        </w:rPr>
        <w:t>CF(A) = FCF</w:t>
      </w:r>
    </w:p>
    <w:p w14:paraId="1477924F" w14:textId="59D5E1C9" w:rsidR="00C567A7" w:rsidRPr="00BF4115" w:rsidRDefault="00C567A7" w:rsidP="000226AF">
      <w:pPr>
        <w:rPr>
          <w:sz w:val="16"/>
          <w:szCs w:val="16"/>
        </w:rPr>
      </w:pPr>
      <w:r w:rsidRPr="00BF4115">
        <w:rPr>
          <w:sz w:val="16"/>
          <w:szCs w:val="16"/>
        </w:rPr>
        <w:t>CF</w:t>
      </w:r>
      <w:r w:rsidR="00BF4115" w:rsidRPr="00BF4115">
        <w:rPr>
          <w:sz w:val="16"/>
          <w:szCs w:val="16"/>
        </w:rPr>
        <w:t>(B</w:t>
      </w:r>
      <w:r w:rsidRPr="00BF4115">
        <w:rPr>
          <w:sz w:val="16"/>
          <w:szCs w:val="16"/>
        </w:rPr>
        <w:t>) = CF to creditors = Interest Paid – Net new borrowing</w:t>
      </w:r>
      <w:r w:rsidR="00BF4115" w:rsidRPr="00BF4115">
        <w:rPr>
          <w:sz w:val="16"/>
          <w:szCs w:val="16"/>
        </w:rPr>
        <w:t xml:space="preserve"> = Interest Paid – (ending long-term debt – Beg. long-term debt)</w:t>
      </w:r>
    </w:p>
    <w:p w14:paraId="29D1D7F6" w14:textId="4D285641" w:rsidR="00C567A7" w:rsidRPr="00BF4115" w:rsidRDefault="00C567A7" w:rsidP="000226AF">
      <w:pPr>
        <w:rPr>
          <w:sz w:val="16"/>
          <w:szCs w:val="16"/>
        </w:rPr>
      </w:pPr>
      <w:r w:rsidRPr="00BF4115">
        <w:rPr>
          <w:sz w:val="16"/>
          <w:szCs w:val="16"/>
        </w:rPr>
        <w:t>CF(S) = CF to stockholders = Dividends – Net new equity raised = Dividends – (Stocks Sold – Stocks purchased)</w:t>
      </w:r>
    </w:p>
    <w:p w14:paraId="601628CE" w14:textId="77777777" w:rsidR="00C567A7" w:rsidRPr="00BF4115" w:rsidRDefault="00C567A7" w:rsidP="000226AF">
      <w:pPr>
        <w:rPr>
          <w:sz w:val="16"/>
          <w:szCs w:val="16"/>
        </w:rPr>
      </w:pPr>
    </w:p>
    <w:p w14:paraId="1F81D947" w14:textId="6AEEE160" w:rsidR="00C567A7" w:rsidRPr="00BF4115" w:rsidRDefault="00C567A7" w:rsidP="000226AF">
      <w:pPr>
        <w:rPr>
          <w:sz w:val="16"/>
          <w:szCs w:val="16"/>
        </w:rPr>
      </w:pPr>
      <w:r w:rsidRPr="00BF4115">
        <w:rPr>
          <w:sz w:val="16"/>
          <w:szCs w:val="16"/>
        </w:rPr>
        <w:t>Dividend Payout Ratio = Dividends / NI</w:t>
      </w:r>
    </w:p>
    <w:p w14:paraId="53792E37" w14:textId="45E13F34" w:rsidR="00C567A7" w:rsidRPr="00BF4115" w:rsidRDefault="00C567A7" w:rsidP="000226AF">
      <w:pPr>
        <w:rPr>
          <w:sz w:val="16"/>
          <w:szCs w:val="16"/>
        </w:rPr>
      </w:pPr>
      <w:r w:rsidRPr="00BF4115">
        <w:rPr>
          <w:sz w:val="16"/>
          <w:szCs w:val="16"/>
        </w:rPr>
        <w:t>Retention (or Plowback) Ratio = Addition to RE / NI = 1 – Payout Ratio</w:t>
      </w:r>
    </w:p>
    <w:p w14:paraId="79B06F07" w14:textId="77777777" w:rsidR="00C567A7" w:rsidRPr="00BF4115" w:rsidRDefault="00C567A7" w:rsidP="000226AF">
      <w:pPr>
        <w:rPr>
          <w:sz w:val="16"/>
          <w:szCs w:val="16"/>
        </w:rPr>
      </w:pPr>
    </w:p>
    <w:p w14:paraId="00A068F7" w14:textId="40949F36" w:rsidR="00C567A7" w:rsidRPr="00BF4115" w:rsidRDefault="00C567A7" w:rsidP="000226AF">
      <w:pPr>
        <w:rPr>
          <w:sz w:val="16"/>
          <w:szCs w:val="16"/>
        </w:rPr>
      </w:pPr>
      <w:r w:rsidRPr="00BF4115">
        <w:rPr>
          <w:sz w:val="16"/>
          <w:szCs w:val="16"/>
        </w:rPr>
        <w:t>EFN = TA – (TL + TE)</w:t>
      </w:r>
    </w:p>
    <w:p w14:paraId="3A742504" w14:textId="762EE311" w:rsidR="00C567A7" w:rsidRPr="00BF4115" w:rsidRDefault="00C567A7" w:rsidP="000226AF">
      <w:pPr>
        <w:rPr>
          <w:sz w:val="16"/>
          <w:szCs w:val="16"/>
        </w:rPr>
      </w:pPr>
      <w:r w:rsidRPr="00BF4115">
        <w:rPr>
          <w:sz w:val="16"/>
          <w:szCs w:val="16"/>
        </w:rPr>
        <w:t>EFN = (TA / Sales)(</w:t>
      </w:r>
      <m:oMath>
        <m:r>
          <m:rPr>
            <m:sty m:val="p"/>
          </m:rPr>
          <w:rPr>
            <w:rFonts w:ascii="Cambria Math" w:hAnsi="Cambria Math"/>
            <w:sz w:val="16"/>
            <w:szCs w:val="16"/>
          </w:rPr>
          <m:t xml:space="preserve"> Δ</m:t>
        </m:r>
      </m:oMath>
      <w:r w:rsidRPr="00BF4115">
        <w:rPr>
          <w:sz w:val="16"/>
          <w:szCs w:val="16"/>
        </w:rPr>
        <w:t xml:space="preserve">Sales) – (Spont. Liabilities / Sales) – (PM)(Proj. Sales)(1 – d) </w:t>
      </w:r>
    </w:p>
    <w:p w14:paraId="6059E590" w14:textId="73C8B75A" w:rsidR="00C567A7" w:rsidRPr="00BF4115" w:rsidRDefault="00C567A7" w:rsidP="000226AF">
      <w:pPr>
        <w:rPr>
          <w:sz w:val="16"/>
          <w:szCs w:val="16"/>
        </w:rPr>
      </w:pPr>
      <w:r w:rsidRPr="00BF4115">
        <w:rPr>
          <w:sz w:val="16"/>
          <w:szCs w:val="16"/>
        </w:rPr>
        <w:t>d = dividends payout ratio, b = retention ratio</w:t>
      </w:r>
    </w:p>
    <w:p w14:paraId="20C1A99D" w14:textId="13C4B5F8" w:rsidR="00C567A7" w:rsidRPr="00BF4115" w:rsidRDefault="00C567A7" w:rsidP="000226AF">
      <w:pPr>
        <w:rPr>
          <w:sz w:val="16"/>
          <w:szCs w:val="16"/>
        </w:rPr>
      </w:pPr>
      <w:r w:rsidRPr="00BF4115">
        <w:rPr>
          <w:sz w:val="16"/>
          <w:szCs w:val="16"/>
        </w:rPr>
        <w:t xml:space="preserve">Addition to RE = </w:t>
      </w:r>
      <m:oMath>
        <m:r>
          <m:rPr>
            <m:sty m:val="p"/>
          </m:rPr>
          <w:rPr>
            <w:rFonts w:ascii="Cambria Math" w:hAnsi="Cambria Math"/>
            <w:sz w:val="16"/>
            <w:szCs w:val="16"/>
          </w:rPr>
          <m:t>Δ</m:t>
        </m:r>
      </m:oMath>
      <w:r w:rsidRPr="00BF4115">
        <w:rPr>
          <w:sz w:val="16"/>
          <w:szCs w:val="16"/>
        </w:rPr>
        <w:t xml:space="preserve">TE </w:t>
      </w:r>
      <w:r w:rsidR="001C2C5C">
        <w:rPr>
          <w:sz w:val="16"/>
          <w:szCs w:val="16"/>
        </w:rPr>
        <w:t>(if no dividends payout, then equity account incr. by NI =&gt; NI = RE)</w:t>
      </w:r>
      <w:bookmarkStart w:id="0" w:name="_GoBack"/>
      <w:bookmarkEnd w:id="0"/>
    </w:p>
    <w:p w14:paraId="5888C9A8" w14:textId="139BFC76" w:rsidR="00C567A7" w:rsidRPr="00BF4115" w:rsidRDefault="00C567A7" w:rsidP="000226AF">
      <w:pPr>
        <w:rPr>
          <w:sz w:val="16"/>
          <w:szCs w:val="16"/>
        </w:rPr>
      </w:pPr>
      <w:r w:rsidRPr="00BF4115">
        <w:rPr>
          <w:sz w:val="16"/>
          <w:szCs w:val="16"/>
        </w:rPr>
        <w:t>Common Size Inventory = Inventory / TA</w:t>
      </w:r>
    </w:p>
    <w:p w14:paraId="02622648" w14:textId="77777777" w:rsidR="00BF4115" w:rsidRPr="00BF4115" w:rsidRDefault="00BF4115" w:rsidP="000226AF">
      <w:pPr>
        <w:rPr>
          <w:sz w:val="16"/>
          <w:szCs w:val="16"/>
        </w:rPr>
      </w:pPr>
    </w:p>
    <w:p w14:paraId="0A634724" w14:textId="0BFECEA0" w:rsidR="00BF4115" w:rsidRPr="00BF4115" w:rsidRDefault="00BF4115" w:rsidP="000226AF">
      <w:pPr>
        <w:rPr>
          <w:sz w:val="16"/>
          <w:szCs w:val="16"/>
          <w:u w:val="single"/>
        </w:rPr>
      </w:pPr>
      <w:r w:rsidRPr="00BF4115">
        <w:rPr>
          <w:sz w:val="16"/>
          <w:szCs w:val="16"/>
          <w:u w:val="single"/>
        </w:rPr>
        <w:t>Ratios Analysis (cont.)</w:t>
      </w:r>
    </w:p>
    <w:p w14:paraId="1DACDF4A" w14:textId="28EF72BE" w:rsidR="00BF4115" w:rsidRPr="00BF4115" w:rsidRDefault="00BF4115" w:rsidP="000226AF">
      <w:pPr>
        <w:rPr>
          <w:sz w:val="16"/>
          <w:szCs w:val="16"/>
        </w:rPr>
      </w:pPr>
      <w:r w:rsidRPr="00BF4115">
        <w:rPr>
          <w:sz w:val="16"/>
          <w:szCs w:val="16"/>
        </w:rPr>
        <w:t>- High current ratio, low quick ratio = high inventory</w:t>
      </w:r>
    </w:p>
    <w:p w14:paraId="7D43B122" w14:textId="6793AFC3" w:rsidR="00BF4115" w:rsidRPr="00BF4115" w:rsidRDefault="00BF4115" w:rsidP="000226AF">
      <w:pPr>
        <w:rPr>
          <w:sz w:val="16"/>
          <w:szCs w:val="16"/>
        </w:rPr>
      </w:pPr>
      <w:r w:rsidRPr="00BF4115">
        <w:rPr>
          <w:sz w:val="16"/>
          <w:szCs w:val="16"/>
        </w:rPr>
        <w:t>- High EM = lots of debt. Ok if OCF is high</w:t>
      </w:r>
    </w:p>
    <w:p w14:paraId="20A7FCA3" w14:textId="27CAAEAC" w:rsidR="00BF4115" w:rsidRDefault="00BF4115" w:rsidP="000226AF">
      <w:pPr>
        <w:rPr>
          <w:sz w:val="16"/>
          <w:szCs w:val="16"/>
        </w:rPr>
      </w:pPr>
      <w:r w:rsidRPr="00BF4115">
        <w:rPr>
          <w:sz w:val="16"/>
          <w:szCs w:val="16"/>
        </w:rPr>
        <w:t>- Inventory turnover ratio = goes down when COGS goes down or inventory piles up (both may be result of a recession)</w:t>
      </w:r>
    </w:p>
    <w:p w14:paraId="259BC65E" w14:textId="6415BB5E" w:rsidR="00BF4115" w:rsidRDefault="00BF4115" w:rsidP="000226AF">
      <w:pPr>
        <w:rPr>
          <w:sz w:val="16"/>
          <w:szCs w:val="16"/>
        </w:rPr>
      </w:pPr>
      <w:r>
        <w:rPr>
          <w:sz w:val="16"/>
          <w:szCs w:val="16"/>
        </w:rPr>
        <w:t>- Low receivables turnover ratio = not able to collect cash from its customers</w:t>
      </w:r>
    </w:p>
    <w:p w14:paraId="5C7263AF" w14:textId="15DFDDC6" w:rsidR="00090751" w:rsidRDefault="00090751" w:rsidP="000226AF">
      <w:pPr>
        <w:rPr>
          <w:sz w:val="16"/>
          <w:szCs w:val="16"/>
        </w:rPr>
      </w:pPr>
      <w:r>
        <w:rPr>
          <w:sz w:val="16"/>
          <w:szCs w:val="16"/>
        </w:rPr>
        <w:t>- Different revenue models = one-time payment or multiple</w:t>
      </w:r>
    </w:p>
    <w:p w14:paraId="2E8DED93" w14:textId="182C9F1B" w:rsidR="00090751" w:rsidRDefault="00090751" w:rsidP="000226AF">
      <w:pPr>
        <w:rPr>
          <w:sz w:val="16"/>
          <w:szCs w:val="16"/>
        </w:rPr>
      </w:pPr>
      <w:r>
        <w:rPr>
          <w:sz w:val="16"/>
          <w:szCs w:val="16"/>
        </w:rPr>
        <w:t>- Neither balance sheet nor income statement is directly linked to current stock price</w:t>
      </w:r>
    </w:p>
    <w:p w14:paraId="484B9F57" w14:textId="2CBFA393" w:rsidR="00090751" w:rsidRDefault="00090751" w:rsidP="000226AF">
      <w:pPr>
        <w:rPr>
          <w:sz w:val="16"/>
          <w:szCs w:val="16"/>
        </w:rPr>
      </w:pPr>
      <w:r>
        <w:rPr>
          <w:sz w:val="16"/>
          <w:szCs w:val="16"/>
        </w:rPr>
        <w:t>- DE ratio = hi could mean company is more willing to get into debt to expand growth, low could mean company sells more, so equity goes up</w:t>
      </w:r>
    </w:p>
    <w:p w14:paraId="68B97FF4" w14:textId="5E661AA9" w:rsidR="00090751" w:rsidRDefault="00090751" w:rsidP="000226AF">
      <w:pPr>
        <w:rPr>
          <w:sz w:val="16"/>
          <w:szCs w:val="16"/>
        </w:rPr>
      </w:pPr>
      <w:r>
        <w:rPr>
          <w:sz w:val="16"/>
          <w:szCs w:val="16"/>
        </w:rPr>
        <w:t>- US businesses have higher DE than international as they have more access to capital and seem to be more risky</w:t>
      </w:r>
    </w:p>
    <w:p w14:paraId="3C4C8656" w14:textId="17720B2E" w:rsidR="00E10E61" w:rsidRDefault="00E10E61" w:rsidP="000226AF">
      <w:pPr>
        <w:rPr>
          <w:sz w:val="16"/>
          <w:szCs w:val="16"/>
        </w:rPr>
      </w:pPr>
      <w:r>
        <w:rPr>
          <w:sz w:val="16"/>
          <w:szCs w:val="16"/>
        </w:rPr>
        <w:t>- Current stock price integrates past, current, and future info. about firm</w:t>
      </w:r>
    </w:p>
    <w:p w14:paraId="5ECA7186" w14:textId="3504FD67" w:rsidR="00E10E61" w:rsidRDefault="00E10E61" w:rsidP="000226AF">
      <w:pPr>
        <w:rPr>
          <w:sz w:val="16"/>
          <w:szCs w:val="16"/>
        </w:rPr>
      </w:pPr>
      <w:r>
        <w:rPr>
          <w:sz w:val="16"/>
          <w:szCs w:val="16"/>
        </w:rPr>
        <w:t xml:space="preserve">- </w:t>
      </w:r>
      <w:r w:rsidR="00BB13D3">
        <w:rPr>
          <w:sz w:val="16"/>
          <w:szCs w:val="16"/>
        </w:rPr>
        <w:t>Proxy fight = group of investors using voting rights of other investors to change management's direction</w:t>
      </w:r>
    </w:p>
    <w:p w14:paraId="24060BFB" w14:textId="4144AFF7" w:rsidR="00334906" w:rsidRPr="00BF4115" w:rsidRDefault="00334906" w:rsidP="000226AF">
      <w:pPr>
        <w:rPr>
          <w:sz w:val="16"/>
          <w:szCs w:val="16"/>
        </w:rPr>
      </w:pPr>
      <w:r>
        <w:rPr>
          <w:sz w:val="16"/>
          <w:szCs w:val="16"/>
        </w:rPr>
        <w:t>- Stock buyback wouldn't lead to incr. in PM</w:t>
      </w:r>
      <w:r w:rsidR="00916FA4">
        <w:rPr>
          <w:sz w:val="16"/>
          <w:szCs w:val="16"/>
        </w:rPr>
        <w:t xml:space="preserve"> (lower TA, lower TE, lower shares outstanding, so ROE, ROA, and EPS go up)</w:t>
      </w:r>
    </w:p>
    <w:sectPr w:rsidR="00334906" w:rsidRPr="00BF4115" w:rsidSect="00294B53">
      <w:pgSz w:w="15840" w:h="12240" w:orient="landscape"/>
      <w:pgMar w:top="288" w:right="288" w:bottom="288" w:left="288"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95D49C3"/>
    <w:multiLevelType w:val="hybridMultilevel"/>
    <w:tmpl w:val="FFB215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9FD0BE1"/>
    <w:multiLevelType w:val="hybridMultilevel"/>
    <w:tmpl w:val="D8B8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AB5E6E"/>
    <w:multiLevelType w:val="hybridMultilevel"/>
    <w:tmpl w:val="C172D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A64A8B"/>
    <w:multiLevelType w:val="hybridMultilevel"/>
    <w:tmpl w:val="06ECD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6B6F43"/>
    <w:multiLevelType w:val="hybridMultilevel"/>
    <w:tmpl w:val="46B4D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9B6"/>
    <w:rsid w:val="000226AF"/>
    <w:rsid w:val="0007092B"/>
    <w:rsid w:val="00090751"/>
    <w:rsid w:val="001B19DF"/>
    <w:rsid w:val="001C2C5C"/>
    <w:rsid w:val="00294B53"/>
    <w:rsid w:val="00334906"/>
    <w:rsid w:val="003710D5"/>
    <w:rsid w:val="003A5C74"/>
    <w:rsid w:val="00402D43"/>
    <w:rsid w:val="00465EA7"/>
    <w:rsid w:val="00537E66"/>
    <w:rsid w:val="00663E18"/>
    <w:rsid w:val="006F5600"/>
    <w:rsid w:val="00916FA4"/>
    <w:rsid w:val="00AC3483"/>
    <w:rsid w:val="00B629B6"/>
    <w:rsid w:val="00BB13D3"/>
    <w:rsid w:val="00BB519F"/>
    <w:rsid w:val="00BE4A9B"/>
    <w:rsid w:val="00BF4115"/>
    <w:rsid w:val="00C567A7"/>
    <w:rsid w:val="00DD72CD"/>
    <w:rsid w:val="00E10E61"/>
    <w:rsid w:val="00F73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1FD1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0D5"/>
    <w:pPr>
      <w:ind w:left="720"/>
      <w:contextualSpacing/>
    </w:pPr>
  </w:style>
  <w:style w:type="paragraph" w:styleId="BalloonText">
    <w:name w:val="Balloon Text"/>
    <w:basedOn w:val="Normal"/>
    <w:link w:val="BalloonTextChar"/>
    <w:uiPriority w:val="99"/>
    <w:semiHidden/>
    <w:unhideWhenUsed/>
    <w:rsid w:val="00294B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4B53"/>
    <w:rPr>
      <w:rFonts w:ascii="Lucida Grande" w:hAnsi="Lucida Grande" w:cs="Lucida Grande"/>
      <w:sz w:val="18"/>
      <w:szCs w:val="18"/>
    </w:rPr>
  </w:style>
  <w:style w:type="character" w:styleId="PlaceholderText">
    <w:name w:val="Placeholder Text"/>
    <w:basedOn w:val="DefaultParagraphFont"/>
    <w:uiPriority w:val="99"/>
    <w:semiHidden/>
    <w:rsid w:val="00C567A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0D5"/>
    <w:pPr>
      <w:ind w:left="720"/>
      <w:contextualSpacing/>
    </w:pPr>
  </w:style>
  <w:style w:type="paragraph" w:styleId="BalloonText">
    <w:name w:val="Balloon Text"/>
    <w:basedOn w:val="Normal"/>
    <w:link w:val="BalloonTextChar"/>
    <w:uiPriority w:val="99"/>
    <w:semiHidden/>
    <w:unhideWhenUsed/>
    <w:rsid w:val="00294B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4B53"/>
    <w:rPr>
      <w:rFonts w:ascii="Lucida Grande" w:hAnsi="Lucida Grande" w:cs="Lucida Grande"/>
      <w:sz w:val="18"/>
      <w:szCs w:val="18"/>
    </w:rPr>
  </w:style>
  <w:style w:type="character" w:styleId="PlaceholderText">
    <w:name w:val="Placeholder Text"/>
    <w:basedOn w:val="DefaultParagraphFont"/>
    <w:uiPriority w:val="99"/>
    <w:semiHidden/>
    <w:rsid w:val="00C567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FFE17C9-3891-7B4A-A19D-9A4557B7F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732</Words>
  <Characters>4178</Characters>
  <Application>Microsoft Macintosh Word</Application>
  <DocSecurity>0</DocSecurity>
  <Lines>34</Lines>
  <Paragraphs>9</Paragraphs>
  <ScaleCrop>false</ScaleCrop>
  <Company/>
  <LinksUpToDate>false</LinksUpToDate>
  <CharactersWithSpaces>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Less</dc:creator>
  <cp:keywords/>
  <dc:description/>
  <cp:lastModifiedBy>Jason Less</cp:lastModifiedBy>
  <cp:revision>19</cp:revision>
  <dcterms:created xsi:type="dcterms:W3CDTF">2019-04-24T05:30:00Z</dcterms:created>
  <dcterms:modified xsi:type="dcterms:W3CDTF">2019-04-24T15:55:00Z</dcterms:modified>
</cp:coreProperties>
</file>