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pPr>
      <w:r>
        <w:rPr>
          <w:rFonts w:ascii="Montserrat" w:hAnsi="Montserrat" w:cs="Montserrat"/>
          <w:b/>
          <w:i w:val="0"/>
          <w:color w:val="6B5A6B"/>
          <w:sz w:val="18"/>
          <w:spacing w:val="50"/>
        </w:rPr>
        <w:t>JAL STRATEGIES  ·  BACKGROUND RESEARCH</w:t>
      </w:r>
    </w:p>
    <w:p>
      <w:pPr>
        <w:spacing w:before="0" w:after="40" w:line="240" w:lineRule="auto"/>
      </w:pPr>
      <w:r>
        <w:rPr>
          <w:rFonts w:ascii="Montserrat" w:hAnsi="Montserrat" w:cs="Montserrat"/>
          <w:b/>
          <w:i w:val="0"/>
          <w:color w:val="0B163C"/>
          <w:sz w:val="52"/>
        </w:rPr>
        <w:t>Queenstown Harbor</w:t>
      </w:r>
    </w:p>
    <w:p>
      <w:pPr>
        <w:spacing w:before="0" w:after="120" w:line="269" w:lineRule="auto"/>
      </w:pPr>
      <w:r>
        <w:rPr>
          <w:rFonts w:ascii="Montserrat" w:hAnsi="Montserrat" w:cs="Montserrat"/>
          <w:b/>
          <w:i w:val="0"/>
          <w:color w:val="3A243A"/>
          <w:sz w:val="26"/>
        </w:rPr>
        <w:t>History, Developer &amp; Funding — a cited background memo</w:t>
      </w:r>
    </w:p>
    <w:p>
      <w:pPr>
        <w:spacing w:before="0" w:after="160" w:line="276" w:lineRule="auto"/>
        <w:pBdr>
          <w:bottom w:val="single" w:sz="10" w:space="6" w:color="0B163C"/>
        </w:pBdr>
      </w:pPr>
      <w:r>
        <w:rPr>
          <w:rFonts w:ascii="DM Sans" w:hAnsi="DM Sans" w:cs="DM Sans"/>
          <w:b w:val="0"/>
          <w:i w:val="0"/>
          <w:color w:val="6B5A6B"/>
          <w:sz w:val="19"/>
        </w:rPr>
        <w:t xml:space="preserve">Prepared for </w:t>
      </w:r>
      <w:r>
        <w:rPr>
          <w:rFonts w:ascii="DM Sans" w:hAnsi="DM Sans" w:cs="DM Sans"/>
          <w:b/>
          <w:i w:val="0"/>
          <w:color w:val="0B163C"/>
          <w:sz w:val="19"/>
        </w:rPr>
        <w:t>JAL Strategies (Justin A. Levine)</w:t>
      </w:r>
      <w:r>
        <w:rPr>
          <w:rFonts w:ascii="DM Sans" w:hAnsi="DM Sans" w:cs="DM Sans"/>
          <w:b w:val="0"/>
          <w:i w:val="0"/>
          <w:color w:val="6B5A6B"/>
          <w:sz w:val="19"/>
        </w:rPr>
        <w:t xml:space="preserve">    ·    June 2026    ·    Compiled from public sources; each claim cited.</w:t>
      </w:r>
    </w:p>
    <w:tbl>
      <w:tblPr>
        <w:tblW w:type="auto" w:w="0"/>
        <w:jc w:val="left"/>
        <w:tblLook w:firstColumn="1" w:firstRow="1" w:lastColumn="0" w:lastRow="0" w:noHBand="0" w:noVBand="1" w:val="04A0"/>
      </w:tblPr>
      <w:tblGrid>
        <w:gridCol w:w="9648"/>
      </w:tblGrid>
      <w:tr>
        <w:tc>
          <w:tcPr>
            <w:tcW w:type="dxa" w:w="9360"/>
            <w:shd w:val="clear" w:color="auto" w:fill="F4F2ED"/>
            <w:tcBorders>
              <w:left w:val="single" w:sz="24" w:space="0" w:color="3A243A"/>
            </w:tcBorders>
          </w:tcPr>
          <w:p>
            <w:pPr>
              <w:spacing w:after="40" w:before="40" w:line="269" w:lineRule="auto"/>
            </w:pPr>
            <w:r>
              <w:rPr>
                <w:rFonts w:ascii="Montserrat" w:hAnsi="Montserrat" w:cs="Montserrat"/>
                <w:b/>
                <w:i w:val="0"/>
                <w:color w:val="3A243A"/>
                <w:sz w:val="18"/>
              </w:rPr>
              <w:t xml:space="preserve">Confidence note. </w:t>
            </w:r>
            <w:r>
              <w:rPr>
                <w:rFonts w:ascii="DM Sans" w:hAnsi="DM Sans" w:cs="DM Sans"/>
                <w:b w:val="0"/>
                <w:i w:val="0"/>
                <w:color w:val="0B163C"/>
                <w:sz w:val="18"/>
              </w:rPr>
              <w:t>Facts about the property, its courses, its developer, and the 2026 transaction are corroborated across multiple independent sources and are high-confidence. Forward-looking figures (EBITDA, refinancing timing, the “perpetual ownership” mechanics) come from the acquirer’s own investor-marketing materials and are labeled [sponsor projection] — treat them as promotional, not independently verified. One minor opening-date discrepancy is flagged inline.</w:t>
            </w:r>
          </w:p>
        </w:tc>
      </w:tr>
    </w:tbl>
    <w:p>
      <w:pPr>
        <w:spacing w:after="40"/>
      </w:pPr>
    </w:p>
    <w:p>
      <w:pPr>
        <w:spacing w:before="280" w:after="40" w:line="269" w:lineRule="auto"/>
      </w:pPr>
      <w:r>
        <w:rPr>
          <w:rFonts w:ascii="Montserrat" w:hAnsi="Montserrat" w:cs="Montserrat"/>
          <w:b/>
          <w:i w:val="0"/>
          <w:color w:val="3A243A"/>
          <w:sz w:val="17"/>
          <w:spacing w:val="40"/>
        </w:rPr>
        <w:t>OVERVIEW</w:t>
      </w:r>
    </w:p>
    <w:p>
      <w:pPr>
        <w:spacing w:before="40" w:after="80" w:line="252" w:lineRule="auto"/>
        <w:pBdr>
          <w:bottom w:val="single" w:sz="6" w:space="6" w:color="C4B8C4"/>
        </w:pBdr>
      </w:pPr>
      <w:r>
        <w:rPr>
          <w:rFonts w:ascii="Montserrat" w:hAnsi="Montserrat" w:cs="Montserrat"/>
          <w:b/>
          <w:i w:val="0"/>
          <w:color w:val="0B163C"/>
          <w:sz w:val="30"/>
        </w:rPr>
        <w:t>1.  At a glance</w:t>
      </w:r>
    </w:p>
    <w:tbl>
      <w:tblPr>
        <w:tblW w:type="auto" w:w="0"/>
        <w:jc w:val="left"/>
        <w:tblLook w:firstColumn="1" w:firstRow="1" w:lastColumn="0" w:lastRow="0" w:noHBand="0" w:noVBand="1" w:val="04A0"/>
        <w:tblBorders>
          <w:top w:val="single" w:sz="4" w:space="0" w:color="E6E1DB"/>
          <w:left w:val="single" w:sz="4" w:space="0" w:color="E6E1DB"/>
          <w:bottom w:val="single" w:sz="4" w:space="0" w:color="E6E1DB"/>
          <w:right w:val="single" w:sz="4" w:space="0" w:color="E6E1DB"/>
          <w:insideH w:val="single" w:sz="4" w:space="0" w:color="E6E1DB"/>
          <w:insideV w:val="single" w:sz="4" w:space="0" w:color="E6E1DB"/>
        </w:tblBorders>
      </w:tblPr>
      <w:tblGrid>
        <w:gridCol w:w="4824"/>
        <w:gridCol w:w="4824"/>
      </w:tblGrid>
      <w:tr>
        <w:tc>
          <w:tcPr>
            <w:tcW w:type="dxa" w:w="3600"/>
            <w:shd w:val="clear" w:color="auto" w:fill="F4F2ED"/>
          </w:tcPr>
          <w:p>
            <w:pPr>
              <w:spacing w:after="40" w:before="40"/>
            </w:pPr>
            <w:r>
              <w:rPr>
                <w:rFonts w:ascii="Montserrat" w:hAnsi="Montserrat" w:cs="Montserrat"/>
                <w:b/>
                <w:i w:val="0"/>
                <w:color w:val="0B163C"/>
                <w:sz w:val="18"/>
              </w:rPr>
              <w:t>Name</w:t>
            </w:r>
          </w:p>
        </w:tc>
        <w:tc>
          <w:tcPr>
            <w:tcW w:type="dxa" w:w="5760"/>
          </w:tcPr>
          <w:p>
            <w:pPr>
              <w:spacing w:after="40" w:before="40"/>
            </w:pPr>
            <w:r>
              <w:rPr>
                <w:rFonts w:ascii="DM Sans" w:hAnsi="DM Sans" w:cs="DM Sans"/>
                <w:b w:val="0"/>
                <w:i w:val="0"/>
                <w:color w:val="0B163C"/>
                <w:sz w:val="19"/>
              </w:rPr>
              <w:t>Queenstown Harbor (a.k.a. Queenstown Harbor Golf Links / Golf Resort)</w:t>
            </w:r>
          </w:p>
        </w:tc>
      </w:tr>
      <w:tr>
        <w:tc>
          <w:tcPr>
            <w:tcW w:type="dxa" w:w="3600"/>
            <w:shd w:val="clear" w:color="auto" w:fill="F4F2ED"/>
          </w:tcPr>
          <w:p>
            <w:pPr>
              <w:spacing w:after="40" w:before="40"/>
            </w:pPr>
            <w:r>
              <w:rPr>
                <w:rFonts w:ascii="Montserrat" w:hAnsi="Montserrat" w:cs="Montserrat"/>
                <w:b/>
                <w:i w:val="0"/>
                <w:color w:val="0B163C"/>
                <w:sz w:val="18"/>
              </w:rPr>
              <w:t>Location</w:t>
            </w:r>
          </w:p>
        </w:tc>
        <w:tc>
          <w:tcPr>
            <w:tcW w:type="dxa" w:w="5760"/>
          </w:tcPr>
          <w:p>
            <w:pPr>
              <w:spacing w:after="40" w:before="40"/>
            </w:pPr>
            <w:r>
              <w:rPr>
                <w:rFonts w:ascii="DM Sans" w:hAnsi="DM Sans" w:cs="DM Sans"/>
                <w:b w:val="0"/>
                <w:i w:val="0"/>
                <w:color w:val="0B163C"/>
                <w:sz w:val="19"/>
              </w:rPr>
              <w:t>310 Links Lane, Queenstown, MD 21658 — Maryland’s Eastern Shore, where the Chester River meets the Chesapeake Bay</w:t>
            </w:r>
          </w:p>
        </w:tc>
      </w:tr>
      <w:tr>
        <w:tc>
          <w:tcPr>
            <w:tcW w:type="dxa" w:w="3600"/>
            <w:shd w:val="clear" w:color="auto" w:fill="F4F2ED"/>
          </w:tcPr>
          <w:p>
            <w:pPr>
              <w:spacing w:after="40" w:before="40"/>
            </w:pPr>
            <w:r>
              <w:rPr>
                <w:rFonts w:ascii="Montserrat" w:hAnsi="Montserrat" w:cs="Montserrat"/>
                <w:b/>
                <w:i w:val="0"/>
                <w:color w:val="0B163C"/>
                <w:sz w:val="18"/>
              </w:rPr>
              <w:t>Type</w:t>
            </w:r>
          </w:p>
        </w:tc>
        <w:tc>
          <w:tcPr>
            <w:tcW w:type="dxa" w:w="5760"/>
          </w:tcPr>
          <w:p>
            <w:pPr>
              <w:spacing w:after="40" w:before="40"/>
            </w:pPr>
            <w:r>
              <w:rPr>
                <w:rFonts w:ascii="DM Sans" w:hAnsi="DM Sans" w:cs="DM Sans"/>
                <w:b w:val="0"/>
                <w:i w:val="0"/>
                <w:color w:val="0B163C"/>
                <w:sz w:val="19"/>
              </w:rPr>
              <w:t>Public / daily-fee waterfront golf resort</w:t>
            </w:r>
          </w:p>
        </w:tc>
      </w:tr>
      <w:tr>
        <w:tc>
          <w:tcPr>
            <w:tcW w:type="dxa" w:w="3600"/>
            <w:shd w:val="clear" w:color="auto" w:fill="F4F2ED"/>
          </w:tcPr>
          <w:p>
            <w:pPr>
              <w:spacing w:after="40" w:before="40"/>
            </w:pPr>
            <w:r>
              <w:rPr>
                <w:rFonts w:ascii="Montserrat" w:hAnsi="Montserrat" w:cs="Montserrat"/>
                <w:b/>
                <w:i w:val="0"/>
                <w:color w:val="0B163C"/>
                <w:sz w:val="18"/>
              </w:rPr>
              <w:t>Golf</w:t>
            </w:r>
          </w:p>
        </w:tc>
        <w:tc>
          <w:tcPr>
            <w:tcW w:type="dxa" w:w="5760"/>
          </w:tcPr>
          <w:p>
            <w:pPr>
              <w:spacing w:after="40" w:before="40"/>
            </w:pPr>
            <w:r>
              <w:rPr>
                <w:rFonts w:ascii="DM Sans" w:hAnsi="DM Sans" w:cs="DM Sans"/>
                <w:b w:val="0"/>
                <w:i w:val="0"/>
                <w:color w:val="0B163C"/>
                <w:sz w:val="19"/>
              </w:rPr>
              <w:t>36 holes — The River (par 72, ~7,096 yds) and The Lakes (par 71, ~6,569 yds)</w:t>
            </w:r>
          </w:p>
        </w:tc>
      </w:tr>
      <w:tr>
        <w:tc>
          <w:tcPr>
            <w:tcW w:type="dxa" w:w="3600"/>
            <w:shd w:val="clear" w:color="auto" w:fill="F4F2ED"/>
          </w:tcPr>
          <w:p>
            <w:pPr>
              <w:spacing w:after="40" w:before="40"/>
            </w:pPr>
            <w:r>
              <w:rPr>
                <w:rFonts w:ascii="Montserrat" w:hAnsi="Montserrat" w:cs="Montserrat"/>
                <w:b/>
                <w:i w:val="0"/>
                <w:color w:val="0B163C"/>
                <w:sz w:val="18"/>
              </w:rPr>
              <w:t>Architect</w:t>
            </w:r>
          </w:p>
        </w:tc>
        <w:tc>
          <w:tcPr>
            <w:tcW w:type="dxa" w:w="5760"/>
          </w:tcPr>
          <w:p>
            <w:pPr>
              <w:spacing w:after="40" w:before="40"/>
            </w:pPr>
            <w:r>
              <w:rPr>
                <w:rFonts w:ascii="DM Sans" w:hAnsi="DM Sans" w:cs="DM Sans"/>
                <w:b w:val="0"/>
                <w:i w:val="0"/>
                <w:color w:val="0B163C"/>
                <w:sz w:val="19"/>
              </w:rPr>
              <w:t>Lindsay B. Ervin (LBE Golf Course Design)</w:t>
            </w:r>
          </w:p>
        </w:tc>
      </w:tr>
      <w:tr>
        <w:tc>
          <w:tcPr>
            <w:tcW w:type="dxa" w:w="3600"/>
            <w:shd w:val="clear" w:color="auto" w:fill="F4F2ED"/>
          </w:tcPr>
          <w:p>
            <w:pPr>
              <w:spacing w:after="40" w:before="40"/>
            </w:pPr>
            <w:r>
              <w:rPr>
                <w:rFonts w:ascii="Montserrat" w:hAnsi="Montserrat" w:cs="Montserrat"/>
                <w:b/>
                <w:i w:val="0"/>
                <w:color w:val="0B163C"/>
                <w:sz w:val="18"/>
              </w:rPr>
              <w:t>Opened</w:t>
            </w:r>
          </w:p>
        </w:tc>
        <w:tc>
          <w:tcPr>
            <w:tcW w:type="dxa" w:w="5760"/>
          </w:tcPr>
          <w:p>
            <w:pPr>
              <w:spacing w:after="40" w:before="40"/>
            </w:pPr>
            <w:r>
              <w:rPr>
                <w:rFonts w:ascii="DM Sans" w:hAnsi="DM Sans" w:cs="DM Sans"/>
                <w:b w:val="0"/>
                <w:i w:val="0"/>
                <w:color w:val="0B163C"/>
                <w:sz w:val="19"/>
              </w:rPr>
              <w:t>River Course 1991; built out to 36 holes by 1996</w:t>
            </w:r>
          </w:p>
        </w:tc>
      </w:tr>
      <w:tr>
        <w:tc>
          <w:tcPr>
            <w:tcW w:type="dxa" w:w="3600"/>
            <w:shd w:val="clear" w:color="auto" w:fill="F4F2ED"/>
          </w:tcPr>
          <w:p>
            <w:pPr>
              <w:spacing w:after="40" w:before="40"/>
            </w:pPr>
            <w:r>
              <w:rPr>
                <w:rFonts w:ascii="Montserrat" w:hAnsi="Montserrat" w:cs="Montserrat"/>
                <w:b/>
                <w:i w:val="0"/>
                <w:color w:val="0B163C"/>
                <w:sz w:val="18"/>
              </w:rPr>
              <w:t>Original developer</w:t>
            </w:r>
          </w:p>
        </w:tc>
        <w:tc>
          <w:tcPr>
            <w:tcW w:type="dxa" w:w="5760"/>
          </w:tcPr>
          <w:p>
            <w:pPr>
              <w:spacing w:after="40" w:before="40"/>
            </w:pPr>
            <w:r>
              <w:rPr>
                <w:rFonts w:ascii="DM Sans" w:hAnsi="DM Sans" w:cs="DM Sans"/>
                <w:b w:val="0"/>
                <w:i w:val="0"/>
                <w:color w:val="0B163C"/>
                <w:sz w:val="19"/>
              </w:rPr>
              <w:t>The Brick Companies (Edgewater, MD; founded 1892)</w:t>
            </w:r>
          </w:p>
        </w:tc>
      </w:tr>
      <w:tr>
        <w:tc>
          <w:tcPr>
            <w:tcW w:type="dxa" w:w="3600"/>
            <w:shd w:val="clear" w:color="auto" w:fill="F4F2ED"/>
          </w:tcPr>
          <w:p>
            <w:pPr>
              <w:spacing w:after="40" w:before="40"/>
            </w:pPr>
            <w:r>
              <w:rPr>
                <w:rFonts w:ascii="Montserrat" w:hAnsi="Montserrat" w:cs="Montserrat"/>
                <w:b/>
                <w:i w:val="0"/>
                <w:color w:val="0B163C"/>
                <w:sz w:val="18"/>
              </w:rPr>
              <w:t>Current owner (May 2026)</w:t>
            </w:r>
          </w:p>
        </w:tc>
        <w:tc>
          <w:tcPr>
            <w:tcW w:type="dxa" w:w="5760"/>
          </w:tcPr>
          <w:p>
            <w:pPr>
              <w:spacing w:after="40" w:before="40"/>
            </w:pPr>
            <w:r>
              <w:rPr>
                <w:rFonts w:ascii="DM Sans" w:hAnsi="DM Sans" w:cs="DM Sans"/>
                <w:b w:val="0"/>
                <w:i w:val="0"/>
                <w:color w:val="0B163C"/>
                <w:sz w:val="19"/>
              </w:rPr>
              <w:t>Accountable Equity, LLC via the Capital H6 fund; operated by VIVÂMEE Hospitality</w:t>
            </w:r>
          </w:p>
        </w:tc>
      </w:tr>
      <w:tr>
        <w:tc>
          <w:tcPr>
            <w:tcW w:type="dxa" w:w="3600"/>
            <w:shd w:val="clear" w:color="auto" w:fill="F4F2ED"/>
          </w:tcPr>
          <w:p>
            <w:pPr>
              <w:spacing w:after="40" w:before="40"/>
            </w:pPr>
            <w:r>
              <w:rPr>
                <w:rFonts w:ascii="Montserrat" w:hAnsi="Montserrat" w:cs="Montserrat"/>
                <w:b/>
                <w:i w:val="0"/>
                <w:color w:val="0B163C"/>
                <w:sz w:val="18"/>
              </w:rPr>
              <w:t>Acquisition price</w:t>
            </w:r>
          </w:p>
        </w:tc>
        <w:tc>
          <w:tcPr>
            <w:tcW w:type="dxa" w:w="5760"/>
          </w:tcPr>
          <w:p>
            <w:pPr>
              <w:spacing w:after="40" w:before="40"/>
            </w:pPr>
            <w:r>
              <w:rPr>
                <w:rFonts w:ascii="DM Sans" w:hAnsi="DM Sans" w:cs="DM Sans"/>
                <w:b w:val="0"/>
                <w:i w:val="0"/>
                <w:color w:val="0B163C"/>
                <w:sz w:val="19"/>
              </w:rPr>
              <w:t>~$25 million — combined with The Golf Club at South River</w:t>
            </w:r>
          </w:p>
        </w:tc>
      </w:tr>
      <w:tr>
        <w:tc>
          <w:tcPr>
            <w:tcW w:type="dxa" w:w="3600"/>
            <w:shd w:val="clear" w:color="auto" w:fill="F4F2ED"/>
          </w:tcPr>
          <w:p>
            <w:pPr>
              <w:spacing w:after="40" w:before="40"/>
            </w:pPr>
            <w:r>
              <w:rPr>
                <w:rFonts w:ascii="Montserrat" w:hAnsi="Montserrat" w:cs="Montserrat"/>
                <w:b/>
                <w:i w:val="0"/>
                <w:color w:val="0B163C"/>
                <w:sz w:val="18"/>
              </w:rPr>
              <w:t>Land</w:t>
            </w:r>
          </w:p>
        </w:tc>
        <w:tc>
          <w:tcPr>
            <w:tcW w:type="dxa" w:w="5760"/>
          </w:tcPr>
          <w:p>
            <w:pPr>
              <w:spacing w:after="40" w:before="40"/>
            </w:pPr>
            <w:r>
              <w:rPr>
                <w:rFonts w:ascii="DM Sans" w:hAnsi="DM Sans" w:cs="DM Sans"/>
                <w:b w:val="0"/>
                <w:i w:val="0"/>
                <w:color w:val="0B163C"/>
                <w:sz w:val="19"/>
              </w:rPr>
              <w:t>~870+ acres across the two acquired properties, incl. ~198 acres under permanent conservation</w:t>
            </w:r>
          </w:p>
        </w:tc>
      </w:tr>
      <w:tr>
        <w:tc>
          <w:tcPr>
            <w:tcW w:type="dxa" w:w="3600"/>
            <w:shd w:val="clear" w:color="auto" w:fill="F4F2ED"/>
          </w:tcPr>
          <w:p>
            <w:pPr>
              <w:spacing w:after="40" w:before="40"/>
            </w:pPr>
            <w:r>
              <w:rPr>
                <w:rFonts w:ascii="Montserrat" w:hAnsi="Montserrat" w:cs="Montserrat"/>
                <w:b/>
                <w:i w:val="0"/>
                <w:color w:val="0B163C"/>
                <w:sz w:val="18"/>
              </w:rPr>
              <w:t>Amenities</w:t>
            </w:r>
          </w:p>
        </w:tc>
        <w:tc>
          <w:tcPr>
            <w:tcW w:type="dxa" w:w="5760"/>
          </w:tcPr>
          <w:p>
            <w:pPr>
              <w:spacing w:after="40" w:before="40"/>
            </w:pPr>
            <w:r>
              <w:rPr>
                <w:rFonts w:ascii="DM Sans" w:hAnsi="DM Sans" w:cs="DM Sans"/>
                <w:b w:val="0"/>
                <w:i w:val="0"/>
                <w:color w:val="0B163C"/>
                <w:sz w:val="19"/>
              </w:rPr>
              <w:t>River House &amp; Tavern event venue, on-site cottages/bungalows, Toptracer driving range, short-game areas</w:t>
            </w:r>
          </w:p>
        </w:tc>
      </w:tr>
    </w:tbl>
    <w:p>
      <w:pPr>
        <w:spacing w:before="280" w:after="40" w:line="269" w:lineRule="auto"/>
      </w:pPr>
      <w:r>
        <w:rPr>
          <w:rFonts w:ascii="Montserrat" w:hAnsi="Montserrat" w:cs="Montserrat"/>
          <w:b/>
          <w:i w:val="0"/>
          <w:color w:val="3A243A"/>
          <w:sz w:val="17"/>
          <w:spacing w:val="40"/>
        </w:rPr>
        <w:t>THE ASSET</w:t>
      </w:r>
    </w:p>
    <w:p>
      <w:pPr>
        <w:spacing w:before="40" w:after="80" w:line="252" w:lineRule="auto"/>
        <w:pBdr>
          <w:bottom w:val="single" w:sz="6" w:space="6" w:color="C4B8C4"/>
        </w:pBdr>
      </w:pPr>
      <w:r>
        <w:rPr>
          <w:rFonts w:ascii="Montserrat" w:hAnsi="Montserrat" w:cs="Montserrat"/>
          <w:b/>
          <w:i w:val="0"/>
          <w:color w:val="0B163C"/>
          <w:sz w:val="30"/>
        </w:rPr>
        <w:t>2.  The property today</w:t>
      </w:r>
    </w:p>
    <w:p>
      <w:pPr>
        <w:spacing w:before="0" w:after="140" w:line="276" w:lineRule="auto"/>
      </w:pPr>
      <w:r>
        <w:rPr>
          <w:rFonts w:ascii="DM Sans" w:hAnsi="DM Sans" w:cs="DM Sans"/>
          <w:b w:val="0"/>
          <w:i w:val="0"/>
          <w:color w:val="0B163C"/>
          <w:sz w:val="20"/>
        </w:rPr>
        <w:t xml:space="preserve">Queenstown Harbor markets itself as a waterfront golf </w:t>
      </w:r>
      <w:r>
        <w:rPr>
          <w:rFonts w:ascii="DM Sans" w:hAnsi="DM Sans" w:cs="DM Sans"/>
          <w:b w:val="0"/>
          <w:i/>
          <w:color w:val="0B163C"/>
          <w:sz w:val="20"/>
        </w:rPr>
        <w:t>resort</w:t>
      </w:r>
      <w:r>
        <w:rPr>
          <w:rFonts w:ascii="DM Sans" w:hAnsi="DM Sans" w:cs="DM Sans"/>
          <w:b w:val="0"/>
          <w:i w:val="0"/>
          <w:color w:val="0B163C"/>
          <w:sz w:val="20"/>
        </w:rPr>
        <w:t xml:space="preserve"> roughly an hour from Washington, D.C. and Baltimore, and minutes over the Bay Bridge from Annapolis. It pairs two championship courses with lodging and an events business.</w:t>
      </w:r>
    </w:p>
    <w:p>
      <w:pPr>
        <w:spacing w:before="0" w:after="140" w:line="276" w:lineRule="auto"/>
      </w:pPr>
      <w:r>
        <w:rPr>
          <w:rFonts w:ascii="DM Sans" w:hAnsi="DM Sans" w:cs="DM Sans"/>
          <w:b/>
          <w:i w:val="0"/>
          <w:color w:val="0B163C"/>
          <w:sz w:val="20"/>
        </w:rPr>
        <w:t>The River Course</w:t>
      </w:r>
      <w:r>
        <w:rPr>
          <w:rFonts w:ascii="DM Sans" w:hAnsi="DM Sans" w:cs="DM Sans"/>
          <w:b w:val="0"/>
          <w:i w:val="0"/>
          <w:color w:val="0B163C"/>
          <w:sz w:val="20"/>
        </w:rPr>
        <w:t xml:space="preserve"> — the original layout — runs along the mouth of the Chester River, with water in play on 14 of 18 holes and panoramic Bay/river views on more than half the course. It plays to par 72 at roughly 7,096 yards (course rating ~74.2), the sterner of the two tests.</w:t>
      </w:r>
    </w:p>
    <w:p>
      <w:pPr>
        <w:spacing w:before="0" w:after="140" w:line="276" w:lineRule="auto"/>
      </w:pPr>
      <w:r>
        <w:rPr>
          <w:rFonts w:ascii="DM Sans" w:hAnsi="DM Sans" w:cs="DM Sans"/>
          <w:b/>
          <w:i w:val="0"/>
          <w:color w:val="0B163C"/>
          <w:sz w:val="20"/>
        </w:rPr>
        <w:t>The Lakes Course</w:t>
      </w:r>
      <w:r>
        <w:rPr>
          <w:rFonts w:ascii="DM Sans" w:hAnsi="DM Sans" w:cs="DM Sans"/>
          <w:b w:val="0"/>
          <w:i w:val="0"/>
          <w:color w:val="0B163C"/>
          <w:sz w:val="20"/>
        </w:rPr>
        <w:t xml:space="preserve"> is the more forgiving, broadly playable layout (par 71, ~6,569 yards). It has repeatedly been named one of Golf Digest’s Top 50 Public Courses for Women. In 2024 it underwent a major bunker renovation — 42 traditional bunkers removed and replaced with 20 grass-faced, flat-bottom bunkers.</w:t>
      </w:r>
    </w:p>
    <w:p>
      <w:pPr>
        <w:spacing w:before="0" w:after="140" w:line="276" w:lineRule="auto"/>
      </w:pPr>
      <w:r>
        <w:rPr>
          <w:rFonts w:ascii="DM Sans" w:hAnsi="DM Sans" w:cs="DM Sans"/>
          <w:b/>
          <w:i w:val="0"/>
          <w:color w:val="0B163C"/>
          <w:sz w:val="20"/>
        </w:rPr>
        <w:t>Beyond golf:</w:t>
      </w:r>
      <w:r>
        <w:rPr>
          <w:rFonts w:ascii="DM Sans" w:hAnsi="DM Sans" w:cs="DM Sans"/>
          <w:b w:val="0"/>
          <w:i w:val="0"/>
          <w:color w:val="0B163C"/>
          <w:sz w:val="20"/>
        </w:rPr>
        <w:t xml:space="preserve"> a public Toptracer driving range, two putting greens, a chipping green and a practice bunker; the River House &amp; Tavern event venue (indoor space plus an outdoor patio/lawn over the Chester River); and on-site cottages and bungalows for overnight stays.</w:t>
      </w:r>
    </w:p>
    <w:p>
      <w:pPr>
        <w:spacing w:before="280" w:after="40" w:line="269" w:lineRule="auto"/>
      </w:pPr>
      <w:r>
        <w:rPr>
          <w:rFonts w:ascii="Montserrat" w:hAnsi="Montserrat" w:cs="Montserrat"/>
          <w:b/>
          <w:i w:val="0"/>
          <w:color w:val="3A243A"/>
          <w:sz w:val="17"/>
          <w:spacing w:val="40"/>
        </w:rPr>
        <w:t>PROVENANCE</w:t>
      </w:r>
    </w:p>
    <w:p>
      <w:pPr>
        <w:spacing w:before="40" w:after="80" w:line="252" w:lineRule="auto"/>
        <w:pBdr>
          <w:bottom w:val="single" w:sz="6" w:space="6" w:color="C4B8C4"/>
        </w:pBdr>
      </w:pPr>
      <w:r>
        <w:rPr>
          <w:rFonts w:ascii="Montserrat" w:hAnsi="Montserrat" w:cs="Montserrat"/>
          <w:b/>
          <w:i w:val="0"/>
          <w:color w:val="0B163C"/>
          <w:sz w:val="30"/>
        </w:rPr>
        <w:t>3.  How it came about</w:t>
      </w:r>
    </w:p>
    <w:p>
      <w:pPr>
        <w:spacing w:before="200" w:after="60" w:line="269" w:lineRule="auto"/>
      </w:pPr>
      <w:r>
        <w:rPr>
          <w:rFonts w:ascii="Montserrat" w:hAnsi="Montserrat" w:cs="Montserrat"/>
          <w:b/>
          <w:i w:val="0"/>
          <w:color w:val="3A243A"/>
          <w:sz w:val="23"/>
        </w:rPr>
        <w:t>The land: from a colonial “thumb grant” to a dairy farm</w:t>
      </w:r>
    </w:p>
    <w:p>
      <w:pPr>
        <w:spacing w:before="0" w:after="140" w:line="276" w:lineRule="auto"/>
      </w:pPr>
      <w:r>
        <w:rPr>
          <w:rFonts w:ascii="DM Sans" w:hAnsi="DM Sans" w:cs="DM Sans"/>
          <w:b w:val="0"/>
          <w:i w:val="0"/>
          <w:color w:val="0B163C"/>
          <w:sz w:val="20"/>
        </w:rPr>
        <w:t xml:space="preserve">The site carries a deep colonial history the club itself foregrounds. By its own account, the land was first granted in the 1600s to </w:t>
      </w:r>
      <w:r>
        <w:rPr>
          <w:rFonts w:ascii="DM Sans" w:hAnsi="DM Sans" w:cs="DM Sans"/>
          <w:b/>
          <w:i w:val="0"/>
          <w:color w:val="0B163C"/>
          <w:sz w:val="20"/>
        </w:rPr>
        <w:t>Henry deCoursey</w:t>
      </w:r>
      <w:r>
        <w:rPr>
          <w:rFonts w:ascii="DM Sans" w:hAnsi="DM Sans" w:cs="DM Sans"/>
          <w:b w:val="0"/>
          <w:i w:val="0"/>
          <w:color w:val="0B163C"/>
          <w:sz w:val="20"/>
        </w:rPr>
        <w:t xml:space="preserve">, a surveyor, by </w:t>
      </w:r>
      <w:r>
        <w:rPr>
          <w:rFonts w:ascii="DM Sans" w:hAnsi="DM Sans" w:cs="DM Sans"/>
          <w:b/>
          <w:i w:val="0"/>
          <w:color w:val="0B163C"/>
          <w:sz w:val="20"/>
        </w:rPr>
        <w:t>Cecil Calvert, the second Lord Baltimore</w:t>
      </w:r>
      <w:r>
        <w:rPr>
          <w:rFonts w:ascii="DM Sans" w:hAnsi="DM Sans" w:cs="DM Sans"/>
          <w:b w:val="0"/>
          <w:i w:val="0"/>
          <w:color w:val="0B163C"/>
          <w:sz w:val="20"/>
        </w:rPr>
        <w:t>. As the story goes, deCoursey pressed his thumb onto a map and was given all the land beneath the thumbprint — known locally for centuries as the “thumb grant” (also recorded as “My Lord’s Gift”).</w:t>
      </w:r>
    </w:p>
    <w:p>
      <w:pPr>
        <w:spacing w:before="0" w:after="140" w:line="276" w:lineRule="auto"/>
      </w:pPr>
      <w:r>
        <w:rPr>
          <w:rFonts w:ascii="DM Sans" w:hAnsi="DM Sans" w:cs="DM Sans"/>
          <w:b w:val="0"/>
          <w:i/>
          <w:color w:val="6B5A6B"/>
          <w:sz w:val="20"/>
        </w:rPr>
        <w:t xml:space="preserve">Treat the thumb-grant story as the property’s own narrative / local lore. </w:t>
      </w:r>
      <w:r>
        <w:rPr>
          <w:rFonts w:ascii="DM Sans" w:hAnsi="DM Sans" w:cs="DM Sans"/>
          <w:b w:val="0"/>
          <w:i/>
          <w:color w:val="6B5A6B"/>
          <w:sz w:val="20"/>
        </w:rPr>
        <w:t>The broader fact — that all early Maryland land flowed from grants issued by the Calvert proprietors — is well documented; the colorful thumbprint detail is the club’s telling.</w:t>
      </w:r>
    </w:p>
    <w:p>
      <w:pPr>
        <w:spacing w:before="0" w:after="140" w:line="276" w:lineRule="auto"/>
      </w:pPr>
      <w:r>
        <w:rPr>
          <w:rFonts w:ascii="DM Sans" w:hAnsi="DM Sans" w:cs="DM Sans"/>
          <w:b w:val="0"/>
          <w:i w:val="0"/>
          <w:color w:val="0B163C"/>
          <w:sz w:val="20"/>
        </w:rPr>
        <w:t xml:space="preserve">By the time </w:t>
      </w:r>
      <w:r>
        <w:rPr>
          <w:rFonts w:ascii="DM Sans" w:hAnsi="DM Sans" w:cs="DM Sans"/>
          <w:b/>
          <w:i w:val="0"/>
          <w:color w:val="0B163C"/>
          <w:sz w:val="20"/>
        </w:rPr>
        <w:t>The Brick Companies</w:t>
      </w:r>
      <w:r>
        <w:rPr>
          <w:rFonts w:ascii="DM Sans" w:hAnsi="DM Sans" w:cs="DM Sans"/>
          <w:b w:val="0"/>
          <w:i w:val="0"/>
          <w:color w:val="0B163C"/>
          <w:sz w:val="20"/>
        </w:rPr>
        <w:t xml:space="preserve"> found the property in the 1970s, it was a working dairy farm and crop fields. Company executives decided to build a golf course there specifically to open the land’s beauty and wildlife to the public.</w:t>
      </w:r>
    </w:p>
    <w:p>
      <w:pPr>
        <w:spacing w:before="0" w:after="140" w:line="276" w:lineRule="auto"/>
      </w:pPr>
      <w:r>
        <w:rPr>
          <w:rFonts w:ascii="DM Sans" w:hAnsi="DM Sans" w:cs="DM Sans"/>
          <w:b w:val="0"/>
          <w:i w:val="0"/>
          <w:color w:val="0B163C"/>
          <w:sz w:val="20"/>
        </w:rPr>
        <w:t xml:space="preserve">During construction, a large </w:t>
      </w:r>
      <w:r>
        <w:rPr>
          <w:rFonts w:ascii="DM Sans" w:hAnsi="DM Sans" w:cs="DM Sans"/>
          <w:b/>
          <w:i w:val="0"/>
          <w:color w:val="0B163C"/>
          <w:sz w:val="20"/>
        </w:rPr>
        <w:t>archaeological dig</w:t>
      </w:r>
      <w:r>
        <w:rPr>
          <w:rFonts w:ascii="DM Sans" w:hAnsi="DM Sans" w:cs="DM Sans"/>
          <w:b w:val="0"/>
          <w:i w:val="0"/>
          <w:color w:val="0B163C"/>
          <w:sz w:val="20"/>
        </w:rPr>
        <w:t xml:space="preserve"> under the original deCoursey home site recovered and preserved millions of artifacts — many now displayed at The Brick Companies’ headquarters in Edgewater, MD, and many donated to the Maryland Historical Trust.</w:t>
      </w:r>
    </w:p>
    <w:p>
      <w:pPr>
        <w:spacing w:before="200" w:after="60" w:line="269" w:lineRule="auto"/>
      </w:pPr>
      <w:r>
        <w:rPr>
          <w:rFonts w:ascii="Montserrat" w:hAnsi="Montserrat" w:cs="Montserrat"/>
          <w:b/>
          <w:i w:val="0"/>
          <w:color w:val="3A243A"/>
          <w:sz w:val="23"/>
        </w:rPr>
        <w:t>Design and buildout timeline</w:t>
      </w:r>
    </w:p>
    <w:tbl>
      <w:tblPr>
        <w:tblW w:type="auto" w:w="0"/>
        <w:jc w:val="left"/>
        <w:tblLook w:firstColumn="1" w:firstRow="1" w:lastColumn="0" w:lastRow="0" w:noHBand="0" w:noVBand="1" w:val="04A0"/>
        <w:tblBorders>
          <w:top w:val="single" w:sz="4" w:space="0" w:color="E6E1DB"/>
          <w:left w:val="single" w:sz="4" w:space="0" w:color="E6E1DB"/>
          <w:bottom w:val="single" w:sz="4" w:space="0" w:color="E6E1DB"/>
          <w:right w:val="single" w:sz="4" w:space="0" w:color="E6E1DB"/>
          <w:insideH w:val="single" w:sz="4" w:space="0" w:color="E6E1DB"/>
          <w:insideV w:val="single" w:sz="4" w:space="0" w:color="E6E1DB"/>
        </w:tblBorders>
      </w:tblPr>
      <w:tblGrid>
        <w:gridCol w:w="3216"/>
        <w:gridCol w:w="3216"/>
        <w:gridCol w:w="3216"/>
      </w:tblGrid>
      <w:tr>
        <w:tc>
          <w:tcPr>
            <w:tcW w:type="dxa" w:w="1440"/>
            <w:shd w:val="clear" w:color="auto" w:fill="0B163C"/>
          </w:tcPr>
          <w:p>
            <w:pPr>
              <w:spacing w:after="40" w:before="40"/>
            </w:pPr>
            <w:r>
              <w:rPr>
                <w:rFonts w:ascii="Montserrat" w:hAnsi="Montserrat" w:cs="Montserrat"/>
                <w:b/>
                <w:i w:val="0"/>
                <w:color w:val="FFFFFF"/>
                <w:sz w:val="18"/>
              </w:rPr>
              <w:t>Era</w:t>
            </w:r>
          </w:p>
        </w:tc>
        <w:tc>
          <w:tcPr>
            <w:tcW w:type="dxa" w:w="2448"/>
            <w:shd w:val="clear" w:color="auto" w:fill="0B163C"/>
          </w:tcPr>
          <w:p>
            <w:pPr>
              <w:spacing w:after="40" w:before="40"/>
            </w:pPr>
            <w:r>
              <w:rPr>
                <w:rFonts w:ascii="Montserrat" w:hAnsi="Montserrat" w:cs="Montserrat"/>
                <w:b/>
                <w:i w:val="0"/>
                <w:color w:val="FFFFFF"/>
                <w:sz w:val="18"/>
              </w:rPr>
              <w:t>Milestone</w:t>
            </w:r>
          </w:p>
        </w:tc>
        <w:tc>
          <w:tcPr>
            <w:tcW w:type="dxa" w:w="5472"/>
            <w:shd w:val="clear" w:color="auto" w:fill="0B163C"/>
          </w:tcPr>
          <w:p>
            <w:pPr>
              <w:spacing w:after="40" w:before="40"/>
            </w:pPr>
            <w:r>
              <w:rPr>
                <w:rFonts w:ascii="Montserrat" w:hAnsi="Montserrat" w:cs="Montserrat"/>
                <w:b/>
                <w:i w:val="0"/>
                <w:color w:val="FFFFFF"/>
                <w:sz w:val="18"/>
              </w:rPr>
              <w:t>What happened</w:t>
            </w:r>
          </w:p>
        </w:tc>
      </w:tr>
      <w:tr>
        <w:tc>
          <w:tcPr>
            <w:tcW w:type="dxa" w:w="1440"/>
          </w:tcPr>
          <w:p>
            <w:pPr>
              <w:spacing w:after="40" w:before="40"/>
            </w:pPr>
            <w:r>
              <w:rPr>
                <w:rFonts w:ascii="Montserrat" w:hAnsi="Montserrat" w:cs="Montserrat"/>
                <w:b/>
                <w:i w:val="0"/>
                <w:color w:val="3A243A"/>
                <w:sz w:val="19"/>
              </w:rPr>
              <w:t>1600s</w:t>
            </w:r>
          </w:p>
        </w:tc>
        <w:tc>
          <w:tcPr>
            <w:tcW w:type="dxa" w:w="2448"/>
          </w:tcPr>
          <w:p>
            <w:pPr>
              <w:spacing w:after="40" w:before="40"/>
            </w:pPr>
            <w:r>
              <w:rPr>
                <w:rFonts w:ascii="Montserrat" w:hAnsi="Montserrat" w:cs="Montserrat"/>
                <w:b/>
                <w:i w:val="0"/>
                <w:color w:val="0B163C"/>
                <w:sz w:val="18"/>
              </w:rPr>
              <w:t>“My Lord’s Gift”</w:t>
            </w:r>
          </w:p>
        </w:tc>
        <w:tc>
          <w:tcPr>
            <w:tcW w:type="dxa" w:w="5472"/>
          </w:tcPr>
          <w:p>
            <w:pPr>
              <w:spacing w:after="40" w:before="40"/>
            </w:pPr>
            <w:r>
              <w:rPr>
                <w:rFonts w:ascii="DM Sans" w:hAnsi="DM Sans" w:cs="DM Sans"/>
                <w:b w:val="0"/>
                <w:i w:val="0"/>
                <w:color w:val="6B5A6B"/>
                <w:sz w:val="18"/>
              </w:rPr>
              <w:t>Surveyor Henry deCoursey is granted the tract by Cecil Calvert, 2nd Lord Baltimore — the “thumb grant” (club lore).</w:t>
            </w:r>
          </w:p>
        </w:tc>
      </w:tr>
      <w:tr>
        <w:tc>
          <w:tcPr>
            <w:tcW w:type="dxa" w:w="1440"/>
          </w:tcPr>
          <w:p>
            <w:pPr>
              <w:spacing w:after="40" w:before="40"/>
            </w:pPr>
            <w:r>
              <w:rPr>
                <w:rFonts w:ascii="Montserrat" w:hAnsi="Montserrat" w:cs="Montserrat"/>
                <w:b/>
                <w:i w:val="0"/>
                <w:color w:val="3A243A"/>
                <w:sz w:val="19"/>
              </w:rPr>
              <w:t>1970s</w:t>
            </w:r>
          </w:p>
        </w:tc>
        <w:tc>
          <w:tcPr>
            <w:tcW w:type="dxa" w:w="2448"/>
          </w:tcPr>
          <w:p>
            <w:pPr>
              <w:spacing w:after="40" w:before="40"/>
            </w:pPr>
            <w:r>
              <w:rPr>
                <w:rFonts w:ascii="Montserrat" w:hAnsi="Montserrat" w:cs="Montserrat"/>
                <w:b/>
                <w:i w:val="0"/>
                <w:color w:val="0B163C"/>
                <w:sz w:val="18"/>
              </w:rPr>
              <w:t>Dairy farm acquired</w:t>
            </w:r>
          </w:p>
        </w:tc>
        <w:tc>
          <w:tcPr>
            <w:tcW w:type="dxa" w:w="5472"/>
          </w:tcPr>
          <w:p>
            <w:pPr>
              <w:spacing w:after="40" w:before="40"/>
            </w:pPr>
            <w:r>
              <w:rPr>
                <w:rFonts w:ascii="DM Sans" w:hAnsi="DM Sans" w:cs="DM Sans"/>
                <w:b w:val="0"/>
                <w:i w:val="0"/>
                <w:color w:val="6B5A6B"/>
                <w:sz w:val="18"/>
              </w:rPr>
              <w:t>The Brick Companies (a private Maryland firm founded 1892) buys the working farm to open its land to the public as golf.</w:t>
            </w:r>
          </w:p>
        </w:tc>
      </w:tr>
      <w:tr>
        <w:tc>
          <w:tcPr>
            <w:tcW w:type="dxa" w:w="1440"/>
          </w:tcPr>
          <w:p>
            <w:pPr>
              <w:spacing w:after="40" w:before="40"/>
            </w:pPr>
            <w:r>
              <w:rPr>
                <w:rFonts w:ascii="Montserrat" w:hAnsi="Montserrat" w:cs="Montserrat"/>
                <w:b/>
                <w:i w:val="0"/>
                <w:color w:val="3A243A"/>
                <w:sz w:val="19"/>
              </w:rPr>
              <w:t>1991</w:t>
            </w:r>
          </w:p>
        </w:tc>
        <w:tc>
          <w:tcPr>
            <w:tcW w:type="dxa" w:w="2448"/>
          </w:tcPr>
          <w:p>
            <w:pPr>
              <w:spacing w:after="40" w:before="40"/>
            </w:pPr>
            <w:r>
              <w:rPr>
                <w:rFonts w:ascii="Montserrat" w:hAnsi="Montserrat" w:cs="Montserrat"/>
                <w:b/>
                <w:i w:val="0"/>
                <w:color w:val="0B163C"/>
                <w:sz w:val="18"/>
              </w:rPr>
              <w:t>River Course opens</w:t>
            </w:r>
          </w:p>
        </w:tc>
        <w:tc>
          <w:tcPr>
            <w:tcW w:type="dxa" w:w="5472"/>
          </w:tcPr>
          <w:p>
            <w:pPr>
              <w:spacing w:after="40" w:before="40"/>
            </w:pPr>
            <w:r>
              <w:rPr>
                <w:rFonts w:ascii="DM Sans" w:hAnsi="DM Sans" w:cs="DM Sans"/>
                <w:b w:val="0"/>
                <w:i w:val="0"/>
                <w:color w:val="6B5A6B"/>
                <w:sz w:val="18"/>
              </w:rPr>
              <w:t>Lindsay Ervin’s design debuts on the Chester River; a construction-era archaeological dig preserves millions of artifacts.</w:t>
            </w:r>
          </w:p>
        </w:tc>
      </w:tr>
      <w:tr>
        <w:tc>
          <w:tcPr>
            <w:tcW w:type="dxa" w:w="1440"/>
          </w:tcPr>
          <w:p>
            <w:pPr>
              <w:spacing w:after="40" w:before="40"/>
            </w:pPr>
            <w:r>
              <w:rPr>
                <w:rFonts w:ascii="Montserrat" w:hAnsi="Montserrat" w:cs="Montserrat"/>
                <w:b/>
                <w:i w:val="0"/>
                <w:color w:val="3A243A"/>
                <w:sz w:val="19"/>
              </w:rPr>
              <w:t>mid-1990s</w:t>
            </w:r>
          </w:p>
        </w:tc>
        <w:tc>
          <w:tcPr>
            <w:tcW w:type="dxa" w:w="2448"/>
          </w:tcPr>
          <w:p>
            <w:pPr>
              <w:spacing w:after="40" w:before="40"/>
            </w:pPr>
            <w:r>
              <w:rPr>
                <w:rFonts w:ascii="Montserrat" w:hAnsi="Montserrat" w:cs="Montserrat"/>
                <w:b/>
                <w:i w:val="0"/>
                <w:color w:val="0B163C"/>
                <w:sz w:val="18"/>
              </w:rPr>
              <w:t>Expands to 27 holes</w:t>
            </w:r>
          </w:p>
        </w:tc>
        <w:tc>
          <w:tcPr>
            <w:tcW w:type="dxa" w:w="5472"/>
          </w:tcPr>
          <w:p>
            <w:pPr>
              <w:spacing w:after="40" w:before="40"/>
            </w:pPr>
            <w:r>
              <w:rPr>
                <w:rFonts w:ascii="DM Sans" w:hAnsi="DM Sans" w:cs="DM Sans"/>
                <w:b w:val="0"/>
                <w:i w:val="0"/>
                <w:color w:val="6B5A6B"/>
                <w:sz w:val="18"/>
              </w:rPr>
              <w:t>A third nine is added as the destination grows.</w:t>
            </w:r>
          </w:p>
        </w:tc>
      </w:tr>
      <w:tr>
        <w:tc>
          <w:tcPr>
            <w:tcW w:type="dxa" w:w="1440"/>
          </w:tcPr>
          <w:p>
            <w:pPr>
              <w:spacing w:after="40" w:before="40"/>
            </w:pPr>
            <w:r>
              <w:rPr>
                <w:rFonts w:ascii="Montserrat" w:hAnsi="Montserrat" w:cs="Montserrat"/>
                <w:b/>
                <w:i w:val="0"/>
                <w:color w:val="3A243A"/>
                <w:sz w:val="19"/>
              </w:rPr>
              <w:t>1996</w:t>
            </w:r>
          </w:p>
        </w:tc>
        <w:tc>
          <w:tcPr>
            <w:tcW w:type="dxa" w:w="2448"/>
          </w:tcPr>
          <w:p>
            <w:pPr>
              <w:spacing w:after="40" w:before="40"/>
            </w:pPr>
            <w:r>
              <w:rPr>
                <w:rFonts w:ascii="Montserrat" w:hAnsi="Montserrat" w:cs="Montserrat"/>
                <w:b/>
                <w:i w:val="0"/>
                <w:color w:val="0B163C"/>
                <w:sz w:val="18"/>
              </w:rPr>
              <w:t>36 holes complete</w:t>
            </w:r>
          </w:p>
        </w:tc>
        <w:tc>
          <w:tcPr>
            <w:tcW w:type="dxa" w:w="5472"/>
          </w:tcPr>
          <w:p>
            <w:pPr>
              <w:spacing w:after="40" w:before="40"/>
            </w:pPr>
            <w:r>
              <w:rPr>
                <w:rFonts w:ascii="DM Sans" w:hAnsi="DM Sans" w:cs="DM Sans"/>
                <w:b w:val="0"/>
                <w:i w:val="0"/>
                <w:color w:val="6B5A6B"/>
                <w:sz w:val="18"/>
              </w:rPr>
              <w:t>A fourth nine completes the build; the 3rd and 4th nines combine into the Lakes Course — today’s 36 holes.</w:t>
            </w:r>
          </w:p>
        </w:tc>
      </w:tr>
      <w:tr>
        <w:tc>
          <w:tcPr>
            <w:tcW w:type="dxa" w:w="1440"/>
          </w:tcPr>
          <w:p>
            <w:pPr>
              <w:spacing w:after="40" w:before="40"/>
            </w:pPr>
            <w:r>
              <w:rPr>
                <w:rFonts w:ascii="Montserrat" w:hAnsi="Montserrat" w:cs="Montserrat"/>
                <w:b/>
                <w:i w:val="0"/>
                <w:color w:val="3A243A"/>
                <w:sz w:val="19"/>
              </w:rPr>
              <w:t>May 2026</w:t>
            </w:r>
          </w:p>
        </w:tc>
        <w:tc>
          <w:tcPr>
            <w:tcW w:type="dxa" w:w="2448"/>
          </w:tcPr>
          <w:p>
            <w:pPr>
              <w:spacing w:after="40" w:before="40"/>
            </w:pPr>
            <w:r>
              <w:rPr>
                <w:rFonts w:ascii="Montserrat" w:hAnsi="Montserrat" w:cs="Montserrat"/>
                <w:b/>
                <w:i w:val="0"/>
                <w:color w:val="0B163C"/>
                <w:sz w:val="18"/>
              </w:rPr>
              <w:t>Capital H6 acquires</w:t>
            </w:r>
          </w:p>
        </w:tc>
        <w:tc>
          <w:tcPr>
            <w:tcW w:type="dxa" w:w="5472"/>
          </w:tcPr>
          <w:p>
            <w:pPr>
              <w:spacing w:after="40" w:before="40"/>
            </w:pPr>
            <w:r>
              <w:rPr>
                <w:rFonts w:ascii="DM Sans" w:hAnsi="DM Sans" w:cs="DM Sans"/>
                <w:b w:val="0"/>
                <w:i w:val="0"/>
                <w:color w:val="6B5A6B"/>
                <w:sz w:val="18"/>
              </w:rPr>
              <w:t>Accountable Equity / VIVÂMEE buy Queenstown Harbor (with South River) for ~$25M from The Brick Companies.</w:t>
            </w:r>
          </w:p>
        </w:tc>
      </w:tr>
    </w:tbl>
    <w:p>
      <w:pPr>
        <w:spacing w:before="80" w:after="140" w:line="276" w:lineRule="auto"/>
      </w:pPr>
      <w:r>
        <w:rPr>
          <w:rFonts w:ascii="DM Sans" w:hAnsi="DM Sans" w:cs="DM Sans"/>
          <w:b/>
          <w:i w:val="0"/>
          <w:color w:val="3A243A"/>
          <w:sz w:val="20"/>
        </w:rPr>
        <w:t xml:space="preserve">Date discrepancy flagged: </w:t>
      </w:r>
      <w:r>
        <w:rPr>
          <w:rFonts w:ascii="DM Sans" w:hAnsi="DM Sans" w:cs="DM Sans"/>
          <w:b w:val="0"/>
          <w:i w:val="0"/>
          <w:color w:val="6B5A6B"/>
          <w:sz w:val="19"/>
        </w:rPr>
        <w:t>golf-course databases put the River Course opening at 1991; the current owner’s investor materials instead say the resort has been “operating since 1994.” The 1991 date is the more consistently cited across independent golf sources; 1994 may reflect when the multi-course destination was fully established.</w:t>
      </w:r>
    </w:p>
    <w:p>
      <w:pPr>
        <w:spacing w:before="280" w:after="40" w:line="269" w:lineRule="auto"/>
      </w:pPr>
      <w:r>
        <w:rPr>
          <w:rFonts w:ascii="Montserrat" w:hAnsi="Montserrat" w:cs="Montserrat"/>
          <w:b/>
          <w:i w:val="0"/>
          <w:color w:val="3A243A"/>
          <w:sz w:val="17"/>
          <w:spacing w:val="40"/>
        </w:rPr>
        <w:t>THE DEVELOPER</w:t>
      </w:r>
    </w:p>
    <w:p>
      <w:pPr>
        <w:spacing w:before="40" w:after="80" w:line="252" w:lineRule="auto"/>
        <w:pBdr>
          <w:bottom w:val="single" w:sz="6" w:space="6" w:color="C4B8C4"/>
        </w:pBdr>
      </w:pPr>
      <w:r>
        <w:rPr>
          <w:rFonts w:ascii="Montserrat" w:hAnsi="Montserrat" w:cs="Montserrat"/>
          <w:b/>
          <w:i w:val="0"/>
          <w:color w:val="0B163C"/>
          <w:sz w:val="30"/>
        </w:rPr>
        <w:t>4.  The developer: The Brick Companies</w:t>
      </w:r>
    </w:p>
    <w:p>
      <w:pPr>
        <w:spacing w:before="0" w:after="140" w:line="276" w:lineRule="auto"/>
      </w:pPr>
      <w:r>
        <w:rPr>
          <w:rFonts w:ascii="DM Sans" w:hAnsi="DM Sans" w:cs="DM Sans"/>
          <w:b w:val="0"/>
          <w:i w:val="0"/>
          <w:color w:val="0B163C"/>
          <w:sz w:val="20"/>
        </w:rPr>
        <w:t xml:space="preserve">Queenstown Harbor was conceived, built, and owned for ~30 years by </w:t>
      </w:r>
      <w:r>
        <w:rPr>
          <w:rFonts w:ascii="DM Sans" w:hAnsi="DM Sans" w:cs="DM Sans"/>
          <w:b/>
          <w:i w:val="0"/>
          <w:color w:val="0B163C"/>
          <w:sz w:val="20"/>
        </w:rPr>
        <w:t>The Brick Companies (TBC)</w:t>
      </w:r>
      <w:r>
        <w:rPr>
          <w:rFonts w:ascii="DM Sans" w:hAnsi="DM Sans" w:cs="DM Sans"/>
          <w:b w:val="0"/>
          <w:i w:val="0"/>
          <w:color w:val="0B163C"/>
          <w:sz w:val="20"/>
        </w:rPr>
        <w:t xml:space="preserve"> — a privately held, family-owned firm headquartered in Edgewater, Maryland.</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Founded 1892 </w:t>
      </w:r>
      <w:r>
        <w:rPr>
          <w:rFonts w:ascii="DM Sans" w:hAnsi="DM Sans" w:cs="DM Sans"/>
          <w:b w:val="0"/>
          <w:i w:val="0"/>
          <w:color w:val="0B163C"/>
          <w:sz w:val="20"/>
        </w:rPr>
        <w:t>as the Washington Brick and Terra Cotta Company, along the Washington City Canal in Southwest D.C.; for decades its sole business was brick and terra-cotta pipe.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A 1939 fire </w:t>
      </w:r>
      <w:r>
        <w:rPr>
          <w:rFonts w:ascii="DM Sans" w:hAnsi="DM Sans" w:cs="DM Sans"/>
          <w:b w:val="0"/>
          <w:i w:val="0"/>
          <w:color w:val="0B163C"/>
          <w:sz w:val="20"/>
        </w:rPr>
        <w:t>destroyed the plant; the company never made another brick, and instead diversified.</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Relocated </w:t>
      </w:r>
      <w:r>
        <w:rPr>
          <w:rFonts w:ascii="DM Sans" w:hAnsi="DM Sans" w:cs="DM Sans"/>
          <w:b w:val="0"/>
          <w:i w:val="0"/>
          <w:color w:val="0B163C"/>
          <w:sz w:val="20"/>
        </w:rPr>
        <w:t>its headquarters from D.C. to Edgewater, MD in 2002.</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Today </w:t>
      </w:r>
      <w:r>
        <w:rPr>
          <w:rFonts w:ascii="DM Sans" w:hAnsi="DM Sans" w:cs="DM Sans"/>
          <w:b w:val="0"/>
          <w:i w:val="0"/>
          <w:color w:val="0B163C"/>
          <w:sz w:val="20"/>
        </w:rPr>
        <w:t>TBC owns, develops and manages commercial, residential and recreational property across D.C., Maryland and Virginia — including golf (Queenstown Harbor, The Golf Club at South River) and Atlantic Marinas.</w:t>
      </w:r>
    </w:p>
    <w:p>
      <w:pPr>
        <w:spacing w:before="80" w:after="140" w:line="276" w:lineRule="auto"/>
      </w:pPr>
      <w:r>
        <w:rPr>
          <w:rFonts w:ascii="DM Sans" w:hAnsi="DM Sans" w:cs="DM Sans"/>
          <w:b/>
          <w:i w:val="0"/>
          <w:color w:val="3A243A"/>
          <w:sz w:val="20"/>
        </w:rPr>
        <w:t xml:space="preserve">Why this matters for funding: </w:t>
      </w:r>
      <w:r>
        <w:rPr>
          <w:rFonts w:ascii="DM Sans" w:hAnsi="DM Sans" w:cs="DM Sans"/>
          <w:b w:val="0"/>
          <w:i w:val="0"/>
          <w:color w:val="0B163C"/>
          <w:sz w:val="20"/>
        </w:rPr>
        <w:t>the course was a diversification play by a cash-generating private real-estate company — not a venture-financed or publicly funded development.</w:t>
      </w:r>
    </w:p>
    <w:p>
      <w:pPr>
        <w:spacing w:before="280" w:after="40" w:line="269" w:lineRule="auto"/>
      </w:pPr>
      <w:r>
        <w:rPr>
          <w:rFonts w:ascii="Montserrat" w:hAnsi="Montserrat" w:cs="Montserrat"/>
          <w:b/>
          <w:i w:val="0"/>
          <w:color w:val="3A243A"/>
          <w:sz w:val="17"/>
          <w:spacing w:val="40"/>
        </w:rPr>
        <w:t>FUNDING</w:t>
      </w:r>
    </w:p>
    <w:p>
      <w:pPr>
        <w:spacing w:before="40" w:after="80" w:line="252" w:lineRule="auto"/>
        <w:pBdr>
          <w:bottom w:val="single" w:sz="6" w:space="6" w:color="C4B8C4"/>
        </w:pBdr>
      </w:pPr>
      <w:r>
        <w:rPr>
          <w:rFonts w:ascii="Montserrat" w:hAnsi="Montserrat" w:cs="Montserrat"/>
          <w:b/>
          <w:i w:val="0"/>
          <w:color w:val="0B163C"/>
          <w:sz w:val="30"/>
        </w:rPr>
        <w:t>5.  How it was funded</w:t>
      </w:r>
    </w:p>
    <w:p>
      <w:pPr>
        <w:spacing w:before="200" w:after="60" w:line="269" w:lineRule="auto"/>
      </w:pPr>
      <w:r>
        <w:rPr>
          <w:rFonts w:ascii="Montserrat" w:hAnsi="Montserrat" w:cs="Montserrat"/>
          <w:b/>
          <w:i w:val="0"/>
          <w:color w:val="3A243A"/>
          <w:sz w:val="23"/>
        </w:rPr>
        <w:t>(a)  The original development (1970s–1996)</w:t>
      </w:r>
    </w:p>
    <w:p>
      <w:pPr>
        <w:spacing w:before="0" w:after="140" w:line="276" w:lineRule="auto"/>
      </w:pPr>
      <w:r>
        <w:rPr>
          <w:rFonts w:ascii="DM Sans" w:hAnsi="DM Sans" w:cs="DM Sans"/>
          <w:b/>
          <w:i w:val="0"/>
          <w:color w:val="0B163C"/>
          <w:sz w:val="20"/>
        </w:rPr>
        <w:t xml:space="preserve">The honest answer: </w:t>
      </w:r>
      <w:r>
        <w:rPr>
          <w:rFonts w:ascii="DM Sans" w:hAnsi="DM Sans" w:cs="DM Sans"/>
          <w:b w:val="0"/>
          <w:i w:val="0"/>
          <w:color w:val="0B163C"/>
          <w:sz w:val="20"/>
        </w:rPr>
        <w:t>no public construction-cost figure exists — The Brick Companies is privately held and has never disclosed what it spent to build Queenstown Harbor. What the record does support:</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val="0"/>
          <w:i w:val="0"/>
          <w:color w:val="0B163C"/>
          <w:sz w:val="20"/>
        </w:rPr>
        <w:t>The land was acquired by The Brick Companies in the 1970s (former dairy farm) and developed in-house.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val="0"/>
          <w:i w:val="0"/>
          <w:color w:val="0B163C"/>
          <w:sz w:val="20"/>
        </w:rPr>
        <w:t xml:space="preserve">TBC describes earlier business partnerships as having provided the “financial platform” that let it diversify into golf courses, marinas and real estate — i.e., the course was funded out of the company’s own balance sheet: </w:t>
      </w:r>
      <w:r>
        <w:rPr>
          <w:rFonts w:ascii="DM Sans" w:hAnsi="DM Sans" w:cs="DM Sans"/>
          <w:b/>
          <w:i w:val="0"/>
          <w:color w:val="0B163C"/>
          <w:sz w:val="20"/>
        </w:rPr>
        <w:t>private, self-funded equity</w:t>
      </w:r>
      <w:r>
        <w:rPr>
          <w:rFonts w:ascii="DM Sans" w:hAnsi="DM Sans" w:cs="DM Sans"/>
          <w:b w:val="0"/>
          <w:i w:val="0"/>
          <w:color w:val="0B163C"/>
          <w:sz w:val="20"/>
        </w:rPr>
        <w:t>, not outside project finance.</w:t>
      </w:r>
    </w:p>
    <w:p>
      <w:pPr>
        <w:spacing w:before="0" w:after="140" w:line="276" w:lineRule="auto"/>
      </w:pPr>
      <w:r>
        <w:rPr>
          <w:rFonts w:ascii="DM Sans" w:hAnsi="DM Sans" w:cs="DM Sans"/>
          <w:b/>
          <w:i w:val="0"/>
          <w:color w:val="3A243A"/>
          <w:sz w:val="20"/>
        </w:rPr>
        <w:t xml:space="preserve">Bottom line: </w:t>
      </w:r>
      <w:r>
        <w:rPr>
          <w:rFonts w:ascii="DM Sans" w:hAnsi="DM Sans" w:cs="DM Sans"/>
          <w:b w:val="0"/>
          <w:i w:val="0"/>
          <w:color w:val="0B163C"/>
          <w:sz w:val="20"/>
        </w:rPr>
        <w:t>a privately financed amenity/real-estate development by an established family company. A hard development cost would have to come from TBC directly or Queen Anne’s County records.</w:t>
      </w:r>
    </w:p>
    <w:p>
      <w:pPr>
        <w:spacing w:before="200" w:after="60" w:line="269" w:lineRule="auto"/>
      </w:pPr>
      <w:r>
        <w:rPr>
          <w:rFonts w:ascii="Montserrat" w:hAnsi="Montserrat" w:cs="Montserrat"/>
          <w:b/>
          <w:i w:val="0"/>
          <w:color w:val="3A243A"/>
          <w:sz w:val="23"/>
        </w:rPr>
        <w:t>(b)  The May 2026 acquisition (~$25M)</w:t>
      </w:r>
    </w:p>
    <w:p>
      <w:pPr>
        <w:spacing w:before="0" w:after="140" w:line="276" w:lineRule="auto"/>
      </w:pPr>
      <w:r>
        <w:rPr>
          <w:rFonts w:ascii="DM Sans" w:hAnsi="DM Sans" w:cs="DM Sans"/>
          <w:b w:val="0"/>
          <w:i w:val="0"/>
          <w:color w:val="0B163C"/>
          <w:sz w:val="20"/>
        </w:rPr>
        <w:t xml:space="preserve">In May 2026, </w:t>
      </w:r>
      <w:r>
        <w:rPr>
          <w:rFonts w:ascii="DM Sans" w:hAnsi="DM Sans" w:cs="DM Sans"/>
          <w:b/>
          <w:i w:val="0"/>
          <w:color w:val="0B163C"/>
          <w:sz w:val="20"/>
        </w:rPr>
        <w:t>VIVÂMEE Hospitality, LLC</w:t>
      </w:r>
      <w:r>
        <w:rPr>
          <w:rFonts w:ascii="DM Sans" w:hAnsi="DM Sans" w:cs="DM Sans"/>
          <w:b w:val="0"/>
          <w:i w:val="0"/>
          <w:color w:val="0B163C"/>
          <w:sz w:val="20"/>
        </w:rPr>
        <w:t xml:space="preserve"> and its affiliate </w:t>
      </w:r>
      <w:r>
        <w:rPr>
          <w:rFonts w:ascii="DM Sans" w:hAnsi="DM Sans" w:cs="DM Sans"/>
          <w:b/>
          <w:i w:val="0"/>
          <w:color w:val="0B163C"/>
          <w:sz w:val="20"/>
        </w:rPr>
        <w:t>Accountable Equity, LLC</w:t>
      </w:r>
      <w:r>
        <w:rPr>
          <w:rFonts w:ascii="DM Sans" w:hAnsi="DM Sans" w:cs="DM Sans"/>
          <w:b w:val="0"/>
          <w:i w:val="0"/>
          <w:color w:val="0B163C"/>
          <w:sz w:val="20"/>
        </w:rPr>
        <w:t xml:space="preserve"> completed a combined ~$25 million acquisition of two Mid-Atlantic assets from The Brick Companies: Queenstown Harbor Golf Resort (Eastern Shore) and The Golf Club at South River (near Annapolis). Together the portfolio is 54 holes across 870+ acres of waterfront and conservation-protected land.</w:t>
      </w:r>
    </w:p>
    <w:p>
      <w:pPr>
        <w:spacing w:before="200" w:after="60" w:line="269" w:lineRule="auto"/>
      </w:pPr>
      <w:r>
        <w:rPr>
          <w:rFonts w:ascii="Montserrat" w:hAnsi="Montserrat" w:cs="Montserrat"/>
          <w:b/>
          <w:i w:val="0"/>
          <w:color w:val="3A243A"/>
          <w:sz w:val="23"/>
        </w:rPr>
        <w:t>The financing / ownership structure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Seller: </w:t>
      </w:r>
      <w:r>
        <w:rPr>
          <w:rFonts w:ascii="DM Sans" w:hAnsi="DM Sans" w:cs="DM Sans"/>
          <w:b w:val="0"/>
          <w:i w:val="0"/>
          <w:color w:val="0B163C"/>
          <w:sz w:val="20"/>
        </w:rPr>
        <w:t>The Brick Companies (confirmed via John Anderes, TBC’s EVP of Hospitality &amp; Golf, in the transaction coverage).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Acquisition vehicle: </w:t>
      </w:r>
      <w:r>
        <w:rPr>
          <w:rFonts w:ascii="DM Sans" w:hAnsi="DM Sans" w:cs="DM Sans"/>
          <w:b w:val="0"/>
          <w:i w:val="0"/>
          <w:color w:val="0B163C"/>
          <w:sz w:val="20"/>
        </w:rPr>
        <w:t>the deal ran through Capital H6, LLC, a single-purpose fund sponsored by Accountable Equity, LLC.</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Equity source: </w:t>
      </w:r>
      <w:r>
        <w:rPr>
          <w:rFonts w:ascii="DM Sans" w:hAnsi="DM Sans" w:cs="DM Sans"/>
          <w:b w:val="0"/>
          <w:i w:val="0"/>
          <w:color w:val="0B163C"/>
          <w:sz w:val="20"/>
        </w:rPr>
        <w:t>capital raised from accredited investors under a Rule 506(c) private placement (a Capital H6 Confidential Private Placement Memorandum dated November 2025).</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Operator: </w:t>
      </w:r>
      <w:r>
        <w:rPr>
          <w:rFonts w:ascii="DM Sans" w:hAnsi="DM Sans" w:cs="DM Sans"/>
          <w:b w:val="0"/>
          <w:i w:val="0"/>
          <w:color w:val="0B163C"/>
          <w:sz w:val="20"/>
        </w:rPr>
        <w:t>VIVÂMEE Hospitality runs the properties. Accountable Equity and VIVÂMEE were co-founded by Josh and Melanie McCallen; Josh McCallen is CEO of both.</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Portfolio effect: </w:t>
      </w:r>
      <w:r>
        <w:rPr>
          <w:rFonts w:ascii="DM Sans" w:hAnsi="DM Sans" w:cs="DM Sans"/>
          <w:b w:val="0"/>
          <w:i w:val="0"/>
          <w:color w:val="0B163C"/>
          <w:sz w:val="20"/>
        </w:rPr>
        <w:t>the closing expanded the VIVÂMEE platform to six resort properties and five championship golf courses across Maryland and New Jersey (incl. the adjacent Kent Island Resort, Renault Winery Resort, LBI National Golf &amp; Resort, Bohemia Manor Farm).</w:t>
      </w:r>
    </w:p>
    <w:p>
      <w:pPr>
        <w:spacing w:before="80" w:after="140" w:line="276" w:lineRule="auto"/>
      </w:pPr>
      <w:r>
        <w:rPr>
          <w:rFonts w:ascii="DM Sans" w:hAnsi="DM Sans" w:cs="DM Sans"/>
          <w:b/>
          <w:i w:val="0"/>
          <w:color w:val="3A243A"/>
          <w:sz w:val="20"/>
        </w:rPr>
        <w:t xml:space="preserve">Sponsor’s investment thesis — [sponsor projection]: </w:t>
      </w:r>
      <w:r>
        <w:rPr>
          <w:rFonts w:ascii="DM Sans" w:hAnsi="DM Sans" w:cs="DM Sans"/>
          <w:b w:val="0"/>
          <w:i w:val="0"/>
          <w:color w:val="0B163C"/>
          <w:sz w:val="20"/>
        </w:rPr>
        <w:t xml:space="preserve">Accountable Equity’s materials pitch a “perpetual ownership” model (no forced 3–5-year exit), with a refinancing event expected around Years 4–5 returning a portion of capital plus accrued preferred returns; they advertise &gt;$2.5M projected Year-1 EBITDA and a growth plan leaning into lodging, events, weddings, corporate retreats and wellness. </w:t>
      </w:r>
      <w:r>
        <w:rPr>
          <w:rFonts w:ascii="DM Sans" w:hAnsi="DM Sans" w:cs="DM Sans"/>
          <w:b w:val="0"/>
          <w:i/>
          <w:color w:val="6B5A6B"/>
          <w:sz w:val="20"/>
        </w:rPr>
        <w:t>These are the sponsor’s own projections and should be independently diligenced.</w:t>
      </w:r>
    </w:p>
    <w:p>
      <w:pPr>
        <w:spacing w:before="280" w:after="40" w:line="269" w:lineRule="auto"/>
      </w:pPr>
      <w:r>
        <w:rPr>
          <w:rFonts w:ascii="Montserrat" w:hAnsi="Montserrat" w:cs="Montserrat"/>
          <w:b/>
          <w:i w:val="0"/>
          <w:color w:val="3A243A"/>
          <w:sz w:val="17"/>
          <w:spacing w:val="40"/>
        </w:rPr>
        <w:t>PORTFOLIO CONTEXT</w:t>
      </w:r>
    </w:p>
    <w:p>
      <w:pPr>
        <w:spacing w:before="40" w:after="80" w:line="252" w:lineRule="auto"/>
        <w:pBdr>
          <w:bottom w:val="single" w:sz="6" w:space="6" w:color="C4B8C4"/>
        </w:pBdr>
      </w:pPr>
      <w:r>
        <w:rPr>
          <w:rFonts w:ascii="Montserrat" w:hAnsi="Montserrat" w:cs="Montserrat"/>
          <w:b/>
          <w:i w:val="0"/>
          <w:color w:val="0B163C"/>
          <w:sz w:val="30"/>
        </w:rPr>
        <w:t>6.  The sister asset: The Golf Club at South River</w:t>
      </w:r>
    </w:p>
    <w:p>
      <w:pPr>
        <w:spacing w:before="0" w:after="140" w:line="276" w:lineRule="auto"/>
      </w:pPr>
      <w:r>
        <w:rPr>
          <w:rFonts w:ascii="DM Sans" w:hAnsi="DM Sans" w:cs="DM Sans"/>
          <w:b w:val="0"/>
          <w:i w:val="0"/>
          <w:color w:val="0B163C"/>
          <w:sz w:val="20"/>
        </w:rPr>
        <w:t>Acquired in the same $25M transaction:</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Location: </w:t>
      </w:r>
      <w:r>
        <w:rPr>
          <w:rFonts w:ascii="DM Sans" w:hAnsi="DM Sans" w:cs="DM Sans"/>
          <w:b w:val="0"/>
          <w:i w:val="0"/>
          <w:color w:val="0B163C"/>
          <w:sz w:val="20"/>
        </w:rPr>
        <w:t>Edgewater, MD (Annapolis / South River side).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Course: </w:t>
      </w:r>
      <w:r>
        <w:rPr>
          <w:rFonts w:ascii="DM Sans" w:hAnsi="DM Sans" w:cs="DM Sans"/>
          <w:b w:val="0"/>
          <w:i w:val="0"/>
          <w:color w:val="0B163C"/>
          <w:sz w:val="20"/>
        </w:rPr>
        <w:t>private 18-hole layout designed by Brian Ault; opened as public in 1996, converted to private in 2007.</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Membership: </w:t>
      </w:r>
      <w:r>
        <w:rPr>
          <w:rFonts w:ascii="DM Sans" w:hAnsi="DM Sans" w:cs="DM Sans"/>
          <w:b w:val="0"/>
          <w:i w:val="0"/>
          <w:color w:val="0B163C"/>
          <w:sz w:val="20"/>
        </w:rPr>
        <w:t>600+ member families — recurring dues-based revenue.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Footprint: </w:t>
      </w:r>
      <w:r>
        <w:rPr>
          <w:rFonts w:ascii="DM Sans" w:hAnsi="DM Sans" w:cs="DM Sans"/>
          <w:b w:val="0"/>
          <w:i w:val="0"/>
          <w:color w:val="0B163C"/>
          <w:sz w:val="20"/>
        </w:rPr>
        <w:t>~165 acres, with 8 lakes and multiple protected areas.</w:t>
      </w:r>
    </w:p>
    <w:p>
      <w:pPr>
        <w:spacing w:before="280" w:after="40" w:line="269" w:lineRule="auto"/>
      </w:pPr>
      <w:r>
        <w:rPr>
          <w:rFonts w:ascii="Montserrat" w:hAnsi="Montserrat" w:cs="Montserrat"/>
          <w:b/>
          <w:i w:val="0"/>
          <w:color w:val="3A243A"/>
          <w:sz w:val="17"/>
          <w:spacing w:val="40"/>
        </w:rPr>
        <w:t>DILIGENCE</w:t>
      </w:r>
    </w:p>
    <w:p>
      <w:pPr>
        <w:spacing w:before="40" w:after="80" w:line="252" w:lineRule="auto"/>
        <w:pBdr>
          <w:bottom w:val="single" w:sz="6" w:space="6" w:color="C4B8C4"/>
        </w:pBdr>
      </w:pPr>
      <w:r>
        <w:rPr>
          <w:rFonts w:ascii="Montserrat" w:hAnsi="Montserrat" w:cs="Montserrat"/>
          <w:b/>
          <w:i w:val="0"/>
          <w:color w:val="0B163C"/>
          <w:sz w:val="30"/>
        </w:rPr>
        <w:t>7.  Open items / things to confirm directly</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Original development cost </w:t>
      </w:r>
      <w:r>
        <w:rPr>
          <w:rFonts w:ascii="DM Sans" w:hAnsi="DM Sans" w:cs="DM Sans"/>
          <w:b w:val="0"/>
          <w:i w:val="0"/>
          <w:color w:val="0B163C"/>
          <w:sz w:val="20"/>
        </w:rPr>
        <w:t>of Queenstown Harbor — not public (TBC is private). Source: TBC or Queen Anne’s County records.</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Exact opening year </w:t>
      </w:r>
      <w:r>
        <w:rPr>
          <w:rFonts w:ascii="DM Sans" w:hAnsi="DM Sans" w:cs="DM Sans"/>
          <w:b w:val="0"/>
          <w:i w:val="0"/>
          <w:color w:val="0B163C"/>
          <w:sz w:val="20"/>
        </w:rPr>
        <w:t>— 1991 (golf databases) vs. “since 1994” (owner materials).</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The $25M allocation </w:t>
      </w:r>
      <w:r>
        <w:rPr>
          <w:rFonts w:ascii="DM Sans" w:hAnsi="DM Sans" w:cs="DM Sans"/>
          <w:b w:val="0"/>
          <w:i w:val="0"/>
          <w:color w:val="0B163C"/>
          <w:sz w:val="20"/>
        </w:rPr>
        <w:t>between Queenstown Harbor and South River — reported only as a combined price.</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Acreage split </w:t>
      </w:r>
      <w:r>
        <w:rPr>
          <w:rFonts w:ascii="DM Sans" w:hAnsi="DM Sans" w:cs="DM Sans"/>
          <w:b w:val="0"/>
          <w:i w:val="0"/>
          <w:color w:val="0B163C"/>
          <w:sz w:val="20"/>
        </w:rPr>
        <w:t>— the 870+ acres and 198-acre conservation figures are combined across both properties; confirm the Queenstown-only developable acreage against survey/easement data.</w:t>
      </w:r>
    </w:p>
    <w:p>
      <w:pPr>
        <w:spacing w:before="0" w:after="80" w:line="271" w:lineRule="auto"/>
        <w:ind w:left="403" w:hanging="230"/>
      </w:pPr>
      <w:r>
        <w:rPr>
          <w:rFonts w:ascii="DM Sans" w:hAnsi="DM Sans" w:cs="DM Sans"/>
          <w:b/>
          <w:i w:val="0"/>
          <w:color w:val="3A243A"/>
          <w:sz w:val="20"/>
        </w:rPr>
        <w:t xml:space="preserve">•  </w:t>
      </w:r>
      <w:r>
        <w:rPr>
          <w:rFonts w:ascii="DM Sans" w:hAnsi="DM Sans" w:cs="DM Sans"/>
          <w:b/>
          <w:i w:val="0"/>
          <w:color w:val="0B163C"/>
          <w:sz w:val="20"/>
        </w:rPr>
        <w:t xml:space="preserve">“Perpetual ownership,” EBITDA, refinancing timeline </w:t>
      </w:r>
      <w:r>
        <w:rPr>
          <w:rFonts w:ascii="DM Sans" w:hAnsi="DM Sans" w:cs="DM Sans"/>
          <w:b w:val="0"/>
          <w:i w:val="0"/>
          <w:color w:val="0B163C"/>
          <w:sz w:val="20"/>
        </w:rPr>
        <w:t>— sponsor projections; verify against the PPM and financials.</w:t>
      </w:r>
    </w:p>
    <w:p>
      <w:pPr>
        <w:spacing w:before="280" w:after="40" w:line="269" w:lineRule="auto"/>
      </w:pPr>
      <w:r>
        <w:rPr>
          <w:rFonts w:ascii="Montserrat" w:hAnsi="Montserrat" w:cs="Montserrat"/>
          <w:b/>
          <w:i w:val="0"/>
          <w:color w:val="3A243A"/>
          <w:sz w:val="17"/>
          <w:spacing w:val="40"/>
        </w:rPr>
        <w:t>CITATIONS</w:t>
      </w:r>
    </w:p>
    <w:p>
      <w:pPr>
        <w:spacing w:before="40" w:after="80" w:line="252" w:lineRule="auto"/>
        <w:pBdr>
          <w:bottom w:val="single" w:sz="6" w:space="6" w:color="C4B8C4"/>
        </w:pBdr>
      </w:pPr>
      <w:r>
        <w:rPr>
          <w:rFonts w:ascii="Montserrat" w:hAnsi="Montserrat" w:cs="Montserrat"/>
          <w:b/>
          <w:i w:val="0"/>
          <w:color w:val="0B163C"/>
          <w:sz w:val="30"/>
        </w:rPr>
        <w:t>8.  Sources</w:t>
      </w:r>
    </w:p>
    <w:p>
      <w:pPr>
        <w:spacing w:before="160" w:after="40" w:line="269" w:lineRule="auto"/>
      </w:pPr>
      <w:r>
        <w:rPr>
          <w:rFonts w:ascii="Montserrat" w:hAnsi="Montserrat" w:cs="Montserrat"/>
          <w:b/>
          <w:i w:val="0"/>
          <w:color w:val="3A243A"/>
          <w:sz w:val="19"/>
        </w:rPr>
        <w:t>Property / club (official &amp; golf databases)</w:t>
      </w:r>
    </w:p>
    <w:p>
      <w:pPr>
        <w:spacing w:before="0" w:after="40" w:line="264" w:lineRule="auto"/>
        <w:ind w:left="403" w:hanging="403"/>
      </w:pPr>
      <w:r>
        <w:rPr>
          <w:rFonts w:ascii="DM Sans" w:hAnsi="DM Sans" w:cs="DM Sans"/>
          <w:b/>
          <w:i w:val="0"/>
          <w:color w:val="0B163C"/>
          <w:sz w:val="17"/>
        </w:rPr>
        <w:t xml:space="preserve">1.  </w:t>
      </w:r>
      <w:r>
        <w:rPr>
          <w:rFonts w:ascii="DM Sans" w:hAnsi="DM Sans" w:cs="DM Sans"/>
          <w:b w:val="0"/>
          <w:i w:val="0"/>
          <w:color w:val="0B163C"/>
          <w:sz w:val="17"/>
        </w:rPr>
        <w:t xml:space="preserve">Queenstown Harbor — Who We Are (history, deCoursey grant, dairy farm, dig)  —  </w:t>
      </w:r>
      <w:hyperlink r:id="rId9">
        <w:r>
          <w:rPr>
            <w:rFonts w:ascii="DM Sans" w:hAnsi="DM Sans" w:cs="DM Sans"/>
            <w:color w:val="3A243A"/>
            <w:u w:val="single"/>
            <w:sz w:val="17"/>
          </w:rPr>
          <w:t xml:space="preserve">https://qhgolf.com/who-we-are/</w:t>
        </w:r>
      </w:hyperlink>
    </w:p>
    <w:p>
      <w:pPr>
        <w:spacing w:before="0" w:after="40" w:line="264" w:lineRule="auto"/>
        <w:ind w:left="403" w:hanging="403"/>
      </w:pPr>
      <w:r>
        <w:rPr>
          <w:rFonts w:ascii="DM Sans" w:hAnsi="DM Sans" w:cs="DM Sans"/>
          <w:b/>
          <w:i w:val="0"/>
          <w:color w:val="0B163C"/>
          <w:sz w:val="17"/>
        </w:rPr>
        <w:t xml:space="preserve">2.  </w:t>
      </w:r>
      <w:r>
        <w:rPr>
          <w:rFonts w:ascii="DM Sans" w:hAnsi="DM Sans" w:cs="DM Sans"/>
          <w:b w:val="0"/>
          <w:i w:val="0"/>
          <w:color w:val="0B163C"/>
          <w:sz w:val="17"/>
        </w:rPr>
        <w:t xml:space="preserve">Queenstown Harbor — Golf (courses, amenities, 2024 bunker renovation)  —  </w:t>
      </w:r>
      <w:hyperlink r:id="rId10">
        <w:r>
          <w:rPr>
            <w:rFonts w:ascii="DM Sans" w:hAnsi="DM Sans" w:cs="DM Sans"/>
            <w:color w:val="3A243A"/>
            <w:u w:val="single"/>
            <w:sz w:val="17"/>
          </w:rPr>
          <w:t xml:space="preserve">https://qhgolf.com/golf/</w:t>
        </w:r>
      </w:hyperlink>
    </w:p>
    <w:p>
      <w:pPr>
        <w:spacing w:before="0" w:after="40" w:line="264" w:lineRule="auto"/>
        <w:ind w:left="403" w:hanging="403"/>
      </w:pPr>
      <w:r>
        <w:rPr>
          <w:rFonts w:ascii="DM Sans" w:hAnsi="DM Sans" w:cs="DM Sans"/>
          <w:b/>
          <w:i w:val="0"/>
          <w:color w:val="0B163C"/>
          <w:sz w:val="17"/>
        </w:rPr>
        <w:t xml:space="preserve">3.  </w:t>
      </w:r>
      <w:r>
        <w:rPr>
          <w:rFonts w:ascii="DM Sans" w:hAnsi="DM Sans" w:cs="DM Sans"/>
          <w:b w:val="0"/>
          <w:i w:val="0"/>
          <w:color w:val="0B163C"/>
          <w:sz w:val="17"/>
        </w:rPr>
        <w:t xml:space="preserve">VisitMaryland — Queenstown Harbor Golf Links  —  </w:t>
      </w:r>
      <w:hyperlink r:id="rId11">
        <w:r>
          <w:rPr>
            <w:rFonts w:ascii="DM Sans" w:hAnsi="DM Sans" w:cs="DM Sans"/>
            <w:color w:val="3A243A"/>
            <w:u w:val="single"/>
            <w:sz w:val="17"/>
          </w:rPr>
          <w:t xml:space="preserve">https://www.visitmaryland.org/listing/sports/queenstown-harbor-golf-links</w:t>
        </w:r>
      </w:hyperlink>
    </w:p>
    <w:p>
      <w:pPr>
        <w:spacing w:before="0" w:after="40" w:line="264" w:lineRule="auto"/>
        <w:ind w:left="403" w:hanging="403"/>
      </w:pPr>
      <w:r>
        <w:rPr>
          <w:rFonts w:ascii="DM Sans" w:hAnsi="DM Sans" w:cs="DM Sans"/>
          <w:b/>
          <w:i w:val="0"/>
          <w:color w:val="0B163C"/>
          <w:sz w:val="17"/>
        </w:rPr>
        <w:t xml:space="preserve">4.  </w:t>
      </w:r>
      <w:r>
        <w:rPr>
          <w:rFonts w:ascii="DM Sans" w:hAnsi="DM Sans" w:cs="DM Sans"/>
          <w:b w:val="0"/>
          <w:i w:val="0"/>
          <w:color w:val="0B163C"/>
          <w:sz w:val="17"/>
        </w:rPr>
        <w:t xml:space="preserve">Visit Queen Anne’s County — Queenstown Harbor Golf  —  </w:t>
      </w:r>
      <w:hyperlink r:id="rId12">
        <w:r>
          <w:rPr>
            <w:rFonts w:ascii="DM Sans" w:hAnsi="DM Sans" w:cs="DM Sans"/>
            <w:color w:val="3A243A"/>
            <w:u w:val="single"/>
            <w:sz w:val="17"/>
          </w:rPr>
          <w:t xml:space="preserve">https://visitqueenannes.com/business/queenstown-harbor-golf/</w:t>
        </w:r>
      </w:hyperlink>
    </w:p>
    <w:p>
      <w:pPr>
        <w:spacing w:before="0" w:after="40" w:line="264" w:lineRule="auto"/>
        <w:ind w:left="403" w:hanging="403"/>
      </w:pPr>
      <w:r>
        <w:rPr>
          <w:rFonts w:ascii="DM Sans" w:hAnsi="DM Sans" w:cs="DM Sans"/>
          <w:b/>
          <w:i w:val="0"/>
          <w:color w:val="0B163C"/>
          <w:sz w:val="17"/>
        </w:rPr>
        <w:t xml:space="preserve">5.  </w:t>
      </w:r>
      <w:r>
        <w:rPr>
          <w:rFonts w:ascii="DM Sans" w:hAnsi="DM Sans" w:cs="DM Sans"/>
          <w:b w:val="0"/>
          <w:i w:val="0"/>
          <w:color w:val="0B163C"/>
          <w:sz w:val="17"/>
        </w:rPr>
        <w:t xml:space="preserve">Maryland State Golf Association — Queenstown Harbor  —  </w:t>
      </w:r>
      <w:hyperlink r:id="rId13">
        <w:r>
          <w:rPr>
            <w:rFonts w:ascii="DM Sans" w:hAnsi="DM Sans" w:cs="DM Sans"/>
            <w:color w:val="3A243A"/>
            <w:u w:val="single"/>
            <w:sz w:val="17"/>
          </w:rPr>
          <w:t xml:space="preserve">https://msga.org/queenstown-harbor/</w:t>
        </w:r>
      </w:hyperlink>
    </w:p>
    <w:p>
      <w:pPr>
        <w:spacing w:before="0" w:after="40" w:line="264" w:lineRule="auto"/>
        <w:ind w:left="403" w:hanging="403"/>
      </w:pPr>
      <w:r>
        <w:rPr>
          <w:rFonts w:ascii="DM Sans" w:hAnsi="DM Sans" w:cs="DM Sans"/>
          <w:b/>
          <w:i w:val="0"/>
          <w:color w:val="0B163C"/>
          <w:sz w:val="17"/>
        </w:rPr>
        <w:t xml:space="preserve">6.  </w:t>
      </w:r>
      <w:r>
        <w:rPr>
          <w:rFonts w:ascii="DM Sans" w:hAnsi="DM Sans" w:cs="DM Sans"/>
          <w:b w:val="0"/>
          <w:i w:val="0"/>
          <w:color w:val="0B163C"/>
          <w:sz w:val="17"/>
        </w:rPr>
        <w:t xml:space="preserve">Where2Golf — River Course (opening / buildout history)  —  </w:t>
      </w:r>
      <w:hyperlink r:id="rId14">
        <w:r>
          <w:rPr>
            <w:rFonts w:ascii="DM Sans" w:hAnsi="DM Sans" w:cs="DM Sans"/>
            <w:color w:val="3A243A"/>
            <w:u w:val="single"/>
            <w:sz w:val="17"/>
          </w:rPr>
          <w:t xml:space="preserve">https://www.where2golf.com/usa-mid-atlantic/queenstown-harbor-river-course/</w:t>
        </w:r>
      </w:hyperlink>
    </w:p>
    <w:p>
      <w:pPr>
        <w:spacing w:before="0" w:after="40" w:line="264" w:lineRule="auto"/>
        <w:ind w:left="403" w:hanging="403"/>
      </w:pPr>
      <w:r>
        <w:rPr>
          <w:rFonts w:ascii="DM Sans" w:hAnsi="DM Sans" w:cs="DM Sans"/>
          <w:b/>
          <w:i w:val="0"/>
          <w:color w:val="0B163C"/>
          <w:sz w:val="17"/>
        </w:rPr>
        <w:t xml:space="preserve">7.  </w:t>
      </w:r>
      <w:r>
        <w:rPr>
          <w:rFonts w:ascii="DM Sans" w:hAnsi="DM Sans" w:cs="DM Sans"/>
          <w:b w:val="0"/>
          <w:i w:val="0"/>
          <w:color w:val="0B163C"/>
          <w:sz w:val="17"/>
        </w:rPr>
        <w:t xml:space="preserve">Golf Digest — Queenstown Harbor: The River  —  </w:t>
      </w:r>
      <w:hyperlink r:id="rId15">
        <w:r>
          <w:rPr>
            <w:rFonts w:ascii="DM Sans" w:hAnsi="DM Sans" w:cs="DM Sans"/>
            <w:color w:val="3A243A"/>
            <w:u w:val="single"/>
            <w:sz w:val="17"/>
          </w:rPr>
          <w:t xml:space="preserve">https://www.golfdigest.com/courses/md/queenstown-harbor-the-river</w:t>
        </w:r>
      </w:hyperlink>
    </w:p>
    <w:p>
      <w:pPr>
        <w:spacing w:before="0" w:after="40" w:line="264" w:lineRule="auto"/>
        <w:ind w:left="403" w:hanging="403"/>
      </w:pPr>
      <w:r>
        <w:rPr>
          <w:rFonts w:ascii="DM Sans" w:hAnsi="DM Sans" w:cs="DM Sans"/>
          <w:b/>
          <w:i w:val="0"/>
          <w:color w:val="0B163C"/>
          <w:sz w:val="17"/>
        </w:rPr>
        <w:t xml:space="preserve">8.  </w:t>
      </w:r>
      <w:r>
        <w:rPr>
          <w:rFonts w:ascii="DM Sans" w:hAnsi="DM Sans" w:cs="DM Sans"/>
          <w:b w:val="0"/>
          <w:i w:val="0"/>
          <w:color w:val="0B163C"/>
          <w:sz w:val="17"/>
        </w:rPr>
        <w:t xml:space="preserve">Golf Digest — Queenstown Harbor: The Lakes  —  </w:t>
      </w:r>
      <w:hyperlink r:id="rId16">
        <w:r>
          <w:rPr>
            <w:rFonts w:ascii="DM Sans" w:hAnsi="DM Sans" w:cs="DM Sans"/>
            <w:color w:val="3A243A"/>
            <w:u w:val="single"/>
            <w:sz w:val="17"/>
          </w:rPr>
          <w:t xml:space="preserve">https://www.golfdigest.com/courses/md/queenstown-harbor-the-lakes</w:t>
        </w:r>
      </w:hyperlink>
    </w:p>
    <w:p>
      <w:pPr>
        <w:spacing w:before="0" w:after="40" w:line="264" w:lineRule="auto"/>
        <w:ind w:left="403" w:hanging="403"/>
      </w:pPr>
      <w:r>
        <w:rPr>
          <w:rFonts w:ascii="DM Sans" w:hAnsi="DM Sans" w:cs="DM Sans"/>
          <w:b/>
          <w:i w:val="0"/>
          <w:color w:val="0B163C"/>
          <w:sz w:val="17"/>
        </w:rPr>
        <w:t xml:space="preserve">9.  </w:t>
      </w:r>
      <w:r>
        <w:rPr>
          <w:rFonts w:ascii="DM Sans" w:hAnsi="DM Sans" w:cs="DM Sans"/>
          <w:b w:val="0"/>
          <w:i w:val="0"/>
          <w:color w:val="0B163C"/>
          <w:sz w:val="17"/>
        </w:rPr>
        <w:t xml:space="preserve">foreTee — River Course specs (yardage, rating)  —  </w:t>
      </w:r>
      <w:hyperlink r:id="rId17">
        <w:r>
          <w:rPr>
            <w:rFonts w:ascii="DM Sans" w:hAnsi="DM Sans" w:cs="DM Sans"/>
            <w:color w:val="3A243A"/>
            <w:u w:val="single"/>
            <w:sz w:val="17"/>
          </w:rPr>
          <w:t xml:space="preserve">https://foretee.com/courses/maryland/queenstown/usa/atlantic-golf-at-queenstown-harbor--river/6614</w:t>
        </w:r>
      </w:hyperlink>
    </w:p>
    <w:p>
      <w:pPr>
        <w:spacing w:before="0" w:after="40" w:line="264" w:lineRule="auto"/>
        <w:ind w:left="403" w:hanging="403"/>
      </w:pPr>
      <w:r>
        <w:rPr>
          <w:rFonts w:ascii="DM Sans" w:hAnsi="DM Sans" w:cs="DM Sans"/>
          <w:b/>
          <w:i w:val="0"/>
          <w:color w:val="0B163C"/>
          <w:sz w:val="17"/>
        </w:rPr>
        <w:t xml:space="preserve">10.  </w:t>
      </w:r>
      <w:r>
        <w:rPr>
          <w:rFonts w:ascii="DM Sans" w:hAnsi="DM Sans" w:cs="DM Sans"/>
          <w:b w:val="0"/>
          <w:i w:val="0"/>
          <w:color w:val="0B163C"/>
          <w:sz w:val="17"/>
        </w:rPr>
        <w:t xml:space="preserve">LBE Golf Course Design (Lindsay Ervin) — Queenstown  —  </w:t>
      </w:r>
      <w:hyperlink r:id="rId18">
        <w:r>
          <w:rPr>
            <w:rFonts w:ascii="DM Sans" w:hAnsi="DM Sans" w:cs="DM Sans"/>
            <w:color w:val="3A243A"/>
            <w:u w:val="single"/>
            <w:sz w:val="17"/>
          </w:rPr>
          <w:t xml:space="preserve">https://www.lbegolf.com/queenstown</w:t>
        </w:r>
      </w:hyperlink>
    </w:p>
    <w:p>
      <w:pPr>
        <w:spacing w:before="0" w:after="40" w:line="264" w:lineRule="auto"/>
        <w:ind w:left="403" w:hanging="403"/>
      </w:pPr>
      <w:r>
        <w:rPr>
          <w:rFonts w:ascii="DM Sans" w:hAnsi="DM Sans" w:cs="DM Sans"/>
          <w:b/>
          <w:i w:val="0"/>
          <w:color w:val="0B163C"/>
          <w:sz w:val="17"/>
        </w:rPr>
        <w:t xml:space="preserve">11.  </w:t>
      </w:r>
      <w:r>
        <w:rPr>
          <w:rFonts w:ascii="DM Sans" w:hAnsi="DM Sans" w:cs="DM Sans"/>
          <w:b w:val="0"/>
          <w:i w:val="0"/>
          <w:color w:val="0B163C"/>
          <w:sz w:val="17"/>
        </w:rPr>
        <w:t xml:space="preserve">Golf the Mid-Atlantic — Lakes “Tale of Two Nines”  —  </w:t>
      </w:r>
      <w:hyperlink r:id="rId19">
        <w:r>
          <w:rPr>
            <w:rFonts w:ascii="DM Sans" w:hAnsi="DM Sans" w:cs="DM Sans"/>
            <w:color w:val="3A243A"/>
            <w:u w:val="single"/>
            <w:sz w:val="17"/>
          </w:rPr>
          <w:t xml:space="preserve">http://www.golfthemidatlantic.com/story/161</w:t>
        </w:r>
      </w:hyperlink>
    </w:p>
    <w:p>
      <w:pPr>
        <w:spacing w:before="160" w:after="40" w:line="269" w:lineRule="auto"/>
      </w:pPr>
      <w:r>
        <w:rPr>
          <w:rFonts w:ascii="Montserrat" w:hAnsi="Montserrat" w:cs="Montserrat"/>
          <w:b/>
          <w:i w:val="0"/>
          <w:color w:val="3A243A"/>
          <w:sz w:val="19"/>
        </w:rPr>
        <w:t>Developer — The Brick Companies</w:t>
      </w:r>
    </w:p>
    <w:p>
      <w:pPr>
        <w:spacing w:before="0" w:after="40" w:line="264" w:lineRule="auto"/>
        <w:ind w:left="403" w:hanging="403"/>
      </w:pPr>
      <w:r>
        <w:rPr>
          <w:rFonts w:ascii="DM Sans" w:hAnsi="DM Sans" w:cs="DM Sans"/>
          <w:b/>
          <w:i w:val="0"/>
          <w:color w:val="0B163C"/>
          <w:sz w:val="17"/>
        </w:rPr>
        <w:t xml:space="preserve">12.  </w:t>
      </w:r>
      <w:r>
        <w:rPr>
          <w:rFonts w:ascii="DM Sans" w:hAnsi="DM Sans" w:cs="DM Sans"/>
          <w:b w:val="0"/>
          <w:i w:val="0"/>
          <w:color w:val="0B163C"/>
          <w:sz w:val="17"/>
        </w:rPr>
        <w:t xml:space="preserve">The Brick Companies — Golf Courses  —  </w:t>
      </w:r>
      <w:hyperlink r:id="rId20">
        <w:r>
          <w:rPr>
            <w:rFonts w:ascii="DM Sans" w:hAnsi="DM Sans" w:cs="DM Sans"/>
            <w:color w:val="3A243A"/>
            <w:u w:val="single"/>
            <w:sz w:val="17"/>
          </w:rPr>
          <w:t xml:space="preserve">https://www.thebrickcompanies.com/golf-courses</w:t>
        </w:r>
      </w:hyperlink>
    </w:p>
    <w:p>
      <w:pPr>
        <w:spacing w:before="0" w:after="40" w:line="264" w:lineRule="auto"/>
        <w:ind w:left="403" w:hanging="403"/>
      </w:pPr>
      <w:r>
        <w:rPr>
          <w:rFonts w:ascii="DM Sans" w:hAnsi="DM Sans" w:cs="DM Sans"/>
          <w:b/>
          <w:i w:val="0"/>
          <w:color w:val="0B163C"/>
          <w:sz w:val="17"/>
        </w:rPr>
        <w:t xml:space="preserve">13.  </w:t>
      </w:r>
      <w:r>
        <w:rPr>
          <w:rFonts w:ascii="DM Sans" w:hAnsi="DM Sans" w:cs="DM Sans"/>
          <w:b w:val="0"/>
          <w:i w:val="0"/>
          <w:color w:val="0B163C"/>
          <w:sz w:val="17"/>
        </w:rPr>
        <w:t xml:space="preserve">The Brick Companies — Our Legacy (founded 1892; diversification)  —  </w:t>
      </w:r>
      <w:hyperlink r:id="rId21">
        <w:r>
          <w:rPr>
            <w:rFonts w:ascii="DM Sans" w:hAnsi="DM Sans" w:cs="DM Sans"/>
            <w:color w:val="3A243A"/>
            <w:u w:val="single"/>
            <w:sz w:val="17"/>
          </w:rPr>
          <w:t xml:space="preserve">https://www.thebrickcompanies.com/legacy</w:t>
        </w:r>
      </w:hyperlink>
    </w:p>
    <w:p>
      <w:pPr>
        <w:spacing w:before="160" w:after="40" w:line="269" w:lineRule="auto"/>
      </w:pPr>
      <w:r>
        <w:rPr>
          <w:rFonts w:ascii="Montserrat" w:hAnsi="Montserrat" w:cs="Montserrat"/>
          <w:b/>
          <w:i w:val="0"/>
          <w:color w:val="3A243A"/>
          <w:sz w:val="19"/>
        </w:rPr>
        <w:t>Land history</w:t>
      </w:r>
    </w:p>
    <w:p>
      <w:pPr>
        <w:spacing w:before="0" w:after="40" w:line="264" w:lineRule="auto"/>
        <w:ind w:left="403" w:hanging="403"/>
      </w:pPr>
      <w:r>
        <w:rPr>
          <w:rFonts w:ascii="DM Sans" w:hAnsi="DM Sans" w:cs="DM Sans"/>
          <w:b/>
          <w:i w:val="0"/>
          <w:color w:val="0B163C"/>
          <w:sz w:val="17"/>
        </w:rPr>
        <w:t xml:space="preserve">14.  </w:t>
      </w:r>
      <w:r>
        <w:rPr>
          <w:rFonts w:ascii="DM Sans" w:hAnsi="DM Sans" w:cs="DM Sans"/>
          <w:b w:val="0"/>
          <w:i w:val="0"/>
          <w:color w:val="0B163C"/>
          <w:sz w:val="17"/>
        </w:rPr>
        <w:t xml:space="preserve">MyEasternShoreMD — history of names (My Lord’s Gift / thumb grant / Blakeford)  —  </w:t>
      </w:r>
      <w:hyperlink r:id="rId22">
        <w:r>
          <w:rPr>
            <w:rFonts w:ascii="DM Sans" w:hAnsi="DM Sans" w:cs="DM Sans"/>
            <w:color w:val="3A243A"/>
            <w:u w:val="single"/>
            <w:sz w:val="17"/>
          </w:rPr>
          <w:t xml:space="preserve">https://www.myeasternshoremd.com/news/queen_annes_county/book-tells-interesting-history-of-names/article_a269685c-2a1c-565b-b1a9-17716da29511.html</w:t>
        </w:r>
      </w:hyperlink>
    </w:p>
    <w:p>
      <w:pPr>
        <w:spacing w:before="160" w:after="40" w:line="269" w:lineRule="auto"/>
      </w:pPr>
      <w:r>
        <w:rPr>
          <w:rFonts w:ascii="Montserrat" w:hAnsi="Montserrat" w:cs="Montserrat"/>
          <w:b/>
          <w:i w:val="0"/>
          <w:color w:val="3A243A"/>
          <w:sz w:val="19"/>
        </w:rPr>
        <w:t>2026 acquisition &amp; financing</w:t>
      </w:r>
    </w:p>
    <w:p>
      <w:pPr>
        <w:spacing w:before="0" w:after="40" w:line="264" w:lineRule="auto"/>
        <w:ind w:left="403" w:hanging="403"/>
      </w:pPr>
      <w:r>
        <w:rPr>
          <w:rFonts w:ascii="DM Sans" w:hAnsi="DM Sans" w:cs="DM Sans"/>
          <w:b/>
          <w:i w:val="0"/>
          <w:color w:val="0B163C"/>
          <w:sz w:val="17"/>
        </w:rPr>
        <w:t xml:space="preserve">15.  </w:t>
      </w:r>
      <w:r>
        <w:rPr>
          <w:rFonts w:ascii="DM Sans" w:hAnsi="DM Sans" w:cs="DM Sans"/>
          <w:b w:val="0"/>
          <w:i w:val="0"/>
          <w:color w:val="0B163C"/>
          <w:sz w:val="17"/>
        </w:rPr>
        <w:t xml:space="preserve">Connect CRE — VIVÂMEE completes $25M acquisition  —  </w:t>
      </w:r>
      <w:hyperlink r:id="rId23">
        <w:r>
          <w:rPr>
            <w:rFonts w:ascii="DM Sans" w:hAnsi="DM Sans" w:cs="DM Sans"/>
            <w:color w:val="3A243A"/>
            <w:u w:val="single"/>
            <w:sz w:val="17"/>
          </w:rPr>
          <w:t xml:space="preserve">https://www.connectcre.com/stories/vivamee-hospitality-completes-25m-acquisition-of-two-maryland-golf-courses/</w:t>
        </w:r>
      </w:hyperlink>
    </w:p>
    <w:p>
      <w:pPr>
        <w:spacing w:before="0" w:after="40" w:line="264" w:lineRule="auto"/>
        <w:ind w:left="403" w:hanging="403"/>
      </w:pPr>
      <w:r>
        <w:rPr>
          <w:rFonts w:ascii="DM Sans" w:hAnsi="DM Sans" w:cs="DM Sans"/>
          <w:b/>
          <w:i w:val="0"/>
          <w:color w:val="0B163C"/>
          <w:sz w:val="17"/>
        </w:rPr>
        <w:t xml:space="preserve">16.  </w:t>
      </w:r>
      <w:r>
        <w:rPr>
          <w:rFonts w:ascii="DM Sans" w:hAnsi="DM Sans" w:cs="DM Sans"/>
          <w:b w:val="0"/>
          <w:i w:val="0"/>
          <w:color w:val="0B163C"/>
          <w:sz w:val="17"/>
        </w:rPr>
        <w:t xml:space="preserve">Club + Resort Business — VIVÂMEE acquires two MD golf locations for $25M  —  </w:t>
      </w:r>
      <w:hyperlink r:id="rId24">
        <w:r>
          <w:rPr>
            <w:rFonts w:ascii="DM Sans" w:hAnsi="DM Sans" w:cs="DM Sans"/>
            <w:color w:val="3A243A"/>
            <w:u w:val="single"/>
            <w:sz w:val="17"/>
          </w:rPr>
          <w:t xml:space="preserve">https://clubandresortbusiness.com/vivamee-hospitality-acquires-two-maryland-golf-locations-for-25m/</w:t>
        </w:r>
      </w:hyperlink>
    </w:p>
    <w:p>
      <w:pPr>
        <w:spacing w:before="0" w:after="40" w:line="264" w:lineRule="auto"/>
        <w:ind w:left="403" w:hanging="403"/>
      </w:pPr>
      <w:r>
        <w:rPr>
          <w:rFonts w:ascii="DM Sans" w:hAnsi="DM Sans" w:cs="DM Sans"/>
          <w:b/>
          <w:i w:val="0"/>
          <w:color w:val="0B163C"/>
          <w:sz w:val="17"/>
        </w:rPr>
        <w:t xml:space="preserve">17.  </w:t>
      </w:r>
      <w:r>
        <w:rPr>
          <w:rFonts w:ascii="DM Sans" w:hAnsi="DM Sans" w:cs="DM Sans"/>
          <w:b w:val="0"/>
          <w:i w:val="0"/>
          <w:color w:val="0B163C"/>
          <w:sz w:val="17"/>
        </w:rPr>
        <w:t xml:space="preserve">Eye On Annapolis — VIVÂMEE acquires South River, Queenstown Harbor  —  </w:t>
      </w:r>
      <w:hyperlink r:id="rId25">
        <w:r>
          <w:rPr>
            <w:rFonts w:ascii="DM Sans" w:hAnsi="DM Sans" w:cs="DM Sans"/>
            <w:color w:val="3A243A"/>
            <w:u w:val="single"/>
            <w:sz w:val="17"/>
          </w:rPr>
          <w:t xml:space="preserve">https://www.eyeonannapolis.net/2026/05/vivamee-hospitality-acquires-golf-club-at-south-river-queenstown-harbor-in-25m-deal/</w:t>
        </w:r>
      </w:hyperlink>
    </w:p>
    <w:p>
      <w:pPr>
        <w:spacing w:before="0" w:after="40" w:line="264" w:lineRule="auto"/>
        <w:ind w:left="403" w:hanging="403"/>
      </w:pPr>
      <w:r>
        <w:rPr>
          <w:rFonts w:ascii="DM Sans" w:hAnsi="DM Sans" w:cs="DM Sans"/>
          <w:b/>
          <w:i w:val="0"/>
          <w:color w:val="0B163C"/>
          <w:sz w:val="17"/>
        </w:rPr>
        <w:t xml:space="preserve">18.  </w:t>
      </w:r>
      <w:r>
        <w:rPr>
          <w:rFonts w:ascii="DM Sans" w:hAnsi="DM Sans" w:cs="DM Sans"/>
          <w:b w:val="0"/>
          <w:i w:val="0"/>
          <w:color w:val="0B163C"/>
          <w:sz w:val="17"/>
        </w:rPr>
        <w:t xml:space="preserve">citybiz — VIVÂMEE bolsters MD golf &amp; waterfront portfolio with $25M  —  </w:t>
      </w:r>
      <w:hyperlink r:id="rId26">
        <w:r>
          <w:rPr>
            <w:rFonts w:ascii="DM Sans" w:hAnsi="DM Sans" w:cs="DM Sans"/>
            <w:color w:val="3A243A"/>
            <w:u w:val="single"/>
            <w:sz w:val="17"/>
          </w:rPr>
          <w:t xml:space="preserve">https://www.citybiz.co/article/847876/vivamee-hospitality-bolsters-maryland-golf-waterfront-portfolio-with-25-million-acquisition/</w:t>
        </w:r>
      </w:hyperlink>
    </w:p>
    <w:p>
      <w:pPr>
        <w:spacing w:before="0" w:after="40" w:line="264" w:lineRule="auto"/>
        <w:ind w:left="403" w:hanging="403"/>
      </w:pPr>
      <w:r>
        <w:rPr>
          <w:rFonts w:ascii="DM Sans" w:hAnsi="DM Sans" w:cs="DM Sans"/>
          <w:b/>
          <w:i w:val="0"/>
          <w:color w:val="0B163C"/>
          <w:sz w:val="17"/>
        </w:rPr>
        <w:t xml:space="preserve">19.  </w:t>
      </w:r>
      <w:r>
        <w:rPr>
          <w:rFonts w:ascii="DM Sans" w:hAnsi="DM Sans" w:cs="DM Sans"/>
          <w:b w:val="0"/>
          <w:i w:val="0"/>
          <w:color w:val="0B163C"/>
          <w:sz w:val="17"/>
        </w:rPr>
        <w:t xml:space="preserve">Accountable Equity — Capital H6 hospitality fund (structure, EBITDA)  —  </w:t>
      </w:r>
      <w:hyperlink r:id="rId27">
        <w:r>
          <w:rPr>
            <w:rFonts w:ascii="DM Sans" w:hAnsi="DM Sans" w:cs="DM Sans"/>
            <w:color w:val="3A243A"/>
            <w:u w:val="single"/>
            <w:sz w:val="17"/>
          </w:rPr>
          <w:t xml:space="preserve">https://accountableequity.com/capital-h6-hospitality-fund/</w:t>
        </w:r>
      </w:hyperlink>
    </w:p>
    <w:p>
      <w:pPr>
        <w:spacing w:before="0" w:after="40" w:line="264" w:lineRule="auto"/>
        <w:ind w:left="403" w:hanging="403"/>
      </w:pPr>
      <w:r>
        <w:rPr>
          <w:rFonts w:ascii="DM Sans" w:hAnsi="DM Sans" w:cs="DM Sans"/>
          <w:b/>
          <w:i w:val="0"/>
          <w:color w:val="0B163C"/>
          <w:sz w:val="17"/>
        </w:rPr>
        <w:t xml:space="preserve">20.  </w:t>
      </w:r>
      <w:r>
        <w:rPr>
          <w:rFonts w:ascii="DM Sans" w:hAnsi="DM Sans" w:cs="DM Sans"/>
          <w:b w:val="0"/>
          <w:i w:val="0"/>
          <w:color w:val="0B163C"/>
          <w:sz w:val="17"/>
        </w:rPr>
        <w:t xml:space="preserve">Accountable Equity — Capital H6 Private Placement Memorandum (PDF, Nov 2025)  —  </w:t>
      </w:r>
      <w:hyperlink r:id="rId28">
        <w:r>
          <w:rPr>
            <w:rFonts w:ascii="DM Sans" w:hAnsi="DM Sans" w:cs="DM Sans"/>
            <w:color w:val="3A243A"/>
            <w:u w:val="single"/>
            <w:sz w:val="17"/>
          </w:rPr>
          <w:t xml:space="preserve">https://accountableequity.com/wp-content/uploads/2025/11/Capital-H6-Private-Placement-Memorandum.pdf</w:t>
        </w:r>
      </w:hyperlink>
    </w:p>
    <w:p>
      <w:pPr>
        <w:spacing w:before="0" w:after="40" w:line="264" w:lineRule="auto"/>
        <w:ind w:left="403" w:hanging="403"/>
      </w:pPr>
      <w:r>
        <w:rPr>
          <w:rFonts w:ascii="DM Sans" w:hAnsi="DM Sans" w:cs="DM Sans"/>
          <w:b/>
          <w:i w:val="0"/>
          <w:color w:val="0B163C"/>
          <w:sz w:val="17"/>
        </w:rPr>
        <w:t xml:space="preserve">21.  </w:t>
      </w:r>
      <w:r>
        <w:rPr>
          <w:rFonts w:ascii="DM Sans" w:hAnsi="DM Sans" w:cs="DM Sans"/>
          <w:b w:val="0"/>
          <w:i w:val="0"/>
          <w:color w:val="0B163C"/>
          <w:sz w:val="17"/>
        </w:rPr>
        <w:t xml:space="preserve">Accountable Equity — About Us (Josh &amp; Melanie McCallen)  —  </w:t>
      </w:r>
      <w:hyperlink r:id="rId29">
        <w:r>
          <w:rPr>
            <w:rFonts w:ascii="DM Sans" w:hAnsi="DM Sans" w:cs="DM Sans"/>
            <w:color w:val="3A243A"/>
            <w:u w:val="single"/>
            <w:sz w:val="17"/>
          </w:rPr>
          <w:t xml:space="preserve">https://accountableequity.com/about-us/</w:t>
        </w:r>
      </w:hyperlink>
    </w:p>
    <w:p>
      <w:pPr>
        <w:spacing w:before="0" w:after="40" w:line="264" w:lineRule="auto"/>
        <w:ind w:left="403" w:hanging="403"/>
      </w:pPr>
      <w:r>
        <w:rPr>
          <w:rFonts w:ascii="DM Sans" w:hAnsi="DM Sans" w:cs="DM Sans"/>
          <w:b/>
          <w:i w:val="0"/>
          <w:color w:val="0B163C"/>
          <w:sz w:val="17"/>
        </w:rPr>
        <w:t xml:space="preserve">22.  </w:t>
      </w:r>
      <w:r>
        <w:rPr>
          <w:rFonts w:ascii="DM Sans" w:hAnsi="DM Sans" w:cs="DM Sans"/>
          <w:b w:val="0"/>
          <w:i w:val="0"/>
          <w:color w:val="0B163C"/>
          <w:sz w:val="17"/>
        </w:rPr>
        <w:t xml:space="preserve">Accountable Equity — accredited-investor / Rule 506(c)  —  </w:t>
      </w:r>
      <w:hyperlink r:id="rId30">
        <w:r>
          <w:rPr>
            <w:rFonts w:ascii="DM Sans" w:hAnsi="DM Sans" w:cs="DM Sans"/>
            <w:color w:val="3A243A"/>
            <w:u w:val="single"/>
            <w:sz w:val="17"/>
          </w:rPr>
          <w:t xml:space="preserve">https://accountableequity.com/what-can-accredited-investors-access/</w:t>
        </w:r>
      </w:hyperlink>
    </w:p>
    <w:p>
      <w:pPr>
        <w:spacing w:before="0" w:after="40" w:line="264" w:lineRule="auto"/>
        <w:ind w:left="403" w:hanging="403"/>
      </w:pPr>
      <w:r>
        <w:rPr>
          <w:rFonts w:ascii="DM Sans" w:hAnsi="DM Sans" w:cs="DM Sans"/>
          <w:b/>
          <w:i w:val="0"/>
          <w:color w:val="0B163C"/>
          <w:sz w:val="17"/>
        </w:rPr>
        <w:t xml:space="preserve">23.  </w:t>
      </w:r>
      <w:r>
        <w:rPr>
          <w:rFonts w:ascii="DM Sans" w:hAnsi="DM Sans" w:cs="DM Sans"/>
          <w:b w:val="0"/>
          <w:i w:val="0"/>
          <w:color w:val="0B163C"/>
          <w:sz w:val="17"/>
        </w:rPr>
        <w:t xml:space="preserve">Josh McCallen — VIVÂMEE / LinkedIn  —  </w:t>
      </w:r>
      <w:hyperlink r:id="rId31">
        <w:r>
          <w:rPr>
            <w:rFonts w:ascii="DM Sans" w:hAnsi="DM Sans" w:cs="DM Sans"/>
            <w:color w:val="3A243A"/>
            <w:u w:val="single"/>
            <w:sz w:val="17"/>
          </w:rPr>
          <w:t xml:space="preserve">https://www.linkedin.com/in/joshmccallen/</w:t>
        </w:r>
      </w:hyperlink>
    </w:p>
    <w:p>
      <w:pPr>
        <w:spacing w:before="160" w:after="40" w:line="269" w:lineRule="auto"/>
      </w:pPr>
      <w:r>
        <w:rPr>
          <w:rFonts w:ascii="Montserrat" w:hAnsi="Montserrat" w:cs="Montserrat"/>
          <w:b/>
          <w:i w:val="0"/>
          <w:color w:val="3A243A"/>
          <w:sz w:val="19"/>
        </w:rPr>
        <w:t>Sister asset — The Golf Club at South River</w:t>
      </w:r>
    </w:p>
    <w:p>
      <w:pPr>
        <w:spacing w:before="0" w:after="40" w:line="264" w:lineRule="auto"/>
        <w:ind w:left="403" w:hanging="403"/>
      </w:pPr>
      <w:r>
        <w:rPr>
          <w:rFonts w:ascii="DM Sans" w:hAnsi="DM Sans" w:cs="DM Sans"/>
          <w:b/>
          <w:i w:val="0"/>
          <w:color w:val="0B163C"/>
          <w:sz w:val="17"/>
        </w:rPr>
        <w:t xml:space="preserve">24.  </w:t>
      </w:r>
      <w:r>
        <w:rPr>
          <w:rFonts w:ascii="DM Sans" w:hAnsi="DM Sans" w:cs="DM Sans"/>
          <w:b w:val="0"/>
          <w:i w:val="0"/>
          <w:color w:val="0B163C"/>
          <w:sz w:val="17"/>
        </w:rPr>
        <w:t xml:space="preserve">golfclubsr.com — South River golf  —  </w:t>
      </w:r>
      <w:hyperlink r:id="rId32">
        <w:r>
          <w:rPr>
            <w:rFonts w:ascii="DM Sans" w:hAnsi="DM Sans" w:cs="DM Sans"/>
            <w:color w:val="3A243A"/>
            <w:u w:val="single"/>
            <w:sz w:val="17"/>
          </w:rPr>
          <w:t xml:space="preserve">https://www.golfclubsr.com/golf</w:t>
        </w:r>
      </w:hyperlink>
    </w:p>
    <w:p>
      <w:pPr>
        <w:spacing w:before="0" w:after="40" w:line="264" w:lineRule="auto"/>
        <w:ind w:left="403" w:hanging="403"/>
      </w:pPr>
      <w:r>
        <w:rPr>
          <w:rFonts w:ascii="DM Sans" w:hAnsi="DM Sans" w:cs="DM Sans"/>
          <w:b/>
          <w:i w:val="0"/>
          <w:color w:val="0B163C"/>
          <w:sz w:val="17"/>
        </w:rPr>
        <w:t xml:space="preserve">25.  </w:t>
      </w:r>
      <w:r>
        <w:rPr>
          <w:rFonts w:ascii="DM Sans" w:hAnsi="DM Sans" w:cs="DM Sans"/>
          <w:b w:val="0"/>
          <w:i w:val="0"/>
          <w:color w:val="0B163C"/>
          <w:sz w:val="17"/>
        </w:rPr>
        <w:t xml:space="preserve">GolfLink — Golf Club at South River (Brian Ault, 1996; private since 2007)  —  </w:t>
      </w:r>
      <w:hyperlink r:id="rId33">
        <w:r>
          <w:rPr>
            <w:rFonts w:ascii="DM Sans" w:hAnsi="DM Sans" w:cs="DM Sans"/>
            <w:color w:val="3A243A"/>
            <w:u w:val="single"/>
            <w:sz w:val="17"/>
          </w:rPr>
          <w:t xml:space="preserve">https://www.golflink.com/golf-courses/md/edgewater/golf-club-at-south-river</w:t>
        </w:r>
      </w:hyperlink>
    </w:p>
    <w:p>
      <w:pPr>
        <w:spacing w:before="240" w:after="140" w:line="276" w:lineRule="auto"/>
        <w:jc w:val="left"/>
        <w:pBdr>
          <w:top w:val="single" w:sz="6" w:space="8" w:color="C4B8C4"/>
        </w:pBdr>
      </w:pPr>
      <w:r>
        <w:rPr>
          <w:rFonts w:ascii="DM Sans" w:hAnsi="DM Sans" w:cs="DM Sans"/>
          <w:b w:val="0"/>
          <w:i/>
          <w:color w:val="6B5A6B"/>
          <w:sz w:val="17"/>
        </w:rPr>
        <w:t>Compiled from multi-source web research with adversarial cross-checking. High-confidence on property, developer, and transaction facts; sponsor projections labeled as such; one opening-date discrepancy flagged. For discussion purposes.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olor w:val="0B16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hgolf.com/who-we-are/" TargetMode="External"/><Relationship Id="rId10" Type="http://schemas.openxmlformats.org/officeDocument/2006/relationships/hyperlink" Target="https://qhgolf.com/golf/" TargetMode="External"/><Relationship Id="rId11" Type="http://schemas.openxmlformats.org/officeDocument/2006/relationships/hyperlink" Target="https://www.visitmaryland.org/listing/sports/queenstown-harbor-golf-links" TargetMode="External"/><Relationship Id="rId12" Type="http://schemas.openxmlformats.org/officeDocument/2006/relationships/hyperlink" Target="https://visitqueenannes.com/business/queenstown-harbor-golf/" TargetMode="External"/><Relationship Id="rId13" Type="http://schemas.openxmlformats.org/officeDocument/2006/relationships/hyperlink" Target="https://msga.org/queenstown-harbor/" TargetMode="External"/><Relationship Id="rId14" Type="http://schemas.openxmlformats.org/officeDocument/2006/relationships/hyperlink" Target="https://www.where2golf.com/usa-mid-atlantic/queenstown-harbor-river-course/" TargetMode="External"/><Relationship Id="rId15" Type="http://schemas.openxmlformats.org/officeDocument/2006/relationships/hyperlink" Target="https://www.golfdigest.com/courses/md/queenstown-harbor-the-river" TargetMode="External"/><Relationship Id="rId16" Type="http://schemas.openxmlformats.org/officeDocument/2006/relationships/hyperlink" Target="https://www.golfdigest.com/courses/md/queenstown-harbor-the-lakes" TargetMode="External"/><Relationship Id="rId17" Type="http://schemas.openxmlformats.org/officeDocument/2006/relationships/hyperlink" Target="https://foretee.com/courses/maryland/queenstown/usa/atlantic-golf-at-queenstown-harbor--river/6614" TargetMode="External"/><Relationship Id="rId18" Type="http://schemas.openxmlformats.org/officeDocument/2006/relationships/hyperlink" Target="https://www.lbegolf.com/queenstown" TargetMode="External"/><Relationship Id="rId19" Type="http://schemas.openxmlformats.org/officeDocument/2006/relationships/hyperlink" Target="http://www.golfthemidatlantic.com/story/161" TargetMode="External"/><Relationship Id="rId20" Type="http://schemas.openxmlformats.org/officeDocument/2006/relationships/hyperlink" Target="https://www.thebrickcompanies.com/golf-courses" TargetMode="External"/><Relationship Id="rId21" Type="http://schemas.openxmlformats.org/officeDocument/2006/relationships/hyperlink" Target="https://www.thebrickcompanies.com/legacy" TargetMode="External"/><Relationship Id="rId22" Type="http://schemas.openxmlformats.org/officeDocument/2006/relationships/hyperlink" Target="https://www.myeasternshoremd.com/news/queen_annes_county/book-tells-interesting-history-of-names/article_a269685c-2a1c-565b-b1a9-17716da29511.html" TargetMode="External"/><Relationship Id="rId23" Type="http://schemas.openxmlformats.org/officeDocument/2006/relationships/hyperlink" Target="https://www.connectcre.com/stories/vivamee-hospitality-completes-25m-acquisition-of-two-maryland-golf-courses/" TargetMode="External"/><Relationship Id="rId24" Type="http://schemas.openxmlformats.org/officeDocument/2006/relationships/hyperlink" Target="https://clubandresortbusiness.com/vivamee-hospitality-acquires-two-maryland-golf-locations-for-25m/" TargetMode="External"/><Relationship Id="rId25" Type="http://schemas.openxmlformats.org/officeDocument/2006/relationships/hyperlink" Target="https://www.eyeonannapolis.net/2026/05/vivamee-hospitality-acquires-golf-club-at-south-river-queenstown-harbor-in-25m-deal/" TargetMode="External"/><Relationship Id="rId26" Type="http://schemas.openxmlformats.org/officeDocument/2006/relationships/hyperlink" Target="https://www.citybiz.co/article/847876/vivamee-hospitality-bolsters-maryland-golf-waterfront-portfolio-with-25-million-acquisition/" TargetMode="External"/><Relationship Id="rId27" Type="http://schemas.openxmlformats.org/officeDocument/2006/relationships/hyperlink" Target="https://accountableequity.com/capital-h6-hospitality-fund/" TargetMode="External"/><Relationship Id="rId28" Type="http://schemas.openxmlformats.org/officeDocument/2006/relationships/hyperlink" Target="https://accountableequity.com/wp-content/uploads/2025/11/Capital-H6-Private-Placement-Memorandum.pdf" TargetMode="External"/><Relationship Id="rId29" Type="http://schemas.openxmlformats.org/officeDocument/2006/relationships/hyperlink" Target="https://accountableequity.com/about-us/" TargetMode="External"/><Relationship Id="rId30" Type="http://schemas.openxmlformats.org/officeDocument/2006/relationships/hyperlink" Target="https://accountableequity.com/what-can-accredited-investors-access/" TargetMode="External"/><Relationship Id="rId31" Type="http://schemas.openxmlformats.org/officeDocument/2006/relationships/hyperlink" Target="https://www.linkedin.com/in/joshmccallen/" TargetMode="External"/><Relationship Id="rId32" Type="http://schemas.openxmlformats.org/officeDocument/2006/relationships/hyperlink" Target="https://www.golfclubsr.com/golf" TargetMode="External"/><Relationship Id="rId33" Type="http://schemas.openxmlformats.org/officeDocument/2006/relationships/hyperlink" Target="https://www.golflink.com/golf-courses/md/edgewater/golf-club-at-south-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Queenstown Harbor — Background Research</dc:title>
  <dc:subject/>
  <dc:creator>JAL Strategies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