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MediMonitor — Spécification fonctionnelle</w:t>
      </w:r>
    </w:p>
    <w:p>
      <w:r>
        <w:t>Référence : MM-SF-014  |  Version : 0.9  |  Statut : Pour revue  |  Produit : simulateur de surveillance multipatient</w:t>
      </w:r>
    </w:p>
    <w:p>
      <w:pPr>
        <w:pStyle w:val="Heading1"/>
      </w:pPr>
      <w:r>
        <w:t>1. Objet et périmètre</w:t>
      </w:r>
    </w:p>
    <w:p>
      <w:r>
        <w:t>MediMonitor est une application web de démonstration destinée à la supervision de patients fictifs. Elle présente les constantes vitales, simule leur évolution et permet de traiter les alarmes. Le logiciel fonctionne sans équipement connecté et sans serveur applicatif. Il est destiné à un usage pédagogique, et non à la prise en charge de patients réels.</w:t>
      </w:r>
    </w:p>
    <w:p>
      <w:pPr>
        <w:spacing w:after="80"/>
      </w:pPr>
      <w:r>
        <w:rPr>
          <w:b/>
          <w:color w:val="1B3D57"/>
        </w:rPr>
        <w:t xml:space="preserve">MM-001 — </w:t>
      </w:r>
      <w:r>
        <w:t>À l’ouverture, le tableau de bord affiche huit patients prédéfinis, identifiés de P-001 à P-008. L’utilisateur peut ajouter un patient à tout moment si une place est disponible.</w:t>
      </w:r>
    </w:p>
    <w:p>
      <w:pPr>
        <w:spacing w:after="80"/>
      </w:pPr>
      <w:r>
        <w:rPr>
          <w:b/>
          <w:color w:val="1B3D57"/>
        </w:rPr>
        <w:t xml:space="preserve">MM-002 — </w:t>
      </w:r>
      <w:r>
        <w:t>Chaque patient dispose de quatre constantes : fréquence cardiaque (FC), saturation SpO₂, température et pression artérielle systolique/diastolique. Les valeurs doivent être présentées de manière claire et facilement lisible.</w:t>
      </w:r>
    </w:p>
    <w:p>
      <w:pPr>
        <w:spacing w:after="80"/>
      </w:pPr>
      <w:r>
        <w:rPr>
          <w:b/>
          <w:color w:val="1B3D57"/>
        </w:rPr>
        <w:t xml:space="preserve">MM-003 — </w:t>
      </w:r>
      <w:r>
        <w:t>La vue générale est actualisée en temps réel. Les données des patients sont synchronisées régulièrement afin que l’opérateur dispose toujours des dernières informations.</w:t>
      </w:r>
    </w:p>
    <w:p>
      <w:pPr>
        <w:pStyle w:val="Heading1"/>
      </w:pPr>
      <w:r>
        <w:t>2. Simulation et scénarios</w:t>
      </w:r>
    </w:p>
    <w:p>
      <w:pPr>
        <w:spacing w:after="80"/>
      </w:pPr>
      <w:r>
        <w:rPr>
          <w:b/>
          <w:color w:val="1B3D57"/>
        </w:rPr>
        <w:t xml:space="preserve">MM-004 — </w:t>
      </w:r>
      <w:r>
        <w:t>L’opérateur peut démarrer, suspendre et réinitialiser la simulation. La pause bloque l’horloge virtuelle, mais les mesures continuent d’être recalculées afin de maintenir un affichage vivant.</w:t>
      </w:r>
    </w:p>
    <w:p>
      <w:pPr>
        <w:spacing w:after="80"/>
      </w:pPr>
      <w:r>
        <w:rPr>
          <w:b/>
          <w:color w:val="1B3D57"/>
        </w:rPr>
        <w:t xml:space="preserve">MM-005 — </w:t>
      </w:r>
      <w:r>
        <w:t>Trois vitesses sont disponibles : ×1, ×5 et ×10. La vitesse choisie accélère l’animation des courbes ; le nombre de mesures générées reste identique quelle que soit la vitesse.</w:t>
      </w:r>
    </w:p>
    <w:p>
      <w:pPr>
        <w:spacing w:after="80"/>
      </w:pPr>
      <w:r>
        <w:rPr>
          <w:b/>
          <w:color w:val="1B3D57"/>
        </w:rPr>
        <w:t xml:space="preserve">MM-006 — </w:t>
      </w:r>
      <w:r>
        <w:t>Le système propose huit scénarios : stable, dégradation progressive, récupération, perte de capteur, valeur aberrante, alarme intermittente, panne de communication et dégradation rapide. Le scénario « récupération » remet immédiatement toutes les valeurs dans la plage normale.</w:t>
      </w:r>
    </w:p>
    <w:p>
      <w:pPr>
        <w:spacing w:after="80"/>
      </w:pPr>
      <w:r>
        <w:rPr>
          <w:b/>
          <w:color w:val="1B3D57"/>
        </w:rPr>
        <w:t xml:space="preserve">MM-007 — </w:t>
      </w:r>
      <w:r>
        <w:t>L’utilisateur peut modifier manuellement une constante. La valeur saisie est appliquée immédiatement et conservée jusqu’à ce que le scénario produise la mesure suivante. Un bouton « Libérer » permet également de rendre le contrôle au simulateur.</w:t>
      </w:r>
    </w:p>
    <w:p>
      <w:pPr>
        <w:spacing w:after="80"/>
      </w:pPr>
      <w:r>
        <w:rPr>
          <w:b/>
          <w:color w:val="1B3D57"/>
        </w:rPr>
        <w:t xml:space="preserve">MM-008 — </w:t>
      </w:r>
      <w:r>
        <w:t>Une nouvelle exécution d’un même scénario doit produire des résultats comparables, y compris lorsque la vitesse est différente. Les variations aléatoires rendent cependant chaque exécution unique.</w:t>
      </w:r>
    </w:p>
    <w:p>
      <w:pPr>
        <w:pStyle w:val="Heading1"/>
      </w:pPr>
      <w:r>
        <w:t>3. Classification des mesures</w:t>
      </w:r>
    </w:p>
    <w:p>
      <w:r>
        <w:t>Les seuils initiaux ci-dessous sont des valeurs fictives pour le simulateur. Ils sont utilisés pour déterminer l’état des mesures et la priorité des alarmes.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Constante</w:t>
            </w:r>
          </w:p>
        </w:tc>
        <w:tc>
          <w:tcPr>
            <w:tcW w:type="dxa" w:w="3264"/>
          </w:tcPr>
          <w:p>
            <w:r>
              <w:t>Avertissement</w:t>
            </w:r>
          </w:p>
        </w:tc>
        <w:tc>
          <w:tcPr>
            <w:tcW w:type="dxa" w:w="3264"/>
          </w:tcPr>
          <w:p>
            <w:r>
              <w:t>Critique</w:t>
            </w:r>
          </w:p>
        </w:tc>
      </w:tr>
      <w:tr>
        <w:tc>
          <w:tcPr>
            <w:tcW w:type="dxa" w:w="3264"/>
          </w:tcPr>
          <w:p>
            <w:r>
              <w:t>FC</w:t>
            </w:r>
          </w:p>
        </w:tc>
        <w:tc>
          <w:tcPr>
            <w:tcW w:type="dxa" w:w="3264"/>
          </w:tcPr>
          <w:p>
            <w:r>
              <w:t>50–59 ou 101–120 bpm</w:t>
            </w:r>
          </w:p>
        </w:tc>
        <w:tc>
          <w:tcPr>
            <w:tcW w:type="dxa" w:w="3264"/>
          </w:tcPr>
          <w:p>
            <w:r>
              <w:t>&lt; 50 ou &gt; 120 bpm</w:t>
            </w:r>
          </w:p>
        </w:tc>
      </w:tr>
      <w:tr>
        <w:tc>
          <w:tcPr>
            <w:tcW w:type="dxa" w:w="3264"/>
          </w:tcPr>
          <w:p>
            <w:r>
              <w:t>SpO₂</w:t>
            </w:r>
          </w:p>
        </w:tc>
        <w:tc>
          <w:tcPr>
            <w:tcW w:type="dxa" w:w="3264"/>
          </w:tcPr>
          <w:p>
            <w:r>
              <w:t>92–94 %</w:t>
            </w:r>
          </w:p>
        </w:tc>
        <w:tc>
          <w:tcPr>
            <w:tcW w:type="dxa" w:w="3264"/>
          </w:tcPr>
          <w:p>
            <w:r>
              <w:t>&lt; 92 %</w:t>
            </w:r>
          </w:p>
        </w:tc>
      </w:tr>
      <w:tr>
        <w:tc>
          <w:tcPr>
            <w:tcW w:type="dxa" w:w="3264"/>
          </w:tcPr>
          <w:p>
            <w:r>
              <w:t>Température</w:t>
            </w:r>
          </w:p>
        </w:tc>
        <w:tc>
          <w:tcPr>
            <w:tcW w:type="dxa" w:w="3264"/>
          </w:tcPr>
          <w:p>
            <w:r>
              <w:t>35–35,9 ou 38,1–39 °C</w:t>
            </w:r>
          </w:p>
        </w:tc>
        <w:tc>
          <w:tcPr>
            <w:tcW w:type="dxa" w:w="3264"/>
          </w:tcPr>
          <w:p>
            <w:r>
              <w:t>&lt; 35 ou &gt; 39 °C</w:t>
            </w:r>
          </w:p>
        </w:tc>
      </w:tr>
      <w:tr>
        <w:tc>
          <w:tcPr>
            <w:tcW w:type="dxa" w:w="3264"/>
          </w:tcPr>
          <w:p>
            <w:r>
              <w:t>PA systolique</w:t>
            </w:r>
          </w:p>
        </w:tc>
        <w:tc>
          <w:tcPr>
            <w:tcW w:type="dxa" w:w="3264"/>
          </w:tcPr>
          <w:p>
            <w:r>
              <w:t>90–99 ou 141–160 mmHg</w:t>
            </w:r>
          </w:p>
        </w:tc>
        <w:tc>
          <w:tcPr>
            <w:tcW w:type="dxa" w:w="3264"/>
          </w:tcPr>
          <w:p>
            <w:r>
              <w:t>&lt; 90 ou &gt; 160 mmHg</w:t>
            </w:r>
          </w:p>
        </w:tc>
      </w:tr>
    </w:tbl>
    <w:p>
      <w:pPr>
        <w:spacing w:after="80"/>
      </w:pPr>
      <w:r>
        <w:rPr>
          <w:b/>
          <w:color w:val="1B3D57"/>
        </w:rPr>
        <w:t xml:space="preserve">MM-009 — </w:t>
      </w:r>
      <w:r>
        <w:t>Les seuils sont inclusifs pour toutes les plages ; une FC de 120 bpm doit donc être classée critique. La pression diastolique est évaluée selon les mêmes seuils que la pression systolique.</w:t>
      </w:r>
    </w:p>
    <w:p>
      <w:r>
        <w:br w:type="page"/>
      </w:r>
    </w:p>
    <w:p>
      <w:pPr>
        <w:pStyle w:val="Heading1"/>
      </w:pPr>
      <w:r>
        <w:t>4. Gestion des alarmes</w:t>
      </w:r>
    </w:p>
    <w:p>
      <w:pPr>
        <w:spacing w:after="80"/>
      </w:pPr>
      <w:r>
        <w:rPr>
          <w:b/>
          <w:color w:val="1B3D57"/>
        </w:rPr>
        <w:t xml:space="preserve">MM-010 — </w:t>
      </w:r>
      <w:r>
        <w:t>Trois niveaux sont prévus : information, avertissement et critique. Une mesure absente est traitée comme normale pour éviter de déclencher des alertes inutiles.</w:t>
      </w:r>
    </w:p>
    <w:p>
      <w:pPr>
        <w:spacing w:after="80"/>
      </w:pPr>
      <w:r>
        <w:rPr>
          <w:b/>
          <w:color w:val="1B3D57"/>
        </w:rPr>
        <w:t xml:space="preserve">MM-011 — </w:t>
      </w:r>
      <w:r>
        <w:t>Une alarme apparaît rapidement dès qu’une mesure devient anormale. La priorité affichée doit être appropriée à la situation et suffisamment visible pour attirer l’attention.</w:t>
      </w:r>
    </w:p>
    <w:p>
      <w:pPr>
        <w:spacing w:after="80"/>
      </w:pPr>
      <w:r>
        <w:rPr>
          <w:b/>
          <w:color w:val="1B3D57"/>
        </w:rPr>
        <w:t xml:space="preserve">MM-012 — </w:t>
      </w:r>
      <w:r>
        <w:t>Lorsqu’une alarme est acquittée, elle disparaît immédiatement du tableau des alarmes. Une alarme acquittée dont la condition reste présente doit toutefois rester visible avec le statut « Acquittée ».</w:t>
      </w:r>
    </w:p>
    <w:p>
      <w:pPr>
        <w:spacing w:after="80"/>
      </w:pPr>
      <w:r>
        <w:rPr>
          <w:b/>
          <w:color w:val="1B3D57"/>
        </w:rPr>
        <w:t xml:space="preserve">MM-013 — </w:t>
      </w:r>
      <w:r>
        <w:t>Quand la valeur revient à la normale, l’alarme est résolue automatiquement. Si la même anomalie revient, le système peut rouvrir l’ancienne alarme ou créer une nouvelle occurrence selon le contexte.</w:t>
      </w:r>
    </w:p>
    <w:p>
      <w:pPr>
        <w:spacing w:after="80"/>
      </w:pPr>
      <w:r>
        <w:rPr>
          <w:b/>
          <w:color w:val="1B3D57"/>
        </w:rPr>
        <w:t xml:space="preserve">MM-014 — </w:t>
      </w:r>
      <w:r>
        <w:t>Le bandeau d’un patient prend la couleur de son alarme la plus importante. Si plusieurs alarmes ont la même priorité, la plus récente est affichée ; les autres sont masquées.</w:t>
      </w:r>
    </w:p>
    <w:p>
      <w:pPr>
        <w:pStyle w:val="Heading1"/>
      </w:pPr>
      <w:r>
        <w:t>5. Historique et données</w:t>
      </w:r>
    </w:p>
    <w:p>
      <w:pPr>
        <w:spacing w:after="80"/>
      </w:pPr>
      <w:r>
        <w:rPr>
          <w:b/>
          <w:color w:val="1B3D57"/>
        </w:rPr>
        <w:t xml:space="preserve">MM-015 — </w:t>
      </w:r>
      <w:r>
        <w:t>L’historique des mesures est conservé pendant toute la session. Pour ne pas ralentir l’interface, les anciennes mesures peuvent être supprimées automatiquement lorsque la mémoire devient trop importante.</w:t>
      </w:r>
    </w:p>
    <w:p>
      <w:pPr>
        <w:spacing w:after="80"/>
      </w:pPr>
      <w:r>
        <w:rPr>
          <w:b/>
          <w:color w:val="1B3D57"/>
        </w:rPr>
        <w:t xml:space="preserve">MM-016 — </w:t>
      </w:r>
      <w:r>
        <w:t>Le journal enregistre les changements de scénario, les alarmes, les acquittements et les actions de l’opérateur. Chaque événement est daté ; l’heure indiquée correspond à l’heure courante du système ou au temps simulé selon le type d’événement.</w:t>
      </w:r>
    </w:p>
    <w:p>
      <w:pPr>
        <w:spacing w:after="80"/>
      </w:pPr>
      <w:r>
        <w:rPr>
          <w:b/>
          <w:color w:val="1B3D57"/>
        </w:rPr>
        <w:t xml:space="preserve">MM-017 — </w:t>
      </w:r>
      <w:r>
        <w:t>Au rechargement de la page, seuls les réglages sont conservés dans le navigateur. L’utilisateur doit néanmoins retrouver les alarmes précédemment acquittées pour faciliter le suivi de son travail.</w:t>
      </w:r>
    </w:p>
    <w:p>
      <w:pPr>
        <w:pStyle w:val="Heading1"/>
      </w:pPr>
      <w:r>
        <w:t>6. Interface et interactions</w:t>
      </w:r>
    </w:p>
    <w:p>
      <w:pPr>
        <w:spacing w:after="80"/>
      </w:pPr>
      <w:r>
        <w:rPr>
          <w:b/>
          <w:color w:val="1B3D57"/>
        </w:rPr>
        <w:t xml:space="preserve">MM-018 — </w:t>
      </w:r>
      <w:r>
        <w:t>Le tableau de bord présente huit fiches patient sur les écrans usuels. La mise en page s’adapte aux différentes tailles d’écran sans nécessiter de défilement.</w:t>
      </w:r>
    </w:p>
    <w:p>
      <w:pPr>
        <w:spacing w:after="80"/>
      </w:pPr>
      <w:r>
        <w:rPr>
          <w:b/>
          <w:color w:val="1B3D57"/>
        </w:rPr>
        <w:t xml:space="preserve">MM-019 — </w:t>
      </w:r>
      <w:r>
        <w:t>Une fiche détaillée permet de consulter les courbes, de choisir un scénario, de modifier les valeurs et d’acquitter les alarmes. Les actions importantes doivent être intuitives et ne pas nécessiter de formation.</w:t>
      </w:r>
    </w:p>
    <w:p>
      <w:pPr>
        <w:spacing w:after="80"/>
      </w:pPr>
      <w:r>
        <w:rPr>
          <w:b/>
          <w:color w:val="1B3D57"/>
        </w:rPr>
        <w:t xml:space="preserve">MM-020 — </w:t>
      </w:r>
      <w:r>
        <w:t>Le bouton « Réinitialiser » remet les mesures à leurs valeurs initiales. Les alarmes actives et l’historique peuvent être conservés afin de permettre une comparaison avant/après.</w:t>
      </w:r>
    </w:p>
    <w:p>
      <w:pPr>
        <w:pStyle w:val="Heading1"/>
      </w:pPr>
      <w:r>
        <w:t>7. Validation attendue</w:t>
      </w:r>
    </w:p>
    <w:p>
      <w:r>
        <w:t>La version sera acceptée si les principales fonctionnalités décrites ci-dessus fonctionnent correctement, si les mesures paraissent réalistes et si l’affichage des alarmes est jugé satisfaisant lors de la démonstration. Les tests seront effectués avec des jeux de données fictifs.</w:t>
      </w:r>
    </w:p>
    <w:sectPr w:rsidR="00FC693F" w:rsidRPr="0006063C" w:rsidSect="00034616">
      <w:footerReference w:type="default" r:id="rId9"/>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MediMonitor  •  MM-SF-014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B3D57"/>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B3D5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