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MediMonitor | TP2</w:t>
      </w:r>
    </w:p>
    <w:p>
      <w:pPr>
        <w:pStyle w:val="Subtitle"/>
      </w:pPr>
      <w:r>
        <w:t>Spécification fonctionnelle validée — Conception de cas de test</w:t>
      </w:r>
    </w:p>
    <w:p>
      <w:r>
        <w:t>Version 1.0 · Document stagiaire · 10 octobre 2026</w:t>
      </w:r>
    </w:p>
    <w:p>
      <w:pPr>
        <w:pStyle w:val="Heading1"/>
      </w:pPr>
      <w:r>
        <w:t>1. Objet et périmètre</w:t>
      </w:r>
    </w:p>
    <w:p>
      <w:r>
        <w:t>MediMonitor est un simulateur pédagogique de surveillance multipatient. Toutes les identités et mesures sont fictives. Ce document constitue la référence fonctionnelle autonome du TP2 : classification des mesures, cycle de vie des alarmes et saisie manuelle. Les seuils ci-dessous sont des valeurs de simulation, non des recommandations cliniques.</w:t>
      </w:r>
    </w:p>
    <w:p>
      <w:pPr>
        <w:spacing w:after="100"/>
      </w:pPr>
      <w:r>
        <w:rPr>
          <w:b/>
          <w:color w:val="193D5D"/>
        </w:rPr>
        <w:t xml:space="preserve">TP2-GEN-01 — </w:t>
      </w:r>
      <w:r>
        <w:t>Le tableau de bord présente exactement huit patients prédéfinis (P01 à P08). Les identifiants ne changent pas pendant une session. Chaque patient possède une fréquence cardiaque (FC), une SpO₂, une température et une pression artérielle systolique/diastolique (PAS/PAD).</w:t>
      </w:r>
    </w:p>
    <w:p>
      <w:pPr>
        <w:spacing w:after="100"/>
      </w:pPr>
      <w:r>
        <w:rPr>
          <w:b/>
          <w:color w:val="193D5D"/>
        </w:rPr>
        <w:t xml:space="preserve">TP2-GEN-02 — </w:t>
      </w:r>
      <w:r>
        <w:t>Chaque patient et chaque mesure sont traités indépendamment. Une intervention sur P01 ne modifie pas les mesures, alarmes ou overrides de P02 à P08.</w:t>
      </w:r>
    </w:p>
    <w:p>
      <w:pPr>
        <w:pStyle w:val="Heading1"/>
      </w:pPr>
      <w:r>
        <w:t>2. Valeurs et classification</w:t>
      </w:r>
    </w:p>
    <w:p>
      <w:r>
        <w:t>Les mesures sont des nombres dans les unités ci-dessous. FC, SpO₂, PAS et PAD sont des entiers ; la température est exprimée au dixième de degré (une décimale). Les comparaisons sont effectuées sur la valeur affichée, sans arrondi implicite supplémentaire.</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tcPr>
          <w:p>
            <w:pPr>
              <w:spacing w:after="20"/>
            </w:pPr>
            <w:r>
              <w:rPr>
                <w:sz w:val="16"/>
              </w:rPr>
              <w:t>Mesure</w:t>
            </w:r>
          </w:p>
        </w:tc>
        <w:tc>
          <w:tcPr>
            <w:tcW w:type="dxa" w:w="2484"/>
          </w:tcPr>
          <w:p>
            <w:pPr>
              <w:spacing w:after="20"/>
            </w:pPr>
            <w:r>
              <w:rPr>
                <w:sz w:val="16"/>
              </w:rPr>
              <w:t>NORMAL</w:t>
            </w:r>
          </w:p>
        </w:tc>
        <w:tc>
          <w:tcPr>
            <w:tcW w:type="dxa" w:w="2484"/>
          </w:tcPr>
          <w:p>
            <w:pPr>
              <w:spacing w:after="20"/>
            </w:pPr>
            <w:r>
              <w:rPr>
                <w:sz w:val="16"/>
              </w:rPr>
              <w:t>WARNING</w:t>
            </w:r>
          </w:p>
        </w:tc>
        <w:tc>
          <w:tcPr>
            <w:tcW w:type="dxa" w:w="2484"/>
          </w:tcPr>
          <w:p>
            <w:pPr>
              <w:spacing w:after="20"/>
            </w:pPr>
            <w:r>
              <w:rPr>
                <w:sz w:val="16"/>
              </w:rPr>
              <w:t>CRITICAL</w:t>
            </w:r>
          </w:p>
        </w:tc>
      </w:tr>
      <w:tr>
        <w:tc>
          <w:tcPr>
            <w:tcW w:type="dxa" w:w="2484"/>
          </w:tcPr>
          <w:p>
            <w:pPr>
              <w:spacing w:after="20"/>
            </w:pPr>
            <w:r>
              <w:rPr>
                <w:sz w:val="16"/>
              </w:rPr>
              <w:t>FC (bpm)</w:t>
            </w:r>
          </w:p>
        </w:tc>
        <w:tc>
          <w:tcPr>
            <w:tcW w:type="dxa" w:w="2484"/>
          </w:tcPr>
          <w:p>
            <w:pPr>
              <w:spacing w:after="20"/>
            </w:pPr>
            <w:r>
              <w:rPr>
                <w:sz w:val="16"/>
              </w:rPr>
              <w:t>60 à 100</w:t>
            </w:r>
          </w:p>
        </w:tc>
        <w:tc>
          <w:tcPr>
            <w:tcW w:type="dxa" w:w="2484"/>
          </w:tcPr>
          <w:p>
            <w:pPr>
              <w:spacing w:after="20"/>
            </w:pPr>
            <w:r>
              <w:rPr>
                <w:sz w:val="16"/>
              </w:rPr>
              <w:t>50 à 59 ; 101 à 120</w:t>
            </w:r>
          </w:p>
        </w:tc>
        <w:tc>
          <w:tcPr>
            <w:tcW w:type="dxa" w:w="2484"/>
          </w:tcPr>
          <w:p>
            <w:pPr>
              <w:spacing w:after="20"/>
            </w:pPr>
            <w:r>
              <w:rPr>
                <w:sz w:val="16"/>
              </w:rPr>
              <w:t>≤ 49 ; ≥ 121</w:t>
            </w:r>
          </w:p>
        </w:tc>
      </w:tr>
      <w:tr>
        <w:tc>
          <w:tcPr>
            <w:tcW w:type="dxa" w:w="2484"/>
          </w:tcPr>
          <w:p>
            <w:pPr>
              <w:spacing w:after="20"/>
            </w:pPr>
            <w:r>
              <w:rPr>
                <w:sz w:val="16"/>
              </w:rPr>
              <w:t>SpO₂ (%)</w:t>
            </w:r>
          </w:p>
        </w:tc>
        <w:tc>
          <w:tcPr>
            <w:tcW w:type="dxa" w:w="2484"/>
          </w:tcPr>
          <w:p>
            <w:pPr>
              <w:spacing w:after="20"/>
            </w:pPr>
            <w:r>
              <w:rPr>
                <w:sz w:val="16"/>
              </w:rPr>
              <w:t>≥ 95</w:t>
            </w:r>
          </w:p>
        </w:tc>
        <w:tc>
          <w:tcPr>
            <w:tcW w:type="dxa" w:w="2484"/>
          </w:tcPr>
          <w:p>
            <w:pPr>
              <w:spacing w:after="20"/>
            </w:pPr>
            <w:r>
              <w:rPr>
                <w:sz w:val="16"/>
              </w:rPr>
              <w:t>92 à 94</w:t>
            </w:r>
          </w:p>
        </w:tc>
        <w:tc>
          <w:tcPr>
            <w:tcW w:type="dxa" w:w="2484"/>
          </w:tcPr>
          <w:p>
            <w:pPr>
              <w:spacing w:after="20"/>
            </w:pPr>
            <w:r>
              <w:rPr>
                <w:sz w:val="16"/>
              </w:rPr>
              <w:t>≤ 91</w:t>
            </w:r>
          </w:p>
        </w:tc>
      </w:tr>
      <w:tr>
        <w:tc>
          <w:tcPr>
            <w:tcW w:type="dxa" w:w="2484"/>
          </w:tcPr>
          <w:p>
            <w:pPr>
              <w:spacing w:after="20"/>
            </w:pPr>
            <w:r>
              <w:rPr>
                <w:sz w:val="16"/>
              </w:rPr>
              <w:t>Température (°C)</w:t>
            </w:r>
          </w:p>
        </w:tc>
        <w:tc>
          <w:tcPr>
            <w:tcW w:type="dxa" w:w="2484"/>
          </w:tcPr>
          <w:p>
            <w:pPr>
              <w:spacing w:after="20"/>
            </w:pPr>
            <w:r>
              <w:rPr>
                <w:sz w:val="16"/>
              </w:rPr>
              <w:t>36,0 à 38,0</w:t>
            </w:r>
          </w:p>
        </w:tc>
        <w:tc>
          <w:tcPr>
            <w:tcW w:type="dxa" w:w="2484"/>
          </w:tcPr>
          <w:p>
            <w:pPr>
              <w:spacing w:after="20"/>
            </w:pPr>
            <w:r>
              <w:rPr>
                <w:sz w:val="16"/>
              </w:rPr>
              <w:t>35,0 à 35,9 ; 38,1 à 39,0</w:t>
            </w:r>
          </w:p>
        </w:tc>
        <w:tc>
          <w:tcPr>
            <w:tcW w:type="dxa" w:w="2484"/>
          </w:tcPr>
          <w:p>
            <w:pPr>
              <w:spacing w:after="20"/>
            </w:pPr>
            <w:r>
              <w:rPr>
                <w:sz w:val="16"/>
              </w:rPr>
              <w:t>≤ 34,9 ; ≥ 39,1</w:t>
            </w:r>
          </w:p>
        </w:tc>
      </w:tr>
      <w:tr>
        <w:tc>
          <w:tcPr>
            <w:tcW w:type="dxa" w:w="2484"/>
          </w:tcPr>
          <w:p>
            <w:pPr>
              <w:spacing w:after="20"/>
            </w:pPr>
            <w:r>
              <w:rPr>
                <w:sz w:val="16"/>
              </w:rPr>
              <w:t>PAS (mmHg)</w:t>
            </w:r>
          </w:p>
        </w:tc>
        <w:tc>
          <w:tcPr>
            <w:tcW w:type="dxa" w:w="2484"/>
          </w:tcPr>
          <w:p>
            <w:pPr>
              <w:spacing w:after="20"/>
            </w:pPr>
            <w:r>
              <w:rPr>
                <w:sz w:val="16"/>
              </w:rPr>
              <w:t>100 à 140</w:t>
            </w:r>
          </w:p>
        </w:tc>
        <w:tc>
          <w:tcPr>
            <w:tcW w:type="dxa" w:w="2484"/>
          </w:tcPr>
          <w:p>
            <w:pPr>
              <w:spacing w:after="20"/>
            </w:pPr>
            <w:r>
              <w:rPr>
                <w:sz w:val="16"/>
              </w:rPr>
              <w:t>90 à 99 ; 141 à 160</w:t>
            </w:r>
          </w:p>
        </w:tc>
        <w:tc>
          <w:tcPr>
            <w:tcW w:type="dxa" w:w="2484"/>
          </w:tcPr>
          <w:p>
            <w:pPr>
              <w:spacing w:after="20"/>
            </w:pPr>
            <w:r>
              <w:rPr>
                <w:sz w:val="16"/>
              </w:rPr>
              <w:t>≤ 89 ; ≥ 161</w:t>
            </w:r>
          </w:p>
        </w:tc>
      </w:tr>
      <w:tr>
        <w:tc>
          <w:tcPr>
            <w:tcW w:type="dxa" w:w="2484"/>
          </w:tcPr>
          <w:p>
            <w:pPr>
              <w:spacing w:after="20"/>
            </w:pPr>
            <w:r>
              <w:rPr>
                <w:sz w:val="16"/>
              </w:rPr>
              <w:t>PAD (mmHg)</w:t>
            </w:r>
          </w:p>
        </w:tc>
        <w:tc>
          <w:tcPr>
            <w:tcW w:type="dxa" w:w="2484"/>
          </w:tcPr>
          <w:p>
            <w:pPr>
              <w:spacing w:after="20"/>
            </w:pPr>
            <w:r>
              <w:rPr>
                <w:sz w:val="16"/>
              </w:rPr>
              <w:t>65 à 90</w:t>
            </w:r>
          </w:p>
        </w:tc>
        <w:tc>
          <w:tcPr>
            <w:tcW w:type="dxa" w:w="2484"/>
          </w:tcPr>
          <w:p>
            <w:pPr>
              <w:spacing w:after="20"/>
            </w:pPr>
            <w:r>
              <w:rPr>
                <w:sz w:val="16"/>
              </w:rPr>
              <w:t>60 à 64 ; 91 à 100</w:t>
            </w:r>
          </w:p>
        </w:tc>
        <w:tc>
          <w:tcPr>
            <w:tcW w:type="dxa" w:w="2484"/>
          </w:tcPr>
          <w:p>
            <w:pPr>
              <w:spacing w:after="20"/>
            </w:pPr>
            <w:r>
              <w:rPr>
                <w:sz w:val="16"/>
              </w:rPr>
              <w:t>≤ 59 ; ≥ 101</w:t>
            </w:r>
          </w:p>
        </w:tc>
      </w:tr>
    </w:tbl>
    <w:p>
      <w:pPr>
        <w:spacing w:after="100"/>
      </w:pPr>
      <w:r>
        <w:rPr>
          <w:b/>
          <w:color w:val="193D5D"/>
        </w:rPr>
        <w:t xml:space="preserve">TP2-CLS-01 — </w:t>
      </w:r>
      <w:r>
        <w:t>Toute mesure disponible et valide est classée dans exactement une catégorie : NORMAL, WARNING ou CRITICAL, selon le tableau. Pour la pression artérielle, PAS et PAD sont classées séparément.</w:t>
      </w:r>
    </w:p>
    <w:p>
      <w:pPr>
        <w:spacing w:after="100"/>
      </w:pPr>
      <w:r>
        <w:rPr>
          <w:b/>
          <w:color w:val="193D5D"/>
        </w:rPr>
        <w:t xml:space="preserve">TP2-CLS-02 — </w:t>
      </w:r>
      <w:r>
        <w:t>Une saisie manuelle n’est acceptée que si chaque valeur est numérique, finie et au format de précision défini ; FC doit être entre 0 et 300, SpO₂ entre 0 et 100, température entre 20,0 et 45,0 °C, PAS entre 0 et 300, PAD entre 0 et 250. Pour une saisie de pression artérielle, PAS doit être strictement supérieure à PAD. Une saisie rejetée ne change ni la mesure affichée, ni son override, ni ses alarmes.</w:t>
      </w:r>
    </w:p>
    <w:p>
      <w:pPr>
        <w:spacing w:after="100"/>
      </w:pPr>
      <w:r>
        <w:rPr>
          <w:b/>
          <w:color w:val="193D5D"/>
        </w:rPr>
        <w:t xml:space="preserve">TP2-CLS-03 — </w:t>
      </w:r>
      <w:r>
        <w:t>La sévérité globale du patient est la plus élevée de ses alarmes actives : CRITICAL &gt; WARNING &gt; INFORMATION &gt; NORMAL. L’acquittement ne modifie pas cette sévérité.</w:t>
      </w:r>
    </w:p>
    <w:p>
      <w:pPr>
        <w:pStyle w:val="Heading1"/>
      </w:pPr>
      <w:r>
        <w:t>3. Cycle de vie des alarmes</w:t>
      </w:r>
    </w:p>
    <w:p>
      <w:r>
        <w:t>Une condition d’alarme est définie par un couple patient + composante (FC, SpO₂, température, PAS ou PAD). Dans le périmètre du TP2, les valeurs indisponibles ne sont pas injectées ; seules les valeurs valides et disponibles participent au moteur d’alarmes.</w:t>
      </w:r>
    </w:p>
    <w:p>
      <w:pPr>
        <w:spacing w:after="100"/>
      </w:pPr>
      <w:r>
        <w:rPr>
          <w:b/>
          <w:color w:val="193D5D"/>
        </w:rPr>
        <w:t xml:space="preserve">TP2-ALM-01 — </w:t>
      </w:r>
      <w:r>
        <w:t>Au passage d’une composante de NORMAL à WARNING ou CRITICAL, le système crée immédiatement une alarme ACTIVE, NON ACQUITTÉE, de la priorité correspondante. Une composante ne possède jamais plus d’une alarme active simultanément.</w:t>
      </w:r>
    </w:p>
    <w:p>
      <w:pPr>
        <w:spacing w:after="100"/>
      </w:pPr>
      <w:r>
        <w:rPr>
          <w:b/>
          <w:color w:val="193D5D"/>
        </w:rPr>
        <w:t xml:space="preserve">TP2-ALM-02 — </w:t>
      </w:r>
      <w:r>
        <w:t>Si la composante reste anormale sans changer de priorité, l’alarme active existante est conservée sans doublon, y compris à chaque nouvelle mesure.</w:t>
      </w:r>
    </w:p>
    <w:p>
      <w:pPr>
        <w:spacing w:after="100"/>
      </w:pPr>
      <w:r>
        <w:rPr>
          <w:b/>
          <w:color w:val="193D5D"/>
        </w:rPr>
        <w:t xml:space="preserve">TP2-ALM-03 — </w:t>
      </w:r>
      <w:r>
        <w:t>Si une composante anormale change de priorité WARNING ↔ CRITICAL, la même alarme reste active, sa priorité est actualisée et son état d’acquittement revient à NON ACQUITTÉE. La date de création reste inchangée.</w:t>
      </w:r>
    </w:p>
    <w:p>
      <w:pPr>
        <w:spacing w:after="100"/>
      </w:pPr>
      <w:r>
        <w:rPr>
          <w:b/>
          <w:color w:val="193D5D"/>
        </w:rPr>
        <w:t xml:space="preserve">TP2-ALM-04 — </w:t>
      </w:r>
      <w:r>
        <w:t>Un opérateur peut acquitter une alarme ACTIVE et NON ACQUITTÉE. Elle devient ACTIVE et ACQUITTÉE, reste visible dans la liste des alarmes actives et conserve sa priorité. Un nouvel acquittement d’une alarme déjà acquittée ne modifie pas son état.</w:t>
      </w:r>
    </w:p>
    <w:p>
      <w:pPr>
        <w:spacing w:after="100"/>
      </w:pPr>
      <w:r>
        <w:rPr>
          <w:b/>
          <w:color w:val="193D5D"/>
        </w:rPr>
        <w:t xml:space="preserve">TP2-ALM-05 — </w:t>
      </w:r>
      <w:r>
        <w:t>Au retour de la composante à NORMAL, l’alarme active est résolue immédiatement, retirée de la liste active et ajoutée à l’historique avec sa date de résolution. Elle ne peut plus être acquittée. Une nouvelle anomalie ultérieure crée une nouvelle alarme avec un nouvel identifiant.</w:t>
      </w:r>
    </w:p>
    <w:p>
      <w:pPr>
        <w:pStyle w:val="Heading1"/>
      </w:pPr>
      <w:r>
        <w:t>4. Modification manuelle des mesures</w:t>
      </w:r>
    </w:p>
    <w:p>
      <w:pPr>
        <w:spacing w:after="100"/>
      </w:pPr>
      <w:r>
        <w:rPr>
          <w:b/>
          <w:color w:val="193D5D"/>
        </w:rPr>
        <w:t xml:space="preserve">TP2-MAN-01 — </w:t>
      </w:r>
      <w:r>
        <w:t>L’opérateur peut imposer une valeur valide à une composante d’un patient. La valeur remplace immédiatement la valeur affichée, active un indicateur « Manuel » et déclenche une nouvelle classification ainsi que la mise à jour des alarmes. PAS et PAD sont saisies et validées ensemble, puis imposées ensemble.</w:t>
      </w:r>
    </w:p>
    <w:p>
      <w:pPr>
        <w:spacing w:after="100"/>
      </w:pPr>
      <w:r>
        <w:rPr>
          <w:b/>
          <w:color w:val="193D5D"/>
        </w:rPr>
        <w:t xml:space="preserve">TP2-MAN-02 — </w:t>
      </w:r>
      <w:r>
        <w:t>Tant qu’une composante est en mode Manuel, les nouvelles valeurs automatiques du scénario ne remplacent pas sa valeur affichée. L’override persiste jusqu’à libération explicite, y compris après changement de scénario, pause ou reprise.</w:t>
      </w:r>
    </w:p>
    <w:p>
      <w:pPr>
        <w:spacing w:after="100"/>
      </w:pPr>
      <w:r>
        <w:rPr>
          <w:b/>
          <w:color w:val="193D5D"/>
        </w:rPr>
        <w:t xml:space="preserve">TP2-MAN-03 — </w:t>
      </w:r>
      <w:r>
        <w:t>Lors de la libération d’un override, l’indicateur « Manuel » disparaît et la composante prend immédiatement la dernière valeur calculée par le scénario pour cet instant de simulation. Cette valeur est classée et les alarmes sont mises à jour immédiatement. La libération de la pression artérielle porte simultanément sur PAS et PAD.</w:t>
      </w:r>
    </w:p>
    <w:p>
      <w:pPr>
        <w:spacing w:after="100"/>
      </w:pPr>
      <w:r>
        <w:rPr>
          <w:b/>
          <w:color w:val="193D5D"/>
        </w:rPr>
        <w:t xml:space="preserve">TP2-MAN-04 — </w:t>
      </w:r>
      <w:r>
        <w:t>La pause arrête les mises à jour automatiques et l’horloge virtuelle ; une saisie manuelle ou une libération reste autorisée pendant la pause et produit immédiatement les effets décrits ci-dessus.</w:t>
      </w:r>
    </w:p>
    <w:p>
      <w:pPr>
        <w:pStyle w:val="Heading1"/>
      </w:pPr>
      <w:r>
        <w:t>5. Conditions d’exécution et observabilité</w:t>
      </w:r>
    </w:p>
    <w:p>
      <w:pPr>
        <w:spacing w:after="100"/>
      </w:pPr>
      <w:r>
        <w:rPr>
          <w:b/>
          <w:color w:val="193D5D"/>
        </w:rPr>
        <w:t xml:space="preserve">TP2-OBS-01 — </w:t>
      </w:r>
      <w:r>
        <w:t>Chaque alarme expose au minimum : identifiant unique, patient, composante, priorité, état ACTIVE/RÉSOLUE, état d’acquittement, instant virtuel de création et, si résolue, instant virtuel de résolution. Les transitions sont visibles sans rechargement de page.</w:t>
      </w:r>
    </w:p>
    <w:p>
      <w:pPr>
        <w:spacing w:after="100"/>
      </w:pPr>
      <w:r>
        <w:rPr>
          <w:b/>
          <w:color w:val="193D5D"/>
        </w:rPr>
        <w:t xml:space="preserve">TP2-OBS-02 — </w:t>
      </w:r>
      <w:r>
        <w:t>Les actions manuelles, changements de priorité, acquittements et résolutions sont enregistrés dans un journal en mémoire, dans l’ordre où ils se produisent. Une action rejetée est signalée à l’opérateur avec une raison explicite et ne crée aucun événement métier.</w:t>
      </w:r>
    </w:p>
    <w:p>
      <w:pPr>
        <w:spacing w:after="100"/>
      </w:pPr>
      <w:r>
        <w:rPr>
          <w:b/>
          <w:color w:val="193D5D"/>
        </w:rPr>
        <w:t xml:space="preserve">TP2-OBS-03 — </w:t>
      </w:r>
      <w:r>
        <w:t>Au rechargement de la page, la session de simulation redémarre : overrides, alarmes et journal sont vidés. Les huit patients prédéfinis restent présents.</w:t>
      </w:r>
    </w:p>
    <w:p>
      <w:pPr>
        <w:pStyle w:val="Heading1"/>
      </w:pPr>
      <w:r>
        <w:t>6. Conventions de test</w:t>
      </w:r>
    </w:p>
    <w:p>
      <w:r>
        <w:t>Pour un cas de test, le banc peut fixer directement les valeurs automatiques d’une composante et faire avancer le simulateur d’un tick. Un tick applique la valeur automatique, recalcule la classification et traite les alarmes avant de rendre le résultat visible. Les actions manuelles et les acquittements sont synchrones. Un test commence avec une session neuve et toutes les composantes normales, sauf précondition contraire explicite.</w:t>
      </w:r>
    </w:p>
    <w:p>
      <w:r>
        <w:t>Le présent document est la source des résultats attendus. Les stagiaires devront couvrir notamment les classes d’équivalence, les valeurs limites, les transitions WARNING/CRITICAL/NORMAL, l’acquittement, la persistance et la libération d’overrides, les saisies rejetées et l’indépendance entre patients.</w:t>
      </w:r>
    </w:p>
    <w:sectPr w:rsidR="00FC693F" w:rsidRPr="0006063C" w:rsidSect="00034616">
      <w:footerReference w:type="default" r:id="rId9"/>
      <w:pgSz w:w="12240" w:h="15840"/>
      <w:pgMar w:top="979"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MediMonitor — TP2 | Spécification validée | Usage pédagogique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93D5D"/>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93D5D"/>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93D5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