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1 Examples and Activity Cards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GIS Foundations: Spatial Thinking, Data &amp; Maps</w:t>
      </w:r>
    </w:p>
    <w:p>
      <w:pPr>
        <w:pStyle w:val="Heading1"/>
      </w:pPr>
      <w:r>
        <w:t>Activity 1: Spatial representation sort</w:t>
      </w:r>
    </w:p>
    <w:p>
      <w:r>
        <w:t>Classify a bus stop, daily temperature, a stream network, a wildfire perimeter and a commuting trip as objects, fields, networks, events, places or trajectories. Defend ambiguous choices.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2: CRS decision</w:t>
      </w:r>
    </w:p>
    <w:p>
      <w:r>
        <w:t>Choose a coordinate system for measuring campus building areas, mapping a continental flow pattern and publishing a global reference map. Explain the distortion tradeoff.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3: Map critique</w:t>
      </w:r>
    </w:p>
    <w:p>
      <w:r>
        <w:t>Compare two choropleth classifications of the same rates. Identify how normalization, class breaks and color choices alter the message.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4: Campus workflow</w:t>
      </w:r>
    </w:p>
    <w:p>
      <w:r>
        <w:t>Design the data, representation, operation and output needed to identify buildings within a five-minute walk of an accessible entrance.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