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2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Core GIS Data Modeling, Quality &amp; Cartographic Reasoning</w:t>
      </w:r>
    </w:p>
    <w:p>
      <w:pPr>
        <w:pStyle w:val="Heading1"/>
      </w:pPr>
      <w:r>
        <w:t>Activity 1: Model the phenomenon</w:t>
      </w:r>
    </w:p>
    <w:p>
      <w:r>
        <w:t>Represent stormwater assets as vector, raster and relational structures; select the representation that best supports inspection and network tracing.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Quality forensics</w:t>
      </w:r>
    </w:p>
    <w:p>
      <w:r>
        <w:t>Evaluate a parcel layer with missing metadata, mixed coordinate systems, slivers and outdated attributes for a tax-impact analysis.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Topology clinic</w:t>
      </w:r>
    </w:p>
    <w:p>
      <w:r>
        <w:t>Diagnose gaps, overlaps, dangles and incorrect cardinality in a utility database.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Scale redesign</w:t>
      </w:r>
    </w:p>
    <w:p>
      <w:r>
        <w:t>Redesign the same transportation layer for a campus map and a statewide map; document generalization decisions.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