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Calibri" w:hAnsi="Calibri"/>
          <w:b/>
          <w:color w:val="7B1113"/>
          <w:sz w:val="44"/>
        </w:rPr>
        <w:t>Mobile App Current Status Report</w:t>
      </w:r>
    </w:p>
    <w:p>
      <w:pPr>
        <w:spacing w:after="80"/>
        <w:jc w:val="center"/>
      </w:pPr>
      <w:r>
        <w:rPr>
          <w:rFonts w:ascii="Calibri" w:hAnsi="Calibri"/>
          <w:color w:val="69758C"/>
          <w:sz w:val="22"/>
        </w:rPr>
        <w:t>Disaster Casualty Management System - Progressive Web App and Triage Workflow</w:t>
      </w:r>
    </w:p>
    <w:p>
      <w:pPr>
        <w:spacing w:after="320"/>
        <w:jc w:val="center"/>
      </w:pPr>
      <w:r>
        <w:rPr>
          <w:rFonts w:ascii="Calibri" w:hAnsi="Calibri"/>
          <w:color w:val="69758C"/>
          <w:sz w:val="20"/>
        </w:rPr>
        <w:t>Prepared for project review and client discussion</w:t>
      </w:r>
    </w:p>
    <w:tbl>
      <w:tblPr>
        <w:tblW w:type="dxa" w:w="9360"/>
        <w:jc w:val="left"/>
        <w:tblLook w:firstColumn="1" w:firstRow="1" w:lastColumn="0" w:lastRow="0" w:noHBand="0" w:noVBand="1" w:val="04A0"/>
        <w:tblLayout w:type="fixed"/>
        <w:tblCellMar>
          <w:top w:w="80" w:type="dxa"/>
          <w:start w:w="120" w:type="dxa"/>
          <w:bottom w:w="80" w:type="dxa"/>
          <w:end w:w="120" w:type="dxa"/>
        </w:tblCellMar>
      </w:tblPr>
      <w:tblGrid>
        <w:gridCol w:w="4680"/>
        <w:gridCol w:w="4680"/>
      </w:tblGrid>
      <w:tr>
        <w:tc>
          <w:tcPr>
            <w:tcW w:type="dxa" w:w="2088"/>
            <w:vAlign w:val="center"/>
            <w:shd w:fill="7B1113"/>
            <w:tcBorders>
              <w:top w:val="single" w:sz="6" w:space="0" w:color="DCE3EE"/>
              <w:left w:val="single" w:sz="6" w:space="0" w:color="DCE3EE"/>
              <w:bottom w:val="single" w:sz="6" w:space="0" w:color="DCE3EE"/>
              <w:right w:val="single" w:sz="6" w:space="0" w:color="DCE3EE"/>
            </w:tcBorders>
          </w:tcPr>
          <w:p>
            <w:pPr>
              <w:spacing w:after="0" w:line="252" w:lineRule="auto"/>
            </w:pPr>
            <w:r/>
            <w:r>
              <w:rPr>
                <w:rFonts w:ascii="Calibri" w:hAnsi="Calibri"/>
                <w:b/>
                <w:color w:val="FFFFFF"/>
                <w:sz w:val="19"/>
              </w:rPr>
              <w:t>Area</w:t>
            </w:r>
          </w:p>
        </w:tc>
        <w:tc>
          <w:tcPr>
            <w:tcW w:type="dxa" w:w="7272"/>
            <w:vAlign w:val="center"/>
            <w:shd w:fill="7B1113"/>
            <w:tcBorders>
              <w:top w:val="single" w:sz="6" w:space="0" w:color="DCE3EE"/>
              <w:left w:val="single" w:sz="6" w:space="0" w:color="DCE3EE"/>
              <w:bottom w:val="single" w:sz="6" w:space="0" w:color="DCE3EE"/>
              <w:right w:val="single" w:sz="6" w:space="0" w:color="DCE3EE"/>
            </w:tcBorders>
          </w:tcPr>
          <w:p>
            <w:pPr>
              <w:spacing w:after="0" w:line="252" w:lineRule="auto"/>
            </w:pPr>
            <w:r/>
            <w:r>
              <w:rPr>
                <w:rFonts w:ascii="Calibri" w:hAnsi="Calibri"/>
                <w:b/>
                <w:color w:val="FFFFFF"/>
                <w:sz w:val="19"/>
              </w:rPr>
              <w:t>Current Status</w:t>
            </w:r>
          </w:p>
        </w:tc>
      </w:tr>
      <w:tr>
        <w:tc>
          <w:tcPr>
            <w:tcW w:type="dxa" w:w="2088"/>
            <w:vAlign w:val="top"/>
            <w:tcBorders>
              <w:top w:val="single" w:sz="6" w:space="0" w:color="DCE3EE"/>
              <w:left w:val="single" w:sz="6" w:space="0" w:color="DCE3EE"/>
              <w:bottom w:val="single" w:sz="6" w:space="0" w:color="DCE3EE"/>
              <w:right w:val="single" w:sz="6" w:space="0" w:color="DCE3EE"/>
            </w:tcBorders>
          </w:tcPr>
          <w:p>
            <w:pPr>
              <w:spacing w:after="0" w:line="252" w:lineRule="auto"/>
            </w:pPr>
            <w:r/>
            <w:r>
              <w:rPr>
                <w:rFonts w:ascii="Calibri" w:hAnsi="Calibri"/>
                <w:b w:val="0"/>
                <w:color w:val="17213A"/>
                <w:sz w:val="18"/>
              </w:rPr>
              <w:t>PWA readiness</w:t>
            </w:r>
          </w:p>
        </w:tc>
        <w:tc>
          <w:tcPr>
            <w:tcW w:type="dxa" w:w="7272"/>
            <w:vAlign w:val="top"/>
            <w:tcBorders>
              <w:top w:val="single" w:sz="6" w:space="0" w:color="DCE3EE"/>
              <w:left w:val="single" w:sz="6" w:space="0" w:color="DCE3EE"/>
              <w:bottom w:val="single" w:sz="6" w:space="0" w:color="DCE3EE"/>
              <w:right w:val="single" w:sz="6" w:space="0" w:color="DCE3EE"/>
            </w:tcBorders>
          </w:tcPr>
          <w:p>
            <w:pPr>
              <w:spacing w:after="0" w:line="252" w:lineRule="auto"/>
            </w:pPr>
            <w:r/>
            <w:r>
              <w:rPr>
                <w:rFonts w:ascii="Calibri" w:hAnsi="Calibri"/>
                <w:b w:val="0"/>
                <w:color w:val="17213A"/>
                <w:sz w:val="18"/>
              </w:rPr>
              <w:t>Web export, manifest, service worker, and installable browser experience are implemented. The app can be built to a static dist folder for hosting.</w:t>
            </w:r>
          </w:p>
        </w:tc>
      </w:tr>
      <w:tr>
        <w:tc>
          <w:tcPr>
            <w:tcW w:type="dxa" w:w="2088"/>
            <w:vAlign w:val="top"/>
            <w:tcBorders>
              <w:top w:val="single" w:sz="6" w:space="0" w:color="DCE3EE"/>
              <w:left w:val="single" w:sz="6" w:space="0" w:color="DCE3EE"/>
              <w:bottom w:val="single" w:sz="6" w:space="0" w:color="DCE3EE"/>
              <w:right w:val="single" w:sz="6" w:space="0" w:color="DCE3EE"/>
            </w:tcBorders>
          </w:tcPr>
          <w:p>
            <w:pPr>
              <w:spacing w:after="0" w:line="252" w:lineRule="auto"/>
            </w:pPr>
            <w:r/>
            <w:r>
              <w:rPr>
                <w:rFonts w:ascii="Calibri" w:hAnsi="Calibri"/>
                <w:b w:val="0"/>
                <w:color w:val="17213A"/>
                <w:sz w:val="18"/>
              </w:rPr>
              <w:t>Casualty workflow</w:t>
            </w:r>
          </w:p>
        </w:tc>
        <w:tc>
          <w:tcPr>
            <w:tcW w:type="dxa" w:w="7272"/>
            <w:vAlign w:val="top"/>
            <w:tcBorders>
              <w:top w:val="single" w:sz="6" w:space="0" w:color="DCE3EE"/>
              <w:left w:val="single" w:sz="6" w:space="0" w:color="DCE3EE"/>
              <w:bottom w:val="single" w:sz="6" w:space="0" w:color="DCE3EE"/>
              <w:right w:val="single" w:sz="6" w:space="0" w:color="DCE3EE"/>
            </w:tcBorders>
          </w:tcPr>
          <w:p>
            <w:pPr>
              <w:spacing w:after="0" w:line="252" w:lineRule="auto"/>
            </w:pPr>
            <w:r/>
            <w:r>
              <w:rPr>
                <w:rFonts w:ascii="Calibri" w:hAnsi="Calibri"/>
                <w:b w:val="0"/>
                <w:color w:val="17213A"/>
                <w:sz w:val="18"/>
              </w:rPr>
              <w:t>The Add Casualty form is organized into an 8-step guided workflow covering personal details, incident selection, triage, status, transport, hospital care, and remarks.</w:t>
            </w:r>
          </w:p>
        </w:tc>
      </w:tr>
      <w:tr>
        <w:tc>
          <w:tcPr>
            <w:tcW w:type="dxa" w:w="2088"/>
            <w:vAlign w:val="top"/>
            <w:tcBorders>
              <w:top w:val="single" w:sz="6" w:space="0" w:color="DCE3EE"/>
              <w:left w:val="single" w:sz="6" w:space="0" w:color="DCE3EE"/>
              <w:bottom w:val="single" w:sz="6" w:space="0" w:color="DCE3EE"/>
              <w:right w:val="single" w:sz="6" w:space="0" w:color="DCE3EE"/>
            </w:tcBorders>
          </w:tcPr>
          <w:p>
            <w:pPr>
              <w:spacing w:after="0" w:line="252" w:lineRule="auto"/>
            </w:pPr>
            <w:r/>
            <w:r>
              <w:rPr>
                <w:rFonts w:ascii="Calibri" w:hAnsi="Calibri"/>
                <w:b w:val="0"/>
                <w:color w:val="17213A"/>
                <w:sz w:val="18"/>
              </w:rPr>
              <w:t>Triage logic</w:t>
            </w:r>
          </w:p>
        </w:tc>
        <w:tc>
          <w:tcPr>
            <w:tcW w:type="dxa" w:w="7272"/>
            <w:vAlign w:val="top"/>
            <w:tcBorders>
              <w:top w:val="single" w:sz="6" w:space="0" w:color="DCE3EE"/>
              <w:left w:val="single" w:sz="6" w:space="0" w:color="DCE3EE"/>
              <w:bottom w:val="single" w:sz="6" w:space="0" w:color="DCE3EE"/>
              <w:right w:val="single" w:sz="6" w:space="0" w:color="DCE3EE"/>
            </w:tcBorders>
          </w:tcPr>
          <w:p>
            <w:pPr>
              <w:spacing w:after="0" w:line="252" w:lineRule="auto"/>
            </w:pPr>
            <w:r/>
            <w:r>
              <w:rPr>
                <w:rFonts w:ascii="Calibri" w:hAnsi="Calibri"/>
                <w:b w:val="0"/>
                <w:color w:val="17213A"/>
                <w:sz w:val="18"/>
              </w:rPr>
              <w:t>The visible triage category input has been removed. The system now derives triage results from assessment answers and backend algorithm logic.</w:t>
            </w:r>
          </w:p>
        </w:tc>
      </w:tr>
      <w:tr>
        <w:tc>
          <w:tcPr>
            <w:tcW w:type="dxa" w:w="2088"/>
            <w:vAlign w:val="top"/>
            <w:tcBorders>
              <w:top w:val="single" w:sz="6" w:space="0" w:color="DCE3EE"/>
              <w:left w:val="single" w:sz="6" w:space="0" w:color="DCE3EE"/>
              <w:bottom w:val="single" w:sz="6" w:space="0" w:color="DCE3EE"/>
              <w:right w:val="single" w:sz="6" w:space="0" w:color="DCE3EE"/>
            </w:tcBorders>
          </w:tcPr>
          <w:p>
            <w:pPr>
              <w:spacing w:after="0" w:line="252" w:lineRule="auto"/>
            </w:pPr>
            <w:r/>
            <w:r>
              <w:rPr>
                <w:rFonts w:ascii="Calibri" w:hAnsi="Calibri"/>
                <w:b w:val="0"/>
                <w:color w:val="17213A"/>
                <w:sz w:val="18"/>
              </w:rPr>
              <w:t>Role filtering</w:t>
            </w:r>
          </w:p>
        </w:tc>
        <w:tc>
          <w:tcPr>
            <w:tcW w:type="dxa" w:w="7272"/>
            <w:vAlign w:val="top"/>
            <w:tcBorders>
              <w:top w:val="single" w:sz="6" w:space="0" w:color="DCE3EE"/>
              <w:left w:val="single" w:sz="6" w:space="0" w:color="DCE3EE"/>
              <w:bottom w:val="single" w:sz="6" w:space="0" w:color="DCE3EE"/>
              <w:right w:val="single" w:sz="6" w:space="0" w:color="DCE3EE"/>
            </w:tcBorders>
          </w:tcPr>
          <w:p>
            <w:pPr>
              <w:spacing w:after="0" w:line="252" w:lineRule="auto"/>
            </w:pPr>
            <w:r/>
            <w:r>
              <w:rPr>
                <w:rFonts w:ascii="Calibri" w:hAnsi="Calibri"/>
                <w:b w:val="0"/>
                <w:color w:val="17213A"/>
                <w:sz w:val="18"/>
              </w:rPr>
              <w:t>Role-based triage stage visibility is implemented using the account role. Location-aware triage assignment is not yet implemented.</w:t>
            </w:r>
          </w:p>
        </w:tc>
      </w:tr>
    </w:tbl>
    <w:p>
      <w:pPr>
        <w:spacing w:after="80"/>
      </w:pPr>
    </w:p>
    <w:p>
      <w:pPr>
        <w:pStyle w:val="Heading1"/>
        <w:spacing w:before="320" w:after="160"/>
      </w:pPr>
      <w:r>
        <w:rPr>
          <w:rFonts w:ascii="Calibri" w:hAnsi="Calibri"/>
          <w:b/>
          <w:color w:val="7B1113"/>
          <w:sz w:val="32"/>
        </w:rPr>
        <w:t>1. Executive Summary</w:t>
      </w:r>
    </w:p>
    <w:p>
      <w:pPr>
        <w:spacing w:after="120" w:line="264" w:lineRule="auto"/>
      </w:pPr>
      <w:r>
        <w:rPr>
          <w:rFonts w:ascii="Calibri" w:hAnsi="Calibri"/>
          <w:b w:val="0"/>
          <w:color w:val="17213A"/>
          <w:sz w:val="22"/>
        </w:rPr>
        <w:t>The mobile application has progressed from a React Native mobile interface into a Progressive Web App capable of being exported, hosted, opened in a mobile browser, and installed to a device home screen. The current implementation focuses on field data capture, incident-first casualty logging, triage assessment, and role-sensitive triage stage visibility.</w:t>
      </w:r>
    </w:p>
    <w:p>
      <w:pPr>
        <w:spacing w:after="120" w:line="264" w:lineRule="auto"/>
      </w:pPr>
      <w:r>
        <w:rPr>
          <w:rFonts w:ascii="Calibri" w:hAnsi="Calibri"/>
          <w:b w:val="0"/>
          <w:color w:val="17213A"/>
          <w:sz w:val="22"/>
        </w:rPr>
        <w:t>The strongest current improvement is the separation between user-entered triage observations and system-calculated triage results. This supports less biased data collection because overtriage and undertriage summaries are no longer surfaced inside the normal data entry flow.</w:t>
      </w:r>
    </w:p>
    <w:p>
      <w:pPr>
        <w:pStyle w:val="Heading1"/>
        <w:spacing w:before="320" w:after="160"/>
      </w:pPr>
      <w:r>
        <w:rPr>
          <w:rFonts w:ascii="Calibri" w:hAnsi="Calibri"/>
          <w:b/>
          <w:color w:val="7B1113"/>
          <w:sz w:val="32"/>
        </w:rPr>
        <w:t>2. Major Features Implemented</w:t>
      </w:r>
    </w:p>
    <w:p>
      <w:pPr>
        <w:pStyle w:val="Heading2"/>
        <w:spacing w:before="240" w:after="120"/>
      </w:pPr>
      <w:r>
        <w:rPr>
          <w:rFonts w:ascii="Calibri" w:hAnsi="Calibri"/>
          <w:b/>
          <w:color w:val="7B1113"/>
          <w:sz w:val="26"/>
        </w:rPr>
        <w:t>PWA and Deployment Readiness</w:t>
      </w:r>
    </w:p>
    <w:p>
      <w:pPr>
        <w:pStyle w:val="ListBullet"/>
        <w:spacing w:after="120" w:line="280" w:lineRule="auto"/>
        <w:ind w:left="720" w:hanging="360"/>
      </w:pPr>
      <w:r>
        <w:rPr>
          <w:rFonts w:ascii="Calibri" w:hAnsi="Calibri"/>
          <w:b w:val="0"/>
          <w:color w:val="17213A"/>
          <w:sz w:val="21"/>
        </w:rPr>
        <w:t>The project supports web export through Expo, generating a static dist folder that can be served by a static web server or hosted publicly.</w:t>
      </w:r>
    </w:p>
    <w:p>
      <w:pPr>
        <w:pStyle w:val="ListBullet"/>
        <w:spacing w:after="120" w:line="280" w:lineRule="auto"/>
        <w:ind w:left="720" w:hanging="360"/>
      </w:pPr>
      <w:r>
        <w:rPr>
          <w:rFonts w:ascii="Calibri" w:hAnsi="Calibri"/>
          <w:b w:val="0"/>
          <w:color w:val="17213A"/>
          <w:sz w:val="21"/>
        </w:rPr>
        <w:t>PWA metadata is implemented through a web manifest, service worker, and browser metadata so the app can be installed from supported mobile browsers.</w:t>
      </w:r>
    </w:p>
    <w:p>
      <w:pPr>
        <w:pStyle w:val="ListBullet"/>
        <w:spacing w:after="120" w:line="280" w:lineRule="auto"/>
        <w:ind w:left="720" w:hanging="360"/>
      </w:pPr>
      <w:r>
        <w:rPr>
          <w:rFonts w:ascii="Calibri" w:hAnsi="Calibri"/>
          <w:b w:val="0"/>
          <w:color w:val="17213A"/>
          <w:sz w:val="21"/>
        </w:rPr>
        <w:t>The app now supports a browser-based mobile workflow, which is useful for testing across devices without requiring app store distribution.</w:t>
      </w:r>
    </w:p>
    <w:p>
      <w:pPr>
        <w:pStyle w:val="Heading2"/>
        <w:spacing w:before="240" w:after="120"/>
      </w:pPr>
      <w:r>
        <w:rPr>
          <w:rFonts w:ascii="Calibri" w:hAnsi="Calibri"/>
          <w:b/>
          <w:color w:val="7B1113"/>
          <w:sz w:val="26"/>
        </w:rPr>
        <w:t>Branding and Landing Page</w:t>
      </w:r>
    </w:p>
    <w:p>
      <w:pPr>
        <w:pStyle w:val="ListBullet"/>
        <w:spacing w:after="120" w:line="280" w:lineRule="auto"/>
        <w:ind w:left="720" w:hanging="360"/>
      </w:pPr>
      <w:r>
        <w:rPr>
          <w:rFonts w:ascii="Calibri" w:hAnsi="Calibri"/>
          <w:b w:val="0"/>
          <w:color w:val="17213A"/>
          <w:sz w:val="21"/>
        </w:rPr>
        <w:t>The landing page includes institutional logos for UP, UPM DRRMH, DOST, and DOST PCHRD.</w:t>
      </w:r>
    </w:p>
    <w:p>
      <w:pPr>
        <w:pStyle w:val="ListBullet"/>
        <w:spacing w:after="120" w:line="280" w:lineRule="auto"/>
        <w:ind w:left="720" w:hanging="360"/>
      </w:pPr>
      <w:r>
        <w:rPr>
          <w:rFonts w:ascii="Calibri" w:hAnsi="Calibri"/>
          <w:b w:val="0"/>
          <w:color w:val="17213A"/>
          <w:sz w:val="21"/>
        </w:rPr>
        <w:t>The landing screen preserves the DCMS emergency response identity while introducing the additional partner logos at the top of the page.</w:t>
      </w:r>
    </w:p>
    <w:p>
      <w:pPr>
        <w:pStyle w:val="Heading2"/>
        <w:spacing w:before="240" w:after="120"/>
      </w:pPr>
      <w:r>
        <w:rPr>
          <w:rFonts w:ascii="Calibri" w:hAnsi="Calibri"/>
          <w:b/>
          <w:color w:val="7B1113"/>
          <w:sz w:val="26"/>
        </w:rPr>
        <w:t>Add Casualty Workflow</w:t>
      </w:r>
    </w:p>
    <w:p>
      <w:pPr>
        <w:pStyle w:val="ListBullet"/>
        <w:spacing w:after="120" w:line="280" w:lineRule="auto"/>
        <w:ind w:left="720" w:hanging="360"/>
      </w:pPr>
      <w:r>
        <w:rPr>
          <w:rFonts w:ascii="Calibri" w:hAnsi="Calibri"/>
          <w:b w:val="0"/>
          <w:color w:val="17213A"/>
          <w:sz w:val="21"/>
        </w:rPr>
        <w:t>The Add Casualty wizard now uses eight steps: Personal, Address, Incident, Triage, Status, Transport, Hospital Care, and Remarks.</w:t>
      </w:r>
    </w:p>
    <w:p>
      <w:pPr>
        <w:pStyle w:val="ListBullet"/>
        <w:spacing w:after="120" w:line="280" w:lineRule="auto"/>
        <w:ind w:left="720" w:hanging="360"/>
      </w:pPr>
      <w:r>
        <w:rPr>
          <w:rFonts w:ascii="Calibri" w:hAnsi="Calibri"/>
          <w:b w:val="0"/>
          <w:color w:val="17213A"/>
          <w:sz w:val="21"/>
        </w:rPr>
        <w:t>The workflow separates onsite data capture, transport data, and hospital care data more clearly than the earlier single flow.</w:t>
      </w:r>
    </w:p>
    <w:p>
      <w:pPr>
        <w:pStyle w:val="ListBullet"/>
        <w:spacing w:after="120" w:line="280" w:lineRule="auto"/>
        <w:ind w:left="720" w:hanging="360"/>
      </w:pPr>
      <w:r>
        <w:rPr>
          <w:rFonts w:ascii="Calibri" w:hAnsi="Calibri"/>
          <w:b w:val="0"/>
          <w:color w:val="17213A"/>
          <w:sz w:val="21"/>
        </w:rPr>
        <w:t>The selected incident context is carried into Add Casualty so the user does not repeatedly encode the same disaster information for each casualty.</w:t>
      </w:r>
    </w:p>
    <w:p>
      <w:pPr>
        <w:pStyle w:val="Heading2"/>
        <w:spacing w:before="240" w:after="120"/>
      </w:pPr>
      <w:r>
        <w:rPr>
          <w:rFonts w:ascii="Calibri" w:hAnsi="Calibri"/>
          <w:b/>
          <w:color w:val="7B1113"/>
          <w:sz w:val="26"/>
        </w:rPr>
        <w:t>Reference Data and Quick Create</w:t>
      </w:r>
    </w:p>
    <w:p>
      <w:pPr>
        <w:pStyle w:val="ListBullet"/>
        <w:spacing w:after="120" w:line="280" w:lineRule="auto"/>
        <w:ind w:left="720" w:hanging="360"/>
      </w:pPr>
      <w:r>
        <w:rPr>
          <w:rFonts w:ascii="Calibri" w:hAnsi="Calibri"/>
          <w:b w:val="0"/>
          <w:color w:val="17213A"/>
          <w:sz w:val="21"/>
        </w:rPr>
        <w:t>Incident quick-create, evacuation center quick-create, and healthcare facility quick-create are collapsible to reduce screen clutter.</w:t>
      </w:r>
    </w:p>
    <w:p>
      <w:pPr>
        <w:pStyle w:val="ListBullet"/>
        <w:spacing w:after="120" w:line="280" w:lineRule="auto"/>
        <w:ind w:left="720" w:hanging="360"/>
      </w:pPr>
      <w:r>
        <w:rPr>
          <w:rFonts w:ascii="Calibri" w:hAnsi="Calibri"/>
          <w:b w:val="0"/>
          <w:color w:val="17213A"/>
          <w:sz w:val="21"/>
        </w:rPr>
        <w:t>Hazard type is now selected through a searchable drop-down style picker instead of a free text field, reducing spelling variation and improving reporting consistency.</w:t>
      </w:r>
    </w:p>
    <w:p>
      <w:pPr>
        <w:pStyle w:val="ListBullet"/>
        <w:spacing w:after="120" w:line="280" w:lineRule="auto"/>
        <w:ind w:left="720" w:hanging="360"/>
      </w:pPr>
      <w:r>
        <w:rPr>
          <w:rFonts w:ascii="Calibri" w:hAnsi="Calibri"/>
          <w:b w:val="0"/>
          <w:color w:val="17213A"/>
          <w:sz w:val="21"/>
        </w:rPr>
        <w:t>The hazard list has been expanded to reflect the matrix categories, including geologic, meteorological/hydrological, societal, technological, and biological hazards.</w:t>
      </w:r>
    </w:p>
    <w:p>
      <w:pPr>
        <w:pStyle w:val="Heading1"/>
        <w:spacing w:before="320" w:after="160"/>
      </w:pPr>
      <w:r>
        <w:rPr>
          <w:rFonts w:ascii="Calibri" w:hAnsi="Calibri"/>
          <w:b/>
          <w:color w:val="7B1113"/>
          <w:sz w:val="32"/>
        </w:rPr>
        <w:t>3. Triage Implementation Status</w:t>
      </w:r>
    </w:p>
    <w:p>
      <w:pPr>
        <w:spacing w:after="120" w:line="264" w:lineRule="auto"/>
      </w:pPr>
      <w:r>
        <w:rPr>
          <w:rFonts w:ascii="Calibri" w:hAnsi="Calibri"/>
          <w:b w:val="0"/>
          <w:color w:val="17213A"/>
          <w:sz w:val="22"/>
        </w:rPr>
        <w:t>The triage section has been redesigned so the user first identifies the triage stage and triage system, then completes the system-specific assessment popup. The previous visible Triage Category field was removed to avoid depending only on user-selected categories.</w:t>
      </w:r>
    </w:p>
    <w:p>
      <w:pPr>
        <w:pStyle w:val="Heading2"/>
        <w:spacing w:before="240" w:after="120"/>
      </w:pPr>
      <w:r>
        <w:rPr>
          <w:rFonts w:ascii="Calibri" w:hAnsi="Calibri"/>
          <w:b/>
          <w:color w:val="7B1113"/>
          <w:sz w:val="26"/>
        </w:rPr>
        <w:t>Current Triage Data Flow</w:t>
      </w:r>
    </w:p>
    <w:p>
      <w:pPr>
        <w:pStyle w:val="ListBullet"/>
        <w:spacing w:after="120" w:line="280" w:lineRule="auto"/>
        <w:ind w:left="720" w:hanging="360"/>
      </w:pPr>
      <w:r>
        <w:rPr>
          <w:rFonts w:ascii="Calibri" w:hAnsi="Calibri"/>
          <w:b w:val="0"/>
          <w:color w:val="17213A"/>
          <w:sz w:val="21"/>
        </w:rPr>
        <w:t>The user selects the applicable triage stage based on their role and workflow context.</w:t>
      </w:r>
    </w:p>
    <w:p>
      <w:pPr>
        <w:pStyle w:val="ListBullet"/>
        <w:spacing w:after="120" w:line="280" w:lineRule="auto"/>
        <w:ind w:left="720" w:hanging="360"/>
      </w:pPr>
      <w:r>
        <w:rPr>
          <w:rFonts w:ascii="Calibri" w:hAnsi="Calibri"/>
          <w:b w:val="0"/>
          <w:color w:val="17213A"/>
          <w:sz w:val="21"/>
        </w:rPr>
        <w:t>The user selects a triage system, such as START, then opens the assessment popup.</w:t>
      </w:r>
    </w:p>
    <w:p>
      <w:pPr>
        <w:pStyle w:val="ListBullet"/>
        <w:spacing w:after="120" w:line="280" w:lineRule="auto"/>
        <w:ind w:left="720" w:hanging="360"/>
      </w:pPr>
      <w:r>
        <w:rPr>
          <w:rFonts w:ascii="Calibri" w:hAnsi="Calibri"/>
          <w:b w:val="0"/>
          <w:color w:val="17213A"/>
          <w:sz w:val="21"/>
        </w:rPr>
        <w:t>The assessment popup collects the variables needed by the algorithm.</w:t>
      </w:r>
    </w:p>
    <w:p>
      <w:pPr>
        <w:pStyle w:val="ListBullet"/>
        <w:spacing w:after="120" w:line="280" w:lineRule="auto"/>
        <w:ind w:left="720" w:hanging="360"/>
      </w:pPr>
      <w:r>
        <w:rPr>
          <w:rFonts w:ascii="Calibri" w:hAnsi="Calibri"/>
          <w:b w:val="0"/>
          <w:color w:val="17213A"/>
          <w:sz w:val="21"/>
        </w:rPr>
        <w:t>The backend calculates the triage category based on the submitted assessment answers.</w:t>
      </w:r>
    </w:p>
    <w:p>
      <w:pPr>
        <w:pStyle w:val="ListBullet"/>
        <w:spacing w:after="120" w:line="280" w:lineRule="auto"/>
        <w:ind w:left="720" w:hanging="360"/>
      </w:pPr>
      <w:r>
        <w:rPr>
          <w:rFonts w:ascii="Calibri" w:hAnsi="Calibri"/>
          <w:b w:val="0"/>
          <w:color w:val="17213A"/>
          <w:sz w:val="21"/>
        </w:rPr>
        <w:t>The system keeps user-entered responder information and calculated triage results available for reporting and verification.</w:t>
      </w:r>
    </w:p>
    <w:tbl>
      <w:tblPr>
        <w:tblW w:type="dxa" w:w="9360"/>
        <w:jc w:val="left"/>
        <w:tblLook w:firstColumn="1" w:firstRow="1" w:lastColumn="0" w:lastRow="0" w:noHBand="0" w:noVBand="1" w:val="04A0"/>
        <w:tblLayout w:type="fixed"/>
        <w:tblCellMar>
          <w:top w:w="80" w:type="dxa"/>
          <w:start w:w="120" w:type="dxa"/>
          <w:bottom w:w="80" w:type="dxa"/>
          <w:end w:w="120" w:type="dxa"/>
        </w:tblCellMar>
      </w:tblPr>
      <w:tblGrid>
        <w:gridCol w:w="3120"/>
        <w:gridCol w:w="3120"/>
        <w:gridCol w:w="3120"/>
      </w:tblGrid>
      <w:tr>
        <w:tc>
          <w:tcPr>
            <w:tcW w:type="dxa" w:w="1900"/>
            <w:vAlign w:val="center"/>
            <w:shd w:fill="7B1113"/>
            <w:tcBorders>
              <w:top w:val="single" w:sz="6" w:space="0" w:color="DCE3EE"/>
              <w:left w:val="single" w:sz="6" w:space="0" w:color="DCE3EE"/>
              <w:bottom w:val="single" w:sz="6" w:space="0" w:color="DCE3EE"/>
              <w:right w:val="single" w:sz="6" w:space="0" w:color="DCE3EE"/>
            </w:tcBorders>
          </w:tcPr>
          <w:p>
            <w:pPr>
              <w:spacing w:after="0" w:line="252" w:lineRule="auto"/>
            </w:pPr>
            <w:r/>
            <w:r>
              <w:rPr>
                <w:rFonts w:ascii="Calibri" w:hAnsi="Calibri"/>
                <w:b/>
                <w:color w:val="FFFFFF"/>
                <w:sz w:val="19"/>
              </w:rPr>
              <w:t>Item</w:t>
            </w:r>
          </w:p>
        </w:tc>
        <w:tc>
          <w:tcPr>
            <w:tcW w:type="dxa" w:w="3400"/>
            <w:vAlign w:val="center"/>
            <w:shd w:fill="7B1113"/>
            <w:tcBorders>
              <w:top w:val="single" w:sz="6" w:space="0" w:color="DCE3EE"/>
              <w:left w:val="single" w:sz="6" w:space="0" w:color="DCE3EE"/>
              <w:bottom w:val="single" w:sz="6" w:space="0" w:color="DCE3EE"/>
              <w:right w:val="single" w:sz="6" w:space="0" w:color="DCE3EE"/>
            </w:tcBorders>
          </w:tcPr>
          <w:p>
            <w:pPr>
              <w:spacing w:after="0" w:line="252" w:lineRule="auto"/>
            </w:pPr>
            <w:r/>
            <w:r>
              <w:rPr>
                <w:rFonts w:ascii="Calibri" w:hAnsi="Calibri"/>
                <w:b/>
                <w:color w:val="FFFFFF"/>
                <w:sz w:val="19"/>
              </w:rPr>
              <w:t>Purpose</w:t>
            </w:r>
          </w:p>
        </w:tc>
        <w:tc>
          <w:tcPr>
            <w:tcW w:type="dxa" w:w="4060"/>
            <w:vAlign w:val="center"/>
            <w:shd w:fill="7B1113"/>
            <w:tcBorders>
              <w:top w:val="single" w:sz="6" w:space="0" w:color="DCE3EE"/>
              <w:left w:val="single" w:sz="6" w:space="0" w:color="DCE3EE"/>
              <w:bottom w:val="single" w:sz="6" w:space="0" w:color="DCE3EE"/>
              <w:right w:val="single" w:sz="6" w:space="0" w:color="DCE3EE"/>
            </w:tcBorders>
          </w:tcPr>
          <w:p>
            <w:pPr>
              <w:spacing w:after="0" w:line="252" w:lineRule="auto"/>
            </w:pPr>
            <w:r/>
            <w:r>
              <w:rPr>
                <w:rFonts w:ascii="Calibri" w:hAnsi="Calibri"/>
                <w:b/>
                <w:color w:val="FFFFFF"/>
                <w:sz w:val="19"/>
              </w:rPr>
              <w:t>Current Behavior</w:t>
            </w:r>
          </w:p>
        </w:tc>
      </w:tr>
      <w:tr>
        <w:tc>
          <w:tcPr>
            <w:tcW w:type="dxa" w:w="1900"/>
            <w:vAlign w:val="top"/>
            <w:tcBorders>
              <w:top w:val="single" w:sz="6" w:space="0" w:color="DCE3EE"/>
              <w:left w:val="single" w:sz="6" w:space="0" w:color="DCE3EE"/>
              <w:bottom w:val="single" w:sz="6" w:space="0" w:color="DCE3EE"/>
              <w:right w:val="single" w:sz="6" w:space="0" w:color="DCE3EE"/>
            </w:tcBorders>
          </w:tcPr>
          <w:p>
            <w:pPr>
              <w:spacing w:after="0" w:line="252" w:lineRule="auto"/>
            </w:pPr>
            <w:r/>
            <w:r>
              <w:rPr>
                <w:rFonts w:ascii="Calibri" w:hAnsi="Calibri"/>
                <w:b w:val="0"/>
                <w:color w:val="17213A"/>
                <w:sz w:val="18"/>
              </w:rPr>
              <w:t>Triage Stage</w:t>
            </w:r>
          </w:p>
        </w:tc>
        <w:tc>
          <w:tcPr>
            <w:tcW w:type="dxa" w:w="3400"/>
            <w:vAlign w:val="top"/>
            <w:tcBorders>
              <w:top w:val="single" w:sz="6" w:space="0" w:color="DCE3EE"/>
              <w:left w:val="single" w:sz="6" w:space="0" w:color="DCE3EE"/>
              <w:bottom w:val="single" w:sz="6" w:space="0" w:color="DCE3EE"/>
              <w:right w:val="single" w:sz="6" w:space="0" w:color="DCE3EE"/>
            </w:tcBorders>
          </w:tcPr>
          <w:p>
            <w:pPr>
              <w:spacing w:after="0" w:line="252" w:lineRule="auto"/>
            </w:pPr>
            <w:r/>
            <w:r>
              <w:rPr>
                <w:rFonts w:ascii="Calibri" w:hAnsi="Calibri"/>
                <w:b w:val="0"/>
                <w:color w:val="17213A"/>
                <w:sz w:val="18"/>
              </w:rPr>
              <w:t>Identifies when and where the triage decision occurs.</w:t>
            </w:r>
          </w:p>
        </w:tc>
        <w:tc>
          <w:tcPr>
            <w:tcW w:type="dxa" w:w="4060"/>
            <w:vAlign w:val="top"/>
            <w:tcBorders>
              <w:top w:val="single" w:sz="6" w:space="0" w:color="DCE3EE"/>
              <w:left w:val="single" w:sz="6" w:space="0" w:color="DCE3EE"/>
              <w:bottom w:val="single" w:sz="6" w:space="0" w:color="DCE3EE"/>
              <w:right w:val="single" w:sz="6" w:space="0" w:color="DCE3EE"/>
            </w:tcBorders>
          </w:tcPr>
          <w:p>
            <w:pPr>
              <w:spacing w:after="0" w:line="252" w:lineRule="auto"/>
            </w:pPr>
            <w:r/>
            <w:r>
              <w:rPr>
                <w:rFonts w:ascii="Calibri" w:hAnsi="Calibri"/>
                <w:b w:val="0"/>
                <w:color w:val="17213A"/>
                <w:sz w:val="18"/>
              </w:rPr>
              <w:t>Uses Primary Triage, Secondary Triage, and Tertiary Triage.</w:t>
            </w:r>
          </w:p>
        </w:tc>
      </w:tr>
      <w:tr>
        <w:tc>
          <w:tcPr>
            <w:tcW w:type="dxa" w:w="1900"/>
            <w:vAlign w:val="top"/>
            <w:tcBorders>
              <w:top w:val="single" w:sz="6" w:space="0" w:color="DCE3EE"/>
              <w:left w:val="single" w:sz="6" w:space="0" w:color="DCE3EE"/>
              <w:bottom w:val="single" w:sz="6" w:space="0" w:color="DCE3EE"/>
              <w:right w:val="single" w:sz="6" w:space="0" w:color="DCE3EE"/>
            </w:tcBorders>
          </w:tcPr>
          <w:p>
            <w:pPr>
              <w:spacing w:after="0" w:line="252" w:lineRule="auto"/>
            </w:pPr>
            <w:r/>
            <w:r>
              <w:rPr>
                <w:rFonts w:ascii="Calibri" w:hAnsi="Calibri"/>
                <w:b w:val="0"/>
                <w:color w:val="17213A"/>
                <w:sz w:val="18"/>
              </w:rPr>
              <w:t>Triage System</w:t>
            </w:r>
          </w:p>
        </w:tc>
        <w:tc>
          <w:tcPr>
            <w:tcW w:type="dxa" w:w="3400"/>
            <w:vAlign w:val="top"/>
            <w:tcBorders>
              <w:top w:val="single" w:sz="6" w:space="0" w:color="DCE3EE"/>
              <w:left w:val="single" w:sz="6" w:space="0" w:color="DCE3EE"/>
              <w:bottom w:val="single" w:sz="6" w:space="0" w:color="DCE3EE"/>
              <w:right w:val="single" w:sz="6" w:space="0" w:color="DCE3EE"/>
            </w:tcBorders>
          </w:tcPr>
          <w:p>
            <w:pPr>
              <w:spacing w:after="0" w:line="252" w:lineRule="auto"/>
            </w:pPr>
            <w:r/>
            <w:r>
              <w:rPr>
                <w:rFonts w:ascii="Calibri" w:hAnsi="Calibri"/>
                <w:b w:val="0"/>
                <w:color w:val="17213A"/>
                <w:sz w:val="18"/>
              </w:rPr>
              <w:t>Identifies the algorithm or framework used for assessment.</w:t>
            </w:r>
          </w:p>
        </w:tc>
        <w:tc>
          <w:tcPr>
            <w:tcW w:type="dxa" w:w="4060"/>
            <w:vAlign w:val="top"/>
            <w:tcBorders>
              <w:top w:val="single" w:sz="6" w:space="0" w:color="DCE3EE"/>
              <w:left w:val="single" w:sz="6" w:space="0" w:color="DCE3EE"/>
              <w:bottom w:val="single" w:sz="6" w:space="0" w:color="DCE3EE"/>
              <w:right w:val="single" w:sz="6" w:space="0" w:color="DCE3EE"/>
            </w:tcBorders>
          </w:tcPr>
          <w:p>
            <w:pPr>
              <w:spacing w:after="0" w:line="252" w:lineRule="auto"/>
            </w:pPr>
            <w:r/>
            <w:r>
              <w:rPr>
                <w:rFonts w:ascii="Calibri" w:hAnsi="Calibri"/>
                <w:b w:val="0"/>
                <w:color w:val="17213A"/>
                <w:sz w:val="18"/>
              </w:rPr>
              <w:t>Selection opens the assessment workflow for configured systems.</w:t>
            </w:r>
          </w:p>
        </w:tc>
      </w:tr>
      <w:tr>
        <w:tc>
          <w:tcPr>
            <w:tcW w:type="dxa" w:w="1900"/>
            <w:vAlign w:val="top"/>
            <w:tcBorders>
              <w:top w:val="single" w:sz="6" w:space="0" w:color="DCE3EE"/>
              <w:left w:val="single" w:sz="6" w:space="0" w:color="DCE3EE"/>
              <w:bottom w:val="single" w:sz="6" w:space="0" w:color="DCE3EE"/>
              <w:right w:val="single" w:sz="6" w:space="0" w:color="DCE3EE"/>
            </w:tcBorders>
          </w:tcPr>
          <w:p>
            <w:pPr>
              <w:spacing w:after="0" w:line="252" w:lineRule="auto"/>
            </w:pPr>
            <w:r/>
            <w:r>
              <w:rPr>
                <w:rFonts w:ascii="Calibri" w:hAnsi="Calibri"/>
                <w:b w:val="0"/>
                <w:color w:val="17213A"/>
                <w:sz w:val="18"/>
              </w:rPr>
              <w:t>Assessment Popup</w:t>
            </w:r>
          </w:p>
        </w:tc>
        <w:tc>
          <w:tcPr>
            <w:tcW w:type="dxa" w:w="3400"/>
            <w:vAlign w:val="top"/>
            <w:tcBorders>
              <w:top w:val="single" w:sz="6" w:space="0" w:color="DCE3EE"/>
              <w:left w:val="single" w:sz="6" w:space="0" w:color="DCE3EE"/>
              <w:bottom w:val="single" w:sz="6" w:space="0" w:color="DCE3EE"/>
              <w:right w:val="single" w:sz="6" w:space="0" w:color="DCE3EE"/>
            </w:tcBorders>
          </w:tcPr>
          <w:p>
            <w:pPr>
              <w:spacing w:after="0" w:line="252" w:lineRule="auto"/>
            </w:pPr>
            <w:r/>
            <w:r>
              <w:rPr>
                <w:rFonts w:ascii="Calibri" w:hAnsi="Calibri"/>
                <w:b w:val="0"/>
                <w:color w:val="17213A"/>
                <w:sz w:val="18"/>
              </w:rPr>
              <w:t>Collects algorithm variables.</w:t>
            </w:r>
          </w:p>
        </w:tc>
        <w:tc>
          <w:tcPr>
            <w:tcW w:type="dxa" w:w="4060"/>
            <w:vAlign w:val="top"/>
            <w:tcBorders>
              <w:top w:val="single" w:sz="6" w:space="0" w:color="DCE3EE"/>
              <w:left w:val="single" w:sz="6" w:space="0" w:color="DCE3EE"/>
              <w:bottom w:val="single" w:sz="6" w:space="0" w:color="DCE3EE"/>
              <w:right w:val="single" w:sz="6" w:space="0" w:color="DCE3EE"/>
            </w:tcBorders>
          </w:tcPr>
          <w:p>
            <w:pPr>
              <w:spacing w:after="0" w:line="252" w:lineRule="auto"/>
            </w:pPr>
            <w:r/>
            <w:r>
              <w:rPr>
                <w:rFonts w:ascii="Calibri" w:hAnsi="Calibri"/>
                <w:b w:val="0"/>
                <w:color w:val="17213A"/>
                <w:sz w:val="18"/>
              </w:rPr>
              <w:t>Shown after a triage system is selected. Final choices are color-coded and arranged evenly.</w:t>
            </w:r>
          </w:p>
        </w:tc>
      </w:tr>
      <w:tr>
        <w:tc>
          <w:tcPr>
            <w:tcW w:type="dxa" w:w="1900"/>
            <w:vAlign w:val="top"/>
            <w:tcBorders>
              <w:top w:val="single" w:sz="6" w:space="0" w:color="DCE3EE"/>
              <w:left w:val="single" w:sz="6" w:space="0" w:color="DCE3EE"/>
              <w:bottom w:val="single" w:sz="6" w:space="0" w:color="DCE3EE"/>
              <w:right w:val="single" w:sz="6" w:space="0" w:color="DCE3EE"/>
            </w:tcBorders>
          </w:tcPr>
          <w:p>
            <w:pPr>
              <w:spacing w:after="0" w:line="252" w:lineRule="auto"/>
            </w:pPr>
            <w:r/>
            <w:r>
              <w:rPr>
                <w:rFonts w:ascii="Calibri" w:hAnsi="Calibri"/>
                <w:b w:val="0"/>
                <w:color w:val="17213A"/>
                <w:sz w:val="18"/>
              </w:rPr>
              <w:t>Calculated Category</w:t>
            </w:r>
          </w:p>
        </w:tc>
        <w:tc>
          <w:tcPr>
            <w:tcW w:type="dxa" w:w="3400"/>
            <w:vAlign w:val="top"/>
            <w:tcBorders>
              <w:top w:val="single" w:sz="6" w:space="0" w:color="DCE3EE"/>
              <w:left w:val="single" w:sz="6" w:space="0" w:color="DCE3EE"/>
              <w:bottom w:val="single" w:sz="6" w:space="0" w:color="DCE3EE"/>
              <w:right w:val="single" w:sz="6" w:space="0" w:color="DCE3EE"/>
            </w:tcBorders>
          </w:tcPr>
          <w:p>
            <w:pPr>
              <w:spacing w:after="0" w:line="252" w:lineRule="auto"/>
            </w:pPr>
            <w:r/>
            <w:r>
              <w:rPr>
                <w:rFonts w:ascii="Calibri" w:hAnsi="Calibri"/>
                <w:b w:val="0"/>
                <w:color w:val="17213A"/>
                <w:sz w:val="18"/>
              </w:rPr>
              <w:t>Stores the system-derived triage result.</w:t>
            </w:r>
          </w:p>
        </w:tc>
        <w:tc>
          <w:tcPr>
            <w:tcW w:type="dxa" w:w="4060"/>
            <w:vAlign w:val="top"/>
            <w:tcBorders>
              <w:top w:val="single" w:sz="6" w:space="0" w:color="DCE3EE"/>
              <w:left w:val="single" w:sz="6" w:space="0" w:color="DCE3EE"/>
              <w:bottom w:val="single" w:sz="6" w:space="0" w:color="DCE3EE"/>
              <w:right w:val="single" w:sz="6" w:space="0" w:color="DCE3EE"/>
            </w:tcBorders>
          </w:tcPr>
          <w:p>
            <w:pPr>
              <w:spacing w:after="0" w:line="252" w:lineRule="auto"/>
            </w:pPr>
            <w:r/>
            <w:r>
              <w:rPr>
                <w:rFonts w:ascii="Calibri" w:hAnsi="Calibri"/>
                <w:b w:val="0"/>
                <w:color w:val="17213A"/>
                <w:sz w:val="18"/>
              </w:rPr>
              <w:t>Calculated by backend algorithm logic instead of relying on a visible category field.</w:t>
            </w:r>
          </w:p>
        </w:tc>
      </w:tr>
      <w:tr>
        <w:tc>
          <w:tcPr>
            <w:tcW w:type="dxa" w:w="1900"/>
            <w:vAlign w:val="top"/>
            <w:tcBorders>
              <w:top w:val="single" w:sz="6" w:space="0" w:color="DCE3EE"/>
              <w:left w:val="single" w:sz="6" w:space="0" w:color="DCE3EE"/>
              <w:bottom w:val="single" w:sz="6" w:space="0" w:color="DCE3EE"/>
              <w:right w:val="single" w:sz="6" w:space="0" w:color="DCE3EE"/>
            </w:tcBorders>
          </w:tcPr>
          <w:p>
            <w:pPr>
              <w:spacing w:after="0" w:line="252" w:lineRule="auto"/>
            </w:pPr>
            <w:r/>
            <w:r>
              <w:rPr>
                <w:rFonts w:ascii="Calibri" w:hAnsi="Calibri"/>
                <w:b w:val="0"/>
                <w:color w:val="17213A"/>
                <w:sz w:val="18"/>
              </w:rPr>
              <w:t>Overtriage / Undertriage</w:t>
            </w:r>
          </w:p>
        </w:tc>
        <w:tc>
          <w:tcPr>
            <w:tcW w:type="dxa" w:w="3400"/>
            <w:vAlign w:val="top"/>
            <w:tcBorders>
              <w:top w:val="single" w:sz="6" w:space="0" w:color="DCE3EE"/>
              <w:left w:val="single" w:sz="6" w:space="0" w:color="DCE3EE"/>
              <w:bottom w:val="single" w:sz="6" w:space="0" w:color="DCE3EE"/>
              <w:right w:val="single" w:sz="6" w:space="0" w:color="DCE3EE"/>
            </w:tcBorders>
          </w:tcPr>
          <w:p>
            <w:pPr>
              <w:spacing w:after="0" w:line="252" w:lineRule="auto"/>
            </w:pPr>
            <w:r/>
            <w:r>
              <w:rPr>
                <w:rFonts w:ascii="Calibri" w:hAnsi="Calibri"/>
                <w:b w:val="0"/>
                <w:color w:val="17213A"/>
                <w:sz w:val="18"/>
              </w:rPr>
              <w:t>Supports reporting and accuracy review.</w:t>
            </w:r>
          </w:p>
        </w:tc>
        <w:tc>
          <w:tcPr>
            <w:tcW w:type="dxa" w:w="4060"/>
            <w:vAlign w:val="top"/>
            <w:tcBorders>
              <w:top w:val="single" w:sz="6" w:space="0" w:color="DCE3EE"/>
              <w:left w:val="single" w:sz="6" w:space="0" w:color="DCE3EE"/>
              <w:bottom w:val="single" w:sz="6" w:space="0" w:color="DCE3EE"/>
              <w:right w:val="single" w:sz="6" w:space="0" w:color="DCE3EE"/>
            </w:tcBorders>
          </w:tcPr>
          <w:p>
            <w:pPr>
              <w:spacing w:after="0" w:line="252" w:lineRule="auto"/>
            </w:pPr>
            <w:r/>
            <w:r>
              <w:rPr>
                <w:rFonts w:ascii="Calibri" w:hAnsi="Calibri"/>
                <w:b w:val="0"/>
                <w:color w:val="17213A"/>
                <w:sz w:val="18"/>
              </w:rPr>
              <w:t>Hidden from normal mobile data entry to reduce bias, but retained in backend/reporting logic.</w:t>
            </w:r>
          </w:p>
        </w:tc>
      </w:tr>
    </w:tbl>
    <w:p>
      <w:pPr>
        <w:spacing w:after="80"/>
      </w:pPr>
    </w:p>
    <w:p>
      <w:pPr>
        <w:pStyle w:val="Heading1"/>
        <w:spacing w:before="320" w:after="160"/>
      </w:pPr>
      <w:r>
        <w:rPr>
          <w:rFonts w:ascii="Calibri" w:hAnsi="Calibri"/>
          <w:b/>
          <w:color w:val="7B1113"/>
          <w:sz w:val="32"/>
        </w:rPr>
        <w:t>4. Role-Based Triage Stage Filtering</w:t>
      </w:r>
    </w:p>
    <w:p>
      <w:pPr>
        <w:spacing w:after="120" w:line="264" w:lineRule="auto"/>
      </w:pPr>
      <w:r>
        <w:rPr>
          <w:rFonts w:ascii="Calibri" w:hAnsi="Calibri"/>
          <w:b w:val="0"/>
          <w:color w:val="17213A"/>
          <w:sz w:val="22"/>
        </w:rPr>
        <w:t>Role-based filtering is currently implemented at the account-role level. The app uses the logged-in user's role to decide which triage stages are visible in the Add Casualty triage step.</w:t>
      </w:r>
    </w:p>
    <w:tbl>
      <w:tblPr>
        <w:tblW w:type="dxa" w:w="9360"/>
        <w:jc w:val="left"/>
        <w:tblLook w:firstColumn="1" w:firstRow="1" w:lastColumn="0" w:lastRow="0" w:noHBand="0" w:noVBand="1" w:val="04A0"/>
        <w:tblLayout w:type="fixed"/>
        <w:tblCellMar>
          <w:top w:w="80" w:type="dxa"/>
          <w:start w:w="120" w:type="dxa"/>
          <w:bottom w:w="80" w:type="dxa"/>
          <w:end w:w="120" w:type="dxa"/>
        </w:tblCellMar>
      </w:tblPr>
      <w:tblGrid>
        <w:gridCol w:w="3120"/>
        <w:gridCol w:w="3120"/>
        <w:gridCol w:w="3120"/>
      </w:tblGrid>
      <w:tr>
        <w:tc>
          <w:tcPr>
            <w:tcW w:type="dxa" w:w="1900"/>
            <w:vAlign w:val="center"/>
            <w:shd w:fill="7B1113"/>
            <w:tcBorders>
              <w:top w:val="single" w:sz="6" w:space="0" w:color="DCE3EE"/>
              <w:left w:val="single" w:sz="6" w:space="0" w:color="DCE3EE"/>
              <w:bottom w:val="single" w:sz="6" w:space="0" w:color="DCE3EE"/>
              <w:right w:val="single" w:sz="6" w:space="0" w:color="DCE3EE"/>
            </w:tcBorders>
          </w:tcPr>
          <w:p>
            <w:pPr>
              <w:spacing w:after="0" w:line="252" w:lineRule="auto"/>
            </w:pPr>
            <w:r/>
            <w:r>
              <w:rPr>
                <w:rFonts w:ascii="Calibri" w:hAnsi="Calibri"/>
                <w:b/>
                <w:color w:val="FFFFFF"/>
                <w:sz w:val="19"/>
              </w:rPr>
              <w:t>Role</w:t>
            </w:r>
          </w:p>
        </w:tc>
        <w:tc>
          <w:tcPr>
            <w:tcW w:type="dxa" w:w="2800"/>
            <w:vAlign w:val="center"/>
            <w:shd w:fill="7B1113"/>
            <w:tcBorders>
              <w:top w:val="single" w:sz="6" w:space="0" w:color="DCE3EE"/>
              <w:left w:val="single" w:sz="6" w:space="0" w:color="DCE3EE"/>
              <w:bottom w:val="single" w:sz="6" w:space="0" w:color="DCE3EE"/>
              <w:right w:val="single" w:sz="6" w:space="0" w:color="DCE3EE"/>
            </w:tcBorders>
          </w:tcPr>
          <w:p>
            <w:pPr>
              <w:spacing w:after="0" w:line="252" w:lineRule="auto"/>
            </w:pPr>
            <w:r/>
            <w:r>
              <w:rPr>
                <w:rFonts w:ascii="Calibri" w:hAnsi="Calibri"/>
                <w:b/>
                <w:color w:val="FFFFFF"/>
                <w:sz w:val="19"/>
              </w:rPr>
              <w:t>Visible Triage Stages</w:t>
            </w:r>
          </w:p>
        </w:tc>
        <w:tc>
          <w:tcPr>
            <w:tcW w:type="dxa" w:w="4660"/>
            <w:vAlign w:val="center"/>
            <w:shd w:fill="7B1113"/>
            <w:tcBorders>
              <w:top w:val="single" w:sz="6" w:space="0" w:color="DCE3EE"/>
              <w:left w:val="single" w:sz="6" w:space="0" w:color="DCE3EE"/>
              <w:bottom w:val="single" w:sz="6" w:space="0" w:color="DCE3EE"/>
              <w:right w:val="single" w:sz="6" w:space="0" w:color="DCE3EE"/>
            </w:tcBorders>
          </w:tcPr>
          <w:p>
            <w:pPr>
              <w:spacing w:after="0" w:line="252" w:lineRule="auto"/>
            </w:pPr>
            <w:r/>
            <w:r>
              <w:rPr>
                <w:rFonts w:ascii="Calibri" w:hAnsi="Calibri"/>
                <w:b/>
                <w:color w:val="FFFFFF"/>
                <w:sz w:val="19"/>
              </w:rPr>
              <w:t>Operational Meaning</w:t>
            </w:r>
          </w:p>
        </w:tc>
      </w:tr>
      <w:tr>
        <w:tc>
          <w:tcPr>
            <w:tcW w:type="dxa" w:w="1900"/>
            <w:vAlign w:val="top"/>
            <w:tcBorders>
              <w:top w:val="single" w:sz="6" w:space="0" w:color="DCE3EE"/>
              <w:left w:val="single" w:sz="6" w:space="0" w:color="DCE3EE"/>
              <w:bottom w:val="single" w:sz="6" w:space="0" w:color="DCE3EE"/>
              <w:right w:val="single" w:sz="6" w:space="0" w:color="DCE3EE"/>
            </w:tcBorders>
          </w:tcPr>
          <w:p>
            <w:pPr>
              <w:spacing w:after="0" w:line="252" w:lineRule="auto"/>
            </w:pPr>
            <w:r/>
            <w:r>
              <w:rPr>
                <w:rFonts w:ascii="Calibri" w:hAnsi="Calibri"/>
                <w:b w:val="0"/>
                <w:color w:val="17213A"/>
                <w:sz w:val="18"/>
              </w:rPr>
              <w:t>responder</w:t>
            </w:r>
          </w:p>
        </w:tc>
        <w:tc>
          <w:tcPr>
            <w:tcW w:type="dxa" w:w="2800"/>
            <w:vAlign w:val="top"/>
            <w:tcBorders>
              <w:top w:val="single" w:sz="6" w:space="0" w:color="DCE3EE"/>
              <w:left w:val="single" w:sz="6" w:space="0" w:color="DCE3EE"/>
              <w:bottom w:val="single" w:sz="6" w:space="0" w:color="DCE3EE"/>
              <w:right w:val="single" w:sz="6" w:space="0" w:color="DCE3EE"/>
            </w:tcBorders>
          </w:tcPr>
          <w:p>
            <w:pPr>
              <w:spacing w:after="0" w:line="252" w:lineRule="auto"/>
            </w:pPr>
            <w:r/>
            <w:r>
              <w:rPr>
                <w:rFonts w:ascii="Calibri" w:hAnsi="Calibri"/>
                <w:b w:val="0"/>
                <w:color w:val="17213A"/>
                <w:sz w:val="18"/>
              </w:rPr>
              <w:t>Primary Triage, Secondary Triage</w:t>
            </w:r>
          </w:p>
        </w:tc>
        <w:tc>
          <w:tcPr>
            <w:tcW w:type="dxa" w:w="4660"/>
            <w:vAlign w:val="top"/>
            <w:tcBorders>
              <w:top w:val="single" w:sz="6" w:space="0" w:color="DCE3EE"/>
              <w:left w:val="single" w:sz="6" w:space="0" w:color="DCE3EE"/>
              <w:bottom w:val="single" w:sz="6" w:space="0" w:color="DCE3EE"/>
              <w:right w:val="single" w:sz="6" w:space="0" w:color="DCE3EE"/>
            </w:tcBorders>
          </w:tcPr>
          <w:p>
            <w:pPr>
              <w:spacing w:after="0" w:line="252" w:lineRule="auto"/>
            </w:pPr>
            <w:r/>
            <w:r>
              <w:rPr>
                <w:rFonts w:ascii="Calibri" w:hAnsi="Calibri"/>
                <w:b w:val="0"/>
                <w:color w:val="17213A"/>
                <w:sz w:val="18"/>
              </w:rPr>
              <w:t>Designed for field responders or EMT-like users involved at the scene or during reassessment before transfer.</w:t>
            </w:r>
          </w:p>
        </w:tc>
      </w:tr>
      <w:tr>
        <w:tc>
          <w:tcPr>
            <w:tcW w:type="dxa" w:w="1900"/>
            <w:vAlign w:val="top"/>
            <w:tcBorders>
              <w:top w:val="single" w:sz="6" w:space="0" w:color="DCE3EE"/>
              <w:left w:val="single" w:sz="6" w:space="0" w:color="DCE3EE"/>
              <w:bottom w:val="single" w:sz="6" w:space="0" w:color="DCE3EE"/>
              <w:right w:val="single" w:sz="6" w:space="0" w:color="DCE3EE"/>
            </w:tcBorders>
          </w:tcPr>
          <w:p>
            <w:pPr>
              <w:spacing w:after="0" w:line="252" w:lineRule="auto"/>
            </w:pPr>
            <w:r/>
            <w:r>
              <w:rPr>
                <w:rFonts w:ascii="Calibri" w:hAnsi="Calibri"/>
                <w:b w:val="0"/>
                <w:color w:val="17213A"/>
                <w:sz w:val="18"/>
              </w:rPr>
              <w:t>medical_personnel</w:t>
            </w:r>
          </w:p>
        </w:tc>
        <w:tc>
          <w:tcPr>
            <w:tcW w:type="dxa" w:w="2800"/>
            <w:vAlign w:val="top"/>
            <w:tcBorders>
              <w:top w:val="single" w:sz="6" w:space="0" w:color="DCE3EE"/>
              <w:left w:val="single" w:sz="6" w:space="0" w:color="DCE3EE"/>
              <w:bottom w:val="single" w:sz="6" w:space="0" w:color="DCE3EE"/>
              <w:right w:val="single" w:sz="6" w:space="0" w:color="DCE3EE"/>
            </w:tcBorders>
          </w:tcPr>
          <w:p>
            <w:pPr>
              <w:spacing w:after="0" w:line="252" w:lineRule="auto"/>
            </w:pPr>
            <w:r/>
            <w:r>
              <w:rPr>
                <w:rFonts w:ascii="Calibri" w:hAnsi="Calibri"/>
                <w:b w:val="0"/>
                <w:color w:val="17213A"/>
                <w:sz w:val="18"/>
              </w:rPr>
              <w:t>Tertiary Triage</w:t>
            </w:r>
          </w:p>
        </w:tc>
        <w:tc>
          <w:tcPr>
            <w:tcW w:type="dxa" w:w="4660"/>
            <w:vAlign w:val="top"/>
            <w:tcBorders>
              <w:top w:val="single" w:sz="6" w:space="0" w:color="DCE3EE"/>
              <w:left w:val="single" w:sz="6" w:space="0" w:color="DCE3EE"/>
              <w:bottom w:val="single" w:sz="6" w:space="0" w:color="DCE3EE"/>
              <w:right w:val="single" w:sz="6" w:space="0" w:color="DCE3EE"/>
            </w:tcBorders>
          </w:tcPr>
          <w:p>
            <w:pPr>
              <w:spacing w:after="0" w:line="252" w:lineRule="auto"/>
            </w:pPr>
            <w:r/>
            <w:r>
              <w:rPr>
                <w:rFonts w:ascii="Calibri" w:hAnsi="Calibri"/>
                <w:b w:val="0"/>
                <w:color w:val="17213A"/>
                <w:sz w:val="18"/>
              </w:rPr>
              <w:t>Designed for facility-based users such as receiving facility personnel, nurses, or hospital staff.</w:t>
            </w:r>
          </w:p>
        </w:tc>
      </w:tr>
      <w:tr>
        <w:tc>
          <w:tcPr>
            <w:tcW w:type="dxa" w:w="1900"/>
            <w:vAlign w:val="top"/>
            <w:tcBorders>
              <w:top w:val="single" w:sz="6" w:space="0" w:color="DCE3EE"/>
              <w:left w:val="single" w:sz="6" w:space="0" w:color="DCE3EE"/>
              <w:bottom w:val="single" w:sz="6" w:space="0" w:color="DCE3EE"/>
              <w:right w:val="single" w:sz="6" w:space="0" w:color="DCE3EE"/>
            </w:tcBorders>
          </w:tcPr>
          <w:p>
            <w:pPr>
              <w:spacing w:after="0" w:line="252" w:lineRule="auto"/>
            </w:pPr>
            <w:r/>
            <w:r>
              <w:rPr>
                <w:rFonts w:ascii="Calibri" w:hAnsi="Calibri"/>
                <w:b w:val="0"/>
                <w:color w:val="17213A"/>
                <w:sz w:val="18"/>
              </w:rPr>
              <w:t>administrator</w:t>
            </w:r>
          </w:p>
        </w:tc>
        <w:tc>
          <w:tcPr>
            <w:tcW w:type="dxa" w:w="2800"/>
            <w:vAlign w:val="top"/>
            <w:tcBorders>
              <w:top w:val="single" w:sz="6" w:space="0" w:color="DCE3EE"/>
              <w:left w:val="single" w:sz="6" w:space="0" w:color="DCE3EE"/>
              <w:bottom w:val="single" w:sz="6" w:space="0" w:color="DCE3EE"/>
              <w:right w:val="single" w:sz="6" w:space="0" w:color="DCE3EE"/>
            </w:tcBorders>
          </w:tcPr>
          <w:p>
            <w:pPr>
              <w:spacing w:after="0" w:line="252" w:lineRule="auto"/>
            </w:pPr>
            <w:r/>
            <w:r>
              <w:rPr>
                <w:rFonts w:ascii="Calibri" w:hAnsi="Calibri"/>
                <w:b w:val="0"/>
                <w:color w:val="17213A"/>
                <w:sz w:val="18"/>
              </w:rPr>
              <w:t>All stages</w:t>
            </w:r>
          </w:p>
        </w:tc>
        <w:tc>
          <w:tcPr>
            <w:tcW w:type="dxa" w:w="4660"/>
            <w:vAlign w:val="top"/>
            <w:tcBorders>
              <w:top w:val="single" w:sz="6" w:space="0" w:color="DCE3EE"/>
              <w:left w:val="single" w:sz="6" w:space="0" w:color="DCE3EE"/>
              <w:bottom w:val="single" w:sz="6" w:space="0" w:color="DCE3EE"/>
              <w:right w:val="single" w:sz="6" w:space="0" w:color="DCE3EE"/>
            </w:tcBorders>
          </w:tcPr>
          <w:p>
            <w:pPr>
              <w:spacing w:after="0" w:line="252" w:lineRule="auto"/>
            </w:pPr>
            <w:r/>
            <w:r>
              <w:rPr>
                <w:rFonts w:ascii="Calibri" w:hAnsi="Calibri"/>
                <w:b w:val="0"/>
                <w:color w:val="17213A"/>
                <w:sz w:val="18"/>
              </w:rPr>
              <w:t>Management and oversight role with broader access for operations and correction workflows.</w:t>
            </w:r>
          </w:p>
        </w:tc>
      </w:tr>
      <w:tr>
        <w:tc>
          <w:tcPr>
            <w:tcW w:type="dxa" w:w="1900"/>
            <w:vAlign w:val="top"/>
            <w:tcBorders>
              <w:top w:val="single" w:sz="6" w:space="0" w:color="DCE3EE"/>
              <w:left w:val="single" w:sz="6" w:space="0" w:color="DCE3EE"/>
              <w:bottom w:val="single" w:sz="6" w:space="0" w:color="DCE3EE"/>
              <w:right w:val="single" w:sz="6" w:space="0" w:color="DCE3EE"/>
            </w:tcBorders>
          </w:tcPr>
          <w:p>
            <w:pPr>
              <w:spacing w:after="0" w:line="252" w:lineRule="auto"/>
            </w:pPr>
            <w:r/>
            <w:r>
              <w:rPr>
                <w:rFonts w:ascii="Calibri" w:hAnsi="Calibri"/>
                <w:b w:val="0"/>
                <w:color w:val="17213A"/>
                <w:sz w:val="18"/>
              </w:rPr>
              <w:t>super_admin</w:t>
            </w:r>
          </w:p>
        </w:tc>
        <w:tc>
          <w:tcPr>
            <w:tcW w:type="dxa" w:w="2800"/>
            <w:vAlign w:val="top"/>
            <w:tcBorders>
              <w:top w:val="single" w:sz="6" w:space="0" w:color="DCE3EE"/>
              <w:left w:val="single" w:sz="6" w:space="0" w:color="DCE3EE"/>
              <w:bottom w:val="single" w:sz="6" w:space="0" w:color="DCE3EE"/>
              <w:right w:val="single" w:sz="6" w:space="0" w:color="DCE3EE"/>
            </w:tcBorders>
          </w:tcPr>
          <w:p>
            <w:pPr>
              <w:spacing w:after="0" w:line="252" w:lineRule="auto"/>
            </w:pPr>
            <w:r/>
            <w:r>
              <w:rPr>
                <w:rFonts w:ascii="Calibri" w:hAnsi="Calibri"/>
                <w:b w:val="0"/>
                <w:color w:val="17213A"/>
                <w:sz w:val="18"/>
              </w:rPr>
              <w:t>All stages</w:t>
            </w:r>
          </w:p>
        </w:tc>
        <w:tc>
          <w:tcPr>
            <w:tcW w:type="dxa" w:w="4660"/>
            <w:vAlign w:val="top"/>
            <w:tcBorders>
              <w:top w:val="single" w:sz="6" w:space="0" w:color="DCE3EE"/>
              <w:left w:val="single" w:sz="6" w:space="0" w:color="DCE3EE"/>
              <w:bottom w:val="single" w:sz="6" w:space="0" w:color="DCE3EE"/>
              <w:right w:val="single" w:sz="6" w:space="0" w:color="DCE3EE"/>
            </w:tcBorders>
          </w:tcPr>
          <w:p>
            <w:pPr>
              <w:spacing w:after="0" w:line="252" w:lineRule="auto"/>
            </w:pPr>
            <w:r/>
            <w:r>
              <w:rPr>
                <w:rFonts w:ascii="Calibri" w:hAnsi="Calibri"/>
                <w:b w:val="0"/>
                <w:color w:val="17213A"/>
                <w:sz w:val="18"/>
              </w:rPr>
              <w:t>System-level administrative access.</w:t>
            </w:r>
          </w:p>
        </w:tc>
      </w:tr>
      <w:tr>
        <w:tc>
          <w:tcPr>
            <w:tcW w:type="dxa" w:w="1900"/>
            <w:vAlign w:val="top"/>
            <w:tcBorders>
              <w:top w:val="single" w:sz="6" w:space="0" w:color="DCE3EE"/>
              <w:left w:val="single" w:sz="6" w:space="0" w:color="DCE3EE"/>
              <w:bottom w:val="single" w:sz="6" w:space="0" w:color="DCE3EE"/>
              <w:right w:val="single" w:sz="6" w:space="0" w:color="DCE3EE"/>
            </w:tcBorders>
          </w:tcPr>
          <w:p>
            <w:pPr>
              <w:spacing w:after="0" w:line="252" w:lineRule="auto"/>
            </w:pPr>
            <w:r/>
            <w:r>
              <w:rPr>
                <w:rFonts w:ascii="Calibri" w:hAnsi="Calibri"/>
                <w:b w:val="0"/>
                <w:color w:val="17213A"/>
                <w:sz w:val="18"/>
              </w:rPr>
              <w:t>encoder</w:t>
            </w:r>
          </w:p>
        </w:tc>
        <w:tc>
          <w:tcPr>
            <w:tcW w:type="dxa" w:w="2800"/>
            <w:vAlign w:val="top"/>
            <w:tcBorders>
              <w:top w:val="single" w:sz="6" w:space="0" w:color="DCE3EE"/>
              <w:left w:val="single" w:sz="6" w:space="0" w:color="DCE3EE"/>
              <w:bottom w:val="single" w:sz="6" w:space="0" w:color="DCE3EE"/>
              <w:right w:val="single" w:sz="6" w:space="0" w:color="DCE3EE"/>
            </w:tcBorders>
          </w:tcPr>
          <w:p>
            <w:pPr>
              <w:spacing w:after="0" w:line="252" w:lineRule="auto"/>
            </w:pPr>
            <w:r/>
            <w:r>
              <w:rPr>
                <w:rFonts w:ascii="Calibri" w:hAnsi="Calibri"/>
                <w:b w:val="0"/>
                <w:color w:val="17213A"/>
                <w:sz w:val="18"/>
              </w:rPr>
              <w:t>All stages</w:t>
            </w:r>
          </w:p>
        </w:tc>
        <w:tc>
          <w:tcPr>
            <w:tcW w:type="dxa" w:w="4660"/>
            <w:vAlign w:val="top"/>
            <w:tcBorders>
              <w:top w:val="single" w:sz="6" w:space="0" w:color="DCE3EE"/>
              <w:left w:val="single" w:sz="6" w:space="0" w:color="DCE3EE"/>
              <w:bottom w:val="single" w:sz="6" w:space="0" w:color="DCE3EE"/>
              <w:right w:val="single" w:sz="6" w:space="0" w:color="DCE3EE"/>
            </w:tcBorders>
          </w:tcPr>
          <w:p>
            <w:pPr>
              <w:spacing w:after="0" w:line="252" w:lineRule="auto"/>
            </w:pPr>
            <w:r/>
            <w:r>
              <w:rPr>
                <w:rFonts w:ascii="Calibri" w:hAnsi="Calibri"/>
                <w:b w:val="0"/>
                <w:color w:val="17213A"/>
                <w:sz w:val="18"/>
              </w:rPr>
              <w:t>Data encoding role that may need to enter records from multiple sources.</w:t>
            </w:r>
          </w:p>
        </w:tc>
      </w:tr>
    </w:tbl>
    <w:p>
      <w:pPr>
        <w:spacing w:after="80"/>
      </w:pPr>
    </w:p>
    <w:p>
      <w:pPr>
        <w:pStyle w:val="Heading1"/>
        <w:spacing w:before="320" w:after="160"/>
      </w:pPr>
      <w:r>
        <w:rPr>
          <w:rFonts w:ascii="Calibri" w:hAnsi="Calibri"/>
          <w:b/>
          <w:color w:val="7B1113"/>
          <w:sz w:val="32"/>
        </w:rPr>
        <w:t>5. Workflow and Interface Improvements</w:t>
      </w:r>
    </w:p>
    <w:p>
      <w:pPr>
        <w:pStyle w:val="ListBullet"/>
        <w:spacing w:after="120" w:line="280" w:lineRule="auto"/>
        <w:ind w:left="720" w:hanging="360"/>
      </w:pPr>
      <w:r>
        <w:rPr>
          <w:rFonts w:ascii="Calibri" w:hAnsi="Calibri"/>
          <w:b w:val="0"/>
          <w:color w:val="17213A"/>
          <w:sz w:val="21"/>
        </w:rPr>
        <w:t>The dashboard Quick Actions are horizontally scrollable, preventing action buttons from being cut off on smaller mobile screens.</w:t>
      </w:r>
    </w:p>
    <w:p>
      <w:pPr>
        <w:pStyle w:val="ListBullet"/>
        <w:spacing w:after="120" w:line="280" w:lineRule="auto"/>
        <w:ind w:left="720" w:hanging="360"/>
      </w:pPr>
      <w:r>
        <w:rPr>
          <w:rFonts w:ascii="Calibri" w:hAnsi="Calibri"/>
          <w:b w:val="0"/>
          <w:color w:val="17213A"/>
          <w:sz w:val="21"/>
        </w:rPr>
        <w:t>Verification Review has been moved out of individual record details into a dedicated queue, making pending review work easier to find.</w:t>
      </w:r>
    </w:p>
    <w:p>
      <w:pPr>
        <w:pStyle w:val="ListBullet"/>
        <w:spacing w:after="120" w:line="280" w:lineRule="auto"/>
        <w:ind w:left="720" w:hanging="360"/>
      </w:pPr>
      <w:r>
        <w:rPr>
          <w:rFonts w:ascii="Calibri" w:hAnsi="Calibri"/>
          <w:b w:val="0"/>
          <w:color w:val="17213A"/>
          <w:sz w:val="21"/>
        </w:rPr>
        <w:t>Use current time controls now follow a consistent pattern across time-based fields, improving predictability for users.</w:t>
      </w:r>
    </w:p>
    <w:p>
      <w:pPr>
        <w:pStyle w:val="ListBullet"/>
        <w:spacing w:after="120" w:line="280" w:lineRule="auto"/>
        <w:ind w:left="720" w:hanging="360"/>
      </w:pPr>
      <w:r>
        <w:rPr>
          <w:rFonts w:ascii="Calibri" w:hAnsi="Calibri"/>
          <w:b w:val="0"/>
          <w:color w:val="17213A"/>
          <w:sz w:val="21"/>
        </w:rPr>
        <w:t>Final triage choices are arranged in a balanced two-by-two layout and color-coded by category so choices are easier to scan.</w:t>
      </w:r>
    </w:p>
    <w:p>
      <w:pPr>
        <w:pStyle w:val="ListBullet"/>
        <w:spacing w:after="120" w:line="280" w:lineRule="auto"/>
        <w:ind w:left="720" w:hanging="360"/>
      </w:pPr>
      <w:r>
        <w:rPr>
          <w:rFonts w:ascii="Calibri" w:hAnsi="Calibri"/>
          <w:b w:val="0"/>
          <w:color w:val="17213A"/>
          <w:sz w:val="21"/>
        </w:rPr>
        <w:t>Several dense sections were adjusted to improve mobile spacing, reduce visual crowding, and keep content readable on installed PWA screens.</w:t>
      </w:r>
    </w:p>
    <w:p>
      <w:pPr>
        <w:pStyle w:val="Heading1"/>
        <w:spacing w:before="320" w:after="160"/>
      </w:pPr>
      <w:r>
        <w:rPr>
          <w:rFonts w:ascii="Calibri" w:hAnsi="Calibri"/>
          <w:b/>
          <w:color w:val="7B1113"/>
          <w:sz w:val="32"/>
        </w:rPr>
        <w:t>6. Important Limitations</w:t>
      </w:r>
    </w:p>
    <w:p>
      <w:pPr>
        <w:spacing w:after="120" w:line="264" w:lineRule="auto"/>
      </w:pPr>
      <w:r>
        <w:rPr>
          <w:rFonts w:ascii="Calibri" w:hAnsi="Calibri"/>
          <w:b w:val="0"/>
          <w:color w:val="17213A"/>
          <w:sz w:val="22"/>
        </w:rPr>
        <w:t>The current role-based triage filtering is based only on account role. The app does not yet know the user's actual reporting location, duty station, assignment, or care setting. For example, it does not yet distinguish whether a user is reporting from the incident scene, an ambulance, the emergency department, a receiving ward, or a command center.</w:t>
      </w:r>
    </w:p>
    <w:p>
      <w:pPr>
        <w:pStyle w:val="Heading2"/>
        <w:spacing w:before="240" w:after="120"/>
      </w:pPr>
      <w:r>
        <w:rPr>
          <w:rFonts w:ascii="Calibri" w:hAnsi="Calibri"/>
          <w:b/>
          <w:color w:val="7B1113"/>
          <w:sz w:val="26"/>
        </w:rPr>
        <w:t>Current Known Gaps</w:t>
      </w:r>
    </w:p>
    <w:p>
      <w:pPr>
        <w:pStyle w:val="ListBullet"/>
        <w:spacing w:after="120" w:line="280" w:lineRule="auto"/>
        <w:ind w:left="720" w:hanging="360"/>
      </w:pPr>
      <w:r>
        <w:rPr>
          <w:rFonts w:ascii="Calibri" w:hAnsi="Calibri"/>
          <w:b w:val="0"/>
          <w:color w:val="17213A"/>
          <w:sz w:val="21"/>
        </w:rPr>
        <w:t>Location-aware permissions are not yet implemented. A responder assigned to transport and a responder at the scene may still share the same role behavior.</w:t>
      </w:r>
    </w:p>
    <w:p>
      <w:pPr>
        <w:pStyle w:val="ListBullet"/>
        <w:spacing w:after="120" w:line="280" w:lineRule="auto"/>
        <w:ind w:left="720" w:hanging="360"/>
      </w:pPr>
      <w:r>
        <w:rPr>
          <w:rFonts w:ascii="Calibri" w:hAnsi="Calibri"/>
          <w:b w:val="0"/>
          <w:color w:val="17213A"/>
          <w:sz w:val="21"/>
        </w:rPr>
        <w:t>Role assignment is dependent on Supabase account/profile setup. If the account exists only in the users table and not in Supabase Authentication, login will fail.</w:t>
      </w:r>
    </w:p>
    <w:p>
      <w:pPr>
        <w:pStyle w:val="ListBullet"/>
        <w:spacing w:after="120" w:line="280" w:lineRule="auto"/>
        <w:ind w:left="720" w:hanging="360"/>
      </w:pPr>
      <w:r>
        <w:rPr>
          <w:rFonts w:ascii="Calibri" w:hAnsi="Calibri"/>
          <w:b w:val="0"/>
          <w:color w:val="17213A"/>
          <w:sz w:val="21"/>
        </w:rPr>
        <w:t>Ngrok-based testing requires separate public URLs for the API and the PWA unless a proper reverse proxy or deployed API is used.</w:t>
      </w:r>
    </w:p>
    <w:p>
      <w:pPr>
        <w:pStyle w:val="ListBullet"/>
        <w:spacing w:after="120" w:line="280" w:lineRule="auto"/>
        <w:ind w:left="720" w:hanging="360"/>
      </w:pPr>
      <w:r>
        <w:rPr>
          <w:rFonts w:ascii="Calibri" w:hAnsi="Calibri"/>
          <w:b w:val="0"/>
          <w:color w:val="17213A"/>
          <w:sz w:val="21"/>
        </w:rPr>
        <w:t>PWA builds bake environment variables into the exported bundle, so changing the API URL requires rebuilding and re-serving the dist folder.</w:t>
      </w:r>
    </w:p>
    <w:p>
      <w:pPr>
        <w:pStyle w:val="ListBullet"/>
        <w:spacing w:after="120" w:line="280" w:lineRule="auto"/>
        <w:ind w:left="720" w:hanging="360"/>
      </w:pPr>
      <w:r>
        <w:rPr>
          <w:rFonts w:ascii="Calibri" w:hAnsi="Calibri"/>
          <w:b w:val="0"/>
          <w:color w:val="17213A"/>
          <w:sz w:val="21"/>
        </w:rPr>
        <w:t>The installed PWA may cache an older bundle on iOS; testers may need to close/reopen the app or remove and reinstall the home-screen app after rebuilds.</w:t>
      </w:r>
    </w:p>
    <w:p>
      <w:pPr>
        <w:pStyle w:val="Heading1"/>
        <w:spacing w:before="320" w:after="160"/>
      </w:pPr>
      <w:r>
        <w:rPr>
          <w:rFonts w:ascii="Calibri" w:hAnsi="Calibri"/>
          <w:b/>
          <w:color w:val="7B1113"/>
          <w:sz w:val="32"/>
        </w:rPr>
        <w:t>7. Recommended Improvements</w:t>
      </w:r>
    </w:p>
    <w:tbl>
      <w:tblPr>
        <w:tblW w:type="dxa" w:w="9360"/>
        <w:jc w:val="left"/>
        <w:tblLook w:firstColumn="1" w:firstRow="1" w:lastColumn="0" w:lastRow="0" w:noHBand="0" w:noVBand="1" w:val="04A0"/>
        <w:tblLayout w:type="fixed"/>
        <w:tblCellMar>
          <w:top w:w="80" w:type="dxa"/>
          <w:start w:w="120" w:type="dxa"/>
          <w:bottom w:w="80" w:type="dxa"/>
          <w:end w:w="120" w:type="dxa"/>
        </w:tblCellMar>
      </w:tblPr>
      <w:tblGrid>
        <w:gridCol w:w="3120"/>
        <w:gridCol w:w="3120"/>
        <w:gridCol w:w="3120"/>
      </w:tblGrid>
      <w:tr>
        <w:tc>
          <w:tcPr>
            <w:tcW w:type="dxa" w:w="1200"/>
            <w:vAlign w:val="center"/>
            <w:shd w:fill="7B1113"/>
            <w:tcBorders>
              <w:top w:val="single" w:sz="6" w:space="0" w:color="DCE3EE"/>
              <w:left w:val="single" w:sz="6" w:space="0" w:color="DCE3EE"/>
              <w:bottom w:val="single" w:sz="6" w:space="0" w:color="DCE3EE"/>
              <w:right w:val="single" w:sz="6" w:space="0" w:color="DCE3EE"/>
            </w:tcBorders>
          </w:tcPr>
          <w:p>
            <w:pPr>
              <w:spacing w:after="0" w:line="252" w:lineRule="auto"/>
            </w:pPr>
            <w:r/>
            <w:r>
              <w:rPr>
                <w:rFonts w:ascii="Calibri" w:hAnsi="Calibri"/>
                <w:b/>
                <w:color w:val="FFFFFF"/>
                <w:sz w:val="19"/>
              </w:rPr>
              <w:t>Priority</w:t>
            </w:r>
          </w:p>
        </w:tc>
        <w:tc>
          <w:tcPr>
            <w:tcW w:type="dxa" w:w="3800"/>
            <w:vAlign w:val="center"/>
            <w:shd w:fill="7B1113"/>
            <w:tcBorders>
              <w:top w:val="single" w:sz="6" w:space="0" w:color="DCE3EE"/>
              <w:left w:val="single" w:sz="6" w:space="0" w:color="DCE3EE"/>
              <w:bottom w:val="single" w:sz="6" w:space="0" w:color="DCE3EE"/>
              <w:right w:val="single" w:sz="6" w:space="0" w:color="DCE3EE"/>
            </w:tcBorders>
          </w:tcPr>
          <w:p>
            <w:pPr>
              <w:spacing w:after="0" w:line="252" w:lineRule="auto"/>
            </w:pPr>
            <w:r/>
            <w:r>
              <w:rPr>
                <w:rFonts w:ascii="Calibri" w:hAnsi="Calibri"/>
                <w:b/>
                <w:color w:val="FFFFFF"/>
                <w:sz w:val="19"/>
              </w:rPr>
              <w:t>Improvement</w:t>
            </w:r>
          </w:p>
        </w:tc>
        <w:tc>
          <w:tcPr>
            <w:tcW w:type="dxa" w:w="4360"/>
            <w:vAlign w:val="center"/>
            <w:shd w:fill="7B1113"/>
            <w:tcBorders>
              <w:top w:val="single" w:sz="6" w:space="0" w:color="DCE3EE"/>
              <w:left w:val="single" w:sz="6" w:space="0" w:color="DCE3EE"/>
              <w:bottom w:val="single" w:sz="6" w:space="0" w:color="DCE3EE"/>
              <w:right w:val="single" w:sz="6" w:space="0" w:color="DCE3EE"/>
            </w:tcBorders>
          </w:tcPr>
          <w:p>
            <w:pPr>
              <w:spacing w:after="0" w:line="252" w:lineRule="auto"/>
            </w:pPr>
            <w:r/>
            <w:r>
              <w:rPr>
                <w:rFonts w:ascii="Calibri" w:hAnsi="Calibri"/>
                <w:b/>
                <w:color w:val="FFFFFF"/>
                <w:sz w:val="19"/>
              </w:rPr>
              <w:t>Reason</w:t>
            </w:r>
          </w:p>
        </w:tc>
      </w:tr>
      <w:tr>
        <w:tc>
          <w:tcPr>
            <w:tcW w:type="dxa" w:w="1200"/>
            <w:vAlign w:val="top"/>
            <w:tcBorders>
              <w:top w:val="single" w:sz="6" w:space="0" w:color="DCE3EE"/>
              <w:left w:val="single" w:sz="6" w:space="0" w:color="DCE3EE"/>
              <w:bottom w:val="single" w:sz="6" w:space="0" w:color="DCE3EE"/>
              <w:right w:val="single" w:sz="6" w:space="0" w:color="DCE3EE"/>
            </w:tcBorders>
          </w:tcPr>
          <w:p>
            <w:pPr>
              <w:spacing w:after="0" w:line="252" w:lineRule="auto"/>
            </w:pPr>
            <w:r/>
            <w:r>
              <w:rPr>
                <w:rFonts w:ascii="Calibri" w:hAnsi="Calibri"/>
                <w:b w:val="0"/>
                <w:color w:val="17213A"/>
                <w:sz w:val="18"/>
              </w:rPr>
              <w:t>High</w:t>
            </w:r>
          </w:p>
        </w:tc>
        <w:tc>
          <w:tcPr>
            <w:tcW w:type="dxa" w:w="3800"/>
            <w:vAlign w:val="top"/>
            <w:tcBorders>
              <w:top w:val="single" w:sz="6" w:space="0" w:color="DCE3EE"/>
              <w:left w:val="single" w:sz="6" w:space="0" w:color="DCE3EE"/>
              <w:bottom w:val="single" w:sz="6" w:space="0" w:color="DCE3EE"/>
              <w:right w:val="single" w:sz="6" w:space="0" w:color="DCE3EE"/>
            </w:tcBorders>
          </w:tcPr>
          <w:p>
            <w:pPr>
              <w:spacing w:after="0" w:line="252" w:lineRule="auto"/>
            </w:pPr>
            <w:r/>
            <w:r>
              <w:rPr>
                <w:rFonts w:ascii="Calibri" w:hAnsi="Calibri"/>
                <w:b w:val="0"/>
                <w:color w:val="17213A"/>
                <w:sz w:val="18"/>
              </w:rPr>
              <w:t>Add reporting-location or assignment context to user sessions.</w:t>
            </w:r>
          </w:p>
        </w:tc>
        <w:tc>
          <w:tcPr>
            <w:tcW w:type="dxa" w:w="4360"/>
            <w:vAlign w:val="top"/>
            <w:tcBorders>
              <w:top w:val="single" w:sz="6" w:space="0" w:color="DCE3EE"/>
              <w:left w:val="single" w:sz="6" w:space="0" w:color="DCE3EE"/>
              <w:bottom w:val="single" w:sz="6" w:space="0" w:color="DCE3EE"/>
              <w:right w:val="single" w:sz="6" w:space="0" w:color="DCE3EE"/>
            </w:tcBorders>
          </w:tcPr>
          <w:p>
            <w:pPr>
              <w:spacing w:after="0" w:line="252" w:lineRule="auto"/>
            </w:pPr>
            <w:r/>
            <w:r>
              <w:rPr>
                <w:rFonts w:ascii="Calibri" w:hAnsi="Calibri"/>
                <w:b w:val="0"/>
                <w:color w:val="17213A"/>
                <w:sz w:val="18"/>
              </w:rPr>
              <w:t>This would allow triage menus to respond not only to role, but also to whether the user is at scene, transport, ED, or ward.</w:t>
            </w:r>
          </w:p>
        </w:tc>
      </w:tr>
      <w:tr>
        <w:tc>
          <w:tcPr>
            <w:tcW w:type="dxa" w:w="1200"/>
            <w:vAlign w:val="top"/>
            <w:tcBorders>
              <w:top w:val="single" w:sz="6" w:space="0" w:color="DCE3EE"/>
              <w:left w:val="single" w:sz="6" w:space="0" w:color="DCE3EE"/>
              <w:bottom w:val="single" w:sz="6" w:space="0" w:color="DCE3EE"/>
              <w:right w:val="single" w:sz="6" w:space="0" w:color="DCE3EE"/>
            </w:tcBorders>
          </w:tcPr>
          <w:p>
            <w:pPr>
              <w:spacing w:after="0" w:line="252" w:lineRule="auto"/>
            </w:pPr>
            <w:r/>
            <w:r>
              <w:rPr>
                <w:rFonts w:ascii="Calibri" w:hAnsi="Calibri"/>
                <w:b w:val="0"/>
                <w:color w:val="17213A"/>
                <w:sz w:val="18"/>
              </w:rPr>
              <w:t>High</w:t>
            </w:r>
          </w:p>
        </w:tc>
        <w:tc>
          <w:tcPr>
            <w:tcW w:type="dxa" w:w="3800"/>
            <w:vAlign w:val="top"/>
            <w:tcBorders>
              <w:top w:val="single" w:sz="6" w:space="0" w:color="DCE3EE"/>
              <w:left w:val="single" w:sz="6" w:space="0" w:color="DCE3EE"/>
              <w:bottom w:val="single" w:sz="6" w:space="0" w:color="DCE3EE"/>
              <w:right w:val="single" w:sz="6" w:space="0" w:color="DCE3EE"/>
            </w:tcBorders>
          </w:tcPr>
          <w:p>
            <w:pPr>
              <w:spacing w:after="0" w:line="252" w:lineRule="auto"/>
            </w:pPr>
            <w:r/>
            <w:r>
              <w:rPr>
                <w:rFonts w:ascii="Calibri" w:hAnsi="Calibri"/>
                <w:b w:val="0"/>
                <w:color w:val="17213A"/>
                <w:sz w:val="18"/>
              </w:rPr>
              <w:t>Create a controlled user/account management workflow.</w:t>
            </w:r>
          </w:p>
        </w:tc>
        <w:tc>
          <w:tcPr>
            <w:tcW w:type="dxa" w:w="4360"/>
            <w:vAlign w:val="top"/>
            <w:tcBorders>
              <w:top w:val="single" w:sz="6" w:space="0" w:color="DCE3EE"/>
              <w:left w:val="single" w:sz="6" w:space="0" w:color="DCE3EE"/>
              <w:bottom w:val="single" w:sz="6" w:space="0" w:color="DCE3EE"/>
              <w:right w:val="single" w:sz="6" w:space="0" w:color="DCE3EE"/>
            </w:tcBorders>
          </w:tcPr>
          <w:p>
            <w:pPr>
              <w:spacing w:after="0" w:line="252" w:lineRule="auto"/>
            </w:pPr>
            <w:r/>
            <w:r>
              <w:rPr>
                <w:rFonts w:ascii="Calibri" w:hAnsi="Calibri"/>
                <w:b w:val="0"/>
                <w:color w:val="17213A"/>
                <w:sz w:val="18"/>
              </w:rPr>
              <w:t>Testing and deployment are easier if admins can create users with correct Auth and profile records from one interface.</w:t>
            </w:r>
          </w:p>
        </w:tc>
      </w:tr>
      <w:tr>
        <w:tc>
          <w:tcPr>
            <w:tcW w:type="dxa" w:w="1200"/>
            <w:vAlign w:val="top"/>
            <w:tcBorders>
              <w:top w:val="single" w:sz="6" w:space="0" w:color="DCE3EE"/>
              <w:left w:val="single" w:sz="6" w:space="0" w:color="DCE3EE"/>
              <w:bottom w:val="single" w:sz="6" w:space="0" w:color="DCE3EE"/>
              <w:right w:val="single" w:sz="6" w:space="0" w:color="DCE3EE"/>
            </w:tcBorders>
          </w:tcPr>
          <w:p>
            <w:pPr>
              <w:spacing w:after="0" w:line="252" w:lineRule="auto"/>
            </w:pPr>
            <w:r/>
            <w:r>
              <w:rPr>
                <w:rFonts w:ascii="Calibri" w:hAnsi="Calibri"/>
                <w:b w:val="0"/>
                <w:color w:val="17213A"/>
                <w:sz w:val="18"/>
              </w:rPr>
              <w:t>Medium</w:t>
            </w:r>
          </w:p>
        </w:tc>
        <w:tc>
          <w:tcPr>
            <w:tcW w:type="dxa" w:w="3800"/>
            <w:vAlign w:val="top"/>
            <w:tcBorders>
              <w:top w:val="single" w:sz="6" w:space="0" w:color="DCE3EE"/>
              <w:left w:val="single" w:sz="6" w:space="0" w:color="DCE3EE"/>
              <w:bottom w:val="single" w:sz="6" w:space="0" w:color="DCE3EE"/>
              <w:right w:val="single" w:sz="6" w:space="0" w:color="DCE3EE"/>
            </w:tcBorders>
          </w:tcPr>
          <w:p>
            <w:pPr>
              <w:spacing w:after="0" w:line="252" w:lineRule="auto"/>
            </w:pPr>
            <w:r/>
            <w:r>
              <w:rPr>
                <w:rFonts w:ascii="Calibri" w:hAnsi="Calibri"/>
                <w:b w:val="0"/>
                <w:color w:val="17213A"/>
                <w:sz w:val="18"/>
              </w:rPr>
              <w:t>Add a deployment diagnostics screen or API status indicator.</w:t>
            </w:r>
          </w:p>
        </w:tc>
        <w:tc>
          <w:tcPr>
            <w:tcW w:type="dxa" w:w="4360"/>
            <w:vAlign w:val="top"/>
            <w:tcBorders>
              <w:top w:val="single" w:sz="6" w:space="0" w:color="DCE3EE"/>
              <w:left w:val="single" w:sz="6" w:space="0" w:color="DCE3EE"/>
              <w:bottom w:val="single" w:sz="6" w:space="0" w:color="DCE3EE"/>
              <w:right w:val="single" w:sz="6" w:space="0" w:color="DCE3EE"/>
            </w:tcBorders>
          </w:tcPr>
          <w:p>
            <w:pPr>
              <w:spacing w:after="0" w:line="252" w:lineRule="auto"/>
            </w:pPr>
            <w:r/>
            <w:r>
              <w:rPr>
                <w:rFonts w:ascii="Calibri" w:hAnsi="Calibri"/>
                <w:b w:val="0"/>
                <w:color w:val="17213A"/>
                <w:sz w:val="18"/>
              </w:rPr>
              <w:t>This would help testers see whether the PWA is connected to the correct public API URL.</w:t>
            </w:r>
          </w:p>
        </w:tc>
      </w:tr>
      <w:tr>
        <w:tc>
          <w:tcPr>
            <w:tcW w:type="dxa" w:w="1200"/>
            <w:vAlign w:val="top"/>
            <w:tcBorders>
              <w:top w:val="single" w:sz="6" w:space="0" w:color="DCE3EE"/>
              <w:left w:val="single" w:sz="6" w:space="0" w:color="DCE3EE"/>
              <w:bottom w:val="single" w:sz="6" w:space="0" w:color="DCE3EE"/>
              <w:right w:val="single" w:sz="6" w:space="0" w:color="DCE3EE"/>
            </w:tcBorders>
          </w:tcPr>
          <w:p>
            <w:pPr>
              <w:spacing w:after="0" w:line="252" w:lineRule="auto"/>
            </w:pPr>
            <w:r/>
            <w:r>
              <w:rPr>
                <w:rFonts w:ascii="Calibri" w:hAnsi="Calibri"/>
                <w:b w:val="0"/>
                <w:color w:val="17213A"/>
                <w:sz w:val="18"/>
              </w:rPr>
              <w:t>Medium</w:t>
            </w:r>
          </w:p>
        </w:tc>
        <w:tc>
          <w:tcPr>
            <w:tcW w:type="dxa" w:w="3800"/>
            <w:vAlign w:val="top"/>
            <w:tcBorders>
              <w:top w:val="single" w:sz="6" w:space="0" w:color="DCE3EE"/>
              <w:left w:val="single" w:sz="6" w:space="0" w:color="DCE3EE"/>
              <w:bottom w:val="single" w:sz="6" w:space="0" w:color="DCE3EE"/>
              <w:right w:val="single" w:sz="6" w:space="0" w:color="DCE3EE"/>
            </w:tcBorders>
          </w:tcPr>
          <w:p>
            <w:pPr>
              <w:spacing w:after="0" w:line="252" w:lineRule="auto"/>
            </w:pPr>
            <w:r/>
            <w:r>
              <w:rPr>
                <w:rFonts w:ascii="Calibri" w:hAnsi="Calibri"/>
                <w:b w:val="0"/>
                <w:color w:val="17213A"/>
                <w:sz w:val="18"/>
              </w:rPr>
              <w:t>Add audit notes for algorithm version and assessment completeness.</w:t>
            </w:r>
          </w:p>
        </w:tc>
        <w:tc>
          <w:tcPr>
            <w:tcW w:type="dxa" w:w="4360"/>
            <w:vAlign w:val="top"/>
            <w:tcBorders>
              <w:top w:val="single" w:sz="6" w:space="0" w:color="DCE3EE"/>
              <w:left w:val="single" w:sz="6" w:space="0" w:color="DCE3EE"/>
              <w:bottom w:val="single" w:sz="6" w:space="0" w:color="DCE3EE"/>
              <w:right w:val="single" w:sz="6" w:space="0" w:color="DCE3EE"/>
            </w:tcBorders>
          </w:tcPr>
          <w:p>
            <w:pPr>
              <w:spacing w:after="0" w:line="252" w:lineRule="auto"/>
            </w:pPr>
            <w:r/>
            <w:r>
              <w:rPr>
                <w:rFonts w:ascii="Calibri" w:hAnsi="Calibri"/>
                <w:b w:val="0"/>
                <w:color w:val="17213A"/>
                <w:sz w:val="18"/>
              </w:rPr>
              <w:t>This supports later review of why a triage category was calculated and which algorithm rules were applied.</w:t>
            </w:r>
          </w:p>
        </w:tc>
      </w:tr>
      <w:tr>
        <w:tc>
          <w:tcPr>
            <w:tcW w:type="dxa" w:w="1200"/>
            <w:vAlign w:val="top"/>
            <w:tcBorders>
              <w:top w:val="single" w:sz="6" w:space="0" w:color="DCE3EE"/>
              <w:left w:val="single" w:sz="6" w:space="0" w:color="DCE3EE"/>
              <w:bottom w:val="single" w:sz="6" w:space="0" w:color="DCE3EE"/>
              <w:right w:val="single" w:sz="6" w:space="0" w:color="DCE3EE"/>
            </w:tcBorders>
          </w:tcPr>
          <w:p>
            <w:pPr>
              <w:spacing w:after="0" w:line="252" w:lineRule="auto"/>
            </w:pPr>
            <w:r/>
            <w:r>
              <w:rPr>
                <w:rFonts w:ascii="Calibri" w:hAnsi="Calibri"/>
                <w:b w:val="0"/>
                <w:color w:val="17213A"/>
                <w:sz w:val="18"/>
              </w:rPr>
              <w:t>Medium</w:t>
            </w:r>
          </w:p>
        </w:tc>
        <w:tc>
          <w:tcPr>
            <w:tcW w:type="dxa" w:w="3800"/>
            <w:vAlign w:val="top"/>
            <w:tcBorders>
              <w:top w:val="single" w:sz="6" w:space="0" w:color="DCE3EE"/>
              <w:left w:val="single" w:sz="6" w:space="0" w:color="DCE3EE"/>
              <w:bottom w:val="single" w:sz="6" w:space="0" w:color="DCE3EE"/>
              <w:right w:val="single" w:sz="6" w:space="0" w:color="DCE3EE"/>
            </w:tcBorders>
          </w:tcPr>
          <w:p>
            <w:pPr>
              <w:spacing w:after="0" w:line="252" w:lineRule="auto"/>
            </w:pPr>
            <w:r/>
            <w:r>
              <w:rPr>
                <w:rFonts w:ascii="Calibri" w:hAnsi="Calibri"/>
                <w:b w:val="0"/>
                <w:color w:val="17213A"/>
                <w:sz w:val="18"/>
              </w:rPr>
              <w:t>Improve offline and sync messaging.</w:t>
            </w:r>
          </w:p>
        </w:tc>
        <w:tc>
          <w:tcPr>
            <w:tcW w:type="dxa" w:w="4360"/>
            <w:vAlign w:val="top"/>
            <w:tcBorders>
              <w:top w:val="single" w:sz="6" w:space="0" w:color="DCE3EE"/>
              <w:left w:val="single" w:sz="6" w:space="0" w:color="DCE3EE"/>
              <w:bottom w:val="single" w:sz="6" w:space="0" w:color="DCE3EE"/>
              <w:right w:val="single" w:sz="6" w:space="0" w:color="DCE3EE"/>
            </w:tcBorders>
          </w:tcPr>
          <w:p>
            <w:pPr>
              <w:spacing w:after="0" w:line="252" w:lineRule="auto"/>
            </w:pPr>
            <w:r/>
            <w:r>
              <w:rPr>
                <w:rFonts w:ascii="Calibri" w:hAnsi="Calibri"/>
                <w:b w:val="0"/>
                <w:color w:val="17213A"/>
                <w:sz w:val="18"/>
              </w:rPr>
              <w:t>Field environments may have unstable connectivity, so users should clearly know whether a record is saved locally, queued, or synced.</w:t>
            </w:r>
          </w:p>
        </w:tc>
      </w:tr>
      <w:tr>
        <w:tc>
          <w:tcPr>
            <w:tcW w:type="dxa" w:w="1200"/>
            <w:vAlign w:val="top"/>
            <w:tcBorders>
              <w:top w:val="single" w:sz="6" w:space="0" w:color="DCE3EE"/>
              <w:left w:val="single" w:sz="6" w:space="0" w:color="DCE3EE"/>
              <w:bottom w:val="single" w:sz="6" w:space="0" w:color="DCE3EE"/>
              <w:right w:val="single" w:sz="6" w:space="0" w:color="DCE3EE"/>
            </w:tcBorders>
          </w:tcPr>
          <w:p>
            <w:pPr>
              <w:spacing w:after="0" w:line="252" w:lineRule="auto"/>
            </w:pPr>
            <w:r/>
            <w:r>
              <w:rPr>
                <w:rFonts w:ascii="Calibri" w:hAnsi="Calibri"/>
                <w:b w:val="0"/>
                <w:color w:val="17213A"/>
                <w:sz w:val="18"/>
              </w:rPr>
              <w:t>Low</w:t>
            </w:r>
          </w:p>
        </w:tc>
        <w:tc>
          <w:tcPr>
            <w:tcW w:type="dxa" w:w="3800"/>
            <w:vAlign w:val="top"/>
            <w:tcBorders>
              <w:top w:val="single" w:sz="6" w:space="0" w:color="DCE3EE"/>
              <w:left w:val="single" w:sz="6" w:space="0" w:color="DCE3EE"/>
              <w:bottom w:val="single" w:sz="6" w:space="0" w:color="DCE3EE"/>
              <w:right w:val="single" w:sz="6" w:space="0" w:color="DCE3EE"/>
            </w:tcBorders>
          </w:tcPr>
          <w:p>
            <w:pPr>
              <w:spacing w:after="0" w:line="252" w:lineRule="auto"/>
            </w:pPr>
            <w:r/>
            <w:r>
              <w:rPr>
                <w:rFonts w:ascii="Calibri" w:hAnsi="Calibri"/>
                <w:b w:val="0"/>
                <w:color w:val="17213A"/>
                <w:sz w:val="18"/>
              </w:rPr>
              <w:t>Formalize UI QA checks for installed PWA screens.</w:t>
            </w:r>
          </w:p>
        </w:tc>
        <w:tc>
          <w:tcPr>
            <w:tcW w:type="dxa" w:w="4360"/>
            <w:vAlign w:val="top"/>
            <w:tcBorders>
              <w:top w:val="single" w:sz="6" w:space="0" w:color="DCE3EE"/>
              <w:left w:val="single" w:sz="6" w:space="0" w:color="DCE3EE"/>
              <w:bottom w:val="single" w:sz="6" w:space="0" w:color="DCE3EE"/>
              <w:right w:val="single" w:sz="6" w:space="0" w:color="DCE3EE"/>
            </w:tcBorders>
          </w:tcPr>
          <w:p>
            <w:pPr>
              <w:spacing w:after="0" w:line="252" w:lineRule="auto"/>
            </w:pPr>
            <w:r/>
            <w:r>
              <w:rPr>
                <w:rFonts w:ascii="Calibri" w:hAnsi="Calibri"/>
                <w:b w:val="0"/>
                <w:color w:val="17213A"/>
                <w:sz w:val="18"/>
              </w:rPr>
              <w:t>Installed iOS PWAs can render spacing differently from desktop browsers, so repeated mobile viewport checks are valuable.</w:t>
            </w:r>
          </w:p>
        </w:tc>
      </w:tr>
    </w:tbl>
    <w:p>
      <w:pPr>
        <w:spacing w:after="80"/>
      </w:pPr>
    </w:p>
    <w:p>
      <w:pPr>
        <w:pStyle w:val="Heading1"/>
        <w:spacing w:before="320" w:after="160"/>
      </w:pPr>
      <w:r>
        <w:rPr>
          <w:rFonts w:ascii="Calibri" w:hAnsi="Calibri"/>
          <w:b/>
          <w:color w:val="7B1113"/>
          <w:sz w:val="32"/>
        </w:rPr>
        <w:t>8. Current Status Conclusion</w:t>
      </w:r>
    </w:p>
    <w:p>
      <w:pPr>
        <w:spacing w:after="120" w:line="264" w:lineRule="auto"/>
      </w:pPr>
      <w:r>
        <w:rPr>
          <w:rFonts w:ascii="Calibri" w:hAnsi="Calibri"/>
          <w:b w:val="0"/>
          <w:color w:val="17213A"/>
          <w:sz w:val="22"/>
        </w:rPr>
        <w:t>The mobile app is functionally ready for expanded PWA testing and client review of the major workflow changes. The strongest completed areas are the Add Casualty restructuring, disaster-first workflow, collapsible quick-create sections, triage assessment popup, algorithm-based triage calculation, and dashboard queue improvements.</w:t>
      </w:r>
    </w:p>
    <w:p>
      <w:pPr>
        <w:spacing w:before="80" w:after="160"/>
      </w:pPr>
      <w:r>
        <w:rPr>
          <w:rFonts w:ascii="Calibri" w:hAnsi="Calibri"/>
          <w:b/>
          <w:color w:val="7B1113"/>
          <w:sz w:val="22"/>
        </w:rPr>
        <w:t>The most important next implementation step is to move from role-only triage filtering to role plus reporting-context filtering. This would better reflect real operational distinctions between bystanders, scene responders, transport personnel, receiving facility nurses, and hospital care teams.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Calibri" w:hAnsi="Calibri"/>
        <w:b w:val="0"/>
        <w:color w:val="69758C"/>
        <w:sz w:val="17"/>
      </w:rPr>
      <w:t>Mobile App Current Status Report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color w:val="7B1113"/>
        <w:sz w:val="18"/>
      </w:rPr>
      <w:t>Disaster Casualty Management System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17213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7B1113"/>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7B111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Mobile App Current Status Report</dc:title>
  <dc:subject>Disaster Casualty Management System PWA and triage workflow status</dc:subject>
  <dc:creator>Codex</dc:creator>
  <cp:keywords>DCMS, PWA, triage, mobile app, status report</cp:keywords>
  <dc:description>generated by python-docx</dc:description>
  <cp:lastModifiedBy/>
  <cp:revision>1</cp:revision>
  <dcterms:created xsi:type="dcterms:W3CDTF">2013-12-23T23:15:00Z</dcterms:created>
  <dcterms:modified xsi:type="dcterms:W3CDTF">2013-12-23T23:15:00Z</dcterms:modified>
  <cp:category/>
</cp:coreProperties>
</file>