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640" w:after="280" w:line="259" w:lineRule="auto"/>
      </w:pPr>
      <w:r>
        <w:rPr>
          <w:rFonts w:ascii="Aptos Display" w:hAnsi="Aptos Display"/>
          <w:b/>
          <w:i w:val="0"/>
          <w:color w:val="0F766E"/>
          <w:sz w:val="28"/>
        </w:rPr>
        <w:t>MEDSORT</w:t>
      </w:r>
    </w:p>
    <w:p>
      <w:pPr>
        <w:pStyle w:val="Title"/>
        <w:keepNext w:val="0"/>
        <w:widowControl/>
        <w:spacing w:before="0" w:after="140" w:line="228" w:lineRule="auto"/>
      </w:pPr>
      <w:r>
        <w:rPr>
          <w:rFonts w:ascii="Aptos Display" w:hAnsi="Aptos Display"/>
          <w:b/>
          <w:i w:val="0"/>
          <w:color w:val="000000"/>
          <w:sz w:val="54"/>
        </w:rPr>
        <w:t>Disaster Casualty Management System Training Materials</w:t>
      </w:r>
    </w:p>
    <w:p>
      <w:pPr>
        <w:keepNext w:val="0"/>
        <w:widowControl/>
        <w:spacing w:before="0" w:after="440" w:line="240" w:lineRule="auto"/>
      </w:pPr>
      <w:r>
        <w:rPr>
          <w:rFonts w:ascii="Aptos Display" w:hAnsi="Aptos Display"/>
          <w:b/>
          <w:i w:val="0"/>
          <w:color w:val="455A64"/>
          <w:sz w:val="29"/>
        </w:rPr>
        <w:t>Instructor modules, guided exercises and competency assessment</w:t>
      </w:r>
    </w:p>
    <w:p>
      <w:pPr>
        <w:pStyle w:val="BodyText"/>
        <w:keepNext w:val="0"/>
        <w:widowControl/>
        <w:spacing w:before="0" w:after="360" w:line="259" w:lineRule="auto"/>
      </w:pPr>
      <w:r>
        <w:rPr>
          <w:rFonts w:ascii="Aptos" w:hAnsi="Aptos"/>
          <w:b w:val="0"/>
          <w:i w:val="0"/>
          <w:color w:val="263238"/>
          <w:sz w:val="21"/>
        </w:rPr>
        <w:t>A facilitator-ready training guide for onboarding system administrators, responders, documenters, trainers, and evaluators using role-specific exercises and measurable completion criteria.</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0" w:lineRule="auto"/>
            </w:pPr>
            <w:r>
              <w:rPr>
                <w:rFonts w:ascii="Aptos" w:hAnsi="Aptos"/>
                <w:b/>
                <w:i w:val="0"/>
                <w:color w:val="FFFFFF"/>
                <w:sz w:val="19"/>
              </w:rPr>
              <w:t>Document control</w:t>
            </w:r>
          </w:p>
        </w:tc>
        <w:tc>
          <w:tcPr>
            <w:tcW w:type="dxa" w:w="6552"/>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0" w:lineRule="auto"/>
            </w:pPr>
            <w:r>
              <w:rPr>
                <w:rFonts w:ascii="Aptos" w:hAnsi="Aptos"/>
                <w:b/>
                <w:i w:val="0"/>
                <w:color w:val="FFFFFF"/>
                <w:sz w:val="19"/>
              </w:rPr>
              <w:t>Value</w:t>
            </w:r>
          </w:p>
        </w:tc>
      </w:tr>
      <w:tr>
        <w:tc>
          <w:tcPr>
            <w:tcW w:type="dxa" w:w="288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Document version</w:t>
            </w:r>
          </w:p>
        </w:tc>
        <w:tc>
          <w:tcPr>
            <w:tcW w:type="dxa" w:w="655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1.0</w:t>
            </w:r>
          </w:p>
        </w:tc>
      </w:tr>
      <w:tr>
        <w:tc>
          <w:tcPr>
            <w:tcW w:type="dxa" w:w="288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Implementation baseline</w:t>
            </w:r>
          </w:p>
        </w:tc>
        <w:tc>
          <w:tcPr>
            <w:tcW w:type="dxa" w:w="655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Current project snapshot</w:t>
            </w:r>
          </w:p>
        </w:tc>
      </w:tr>
      <w:tr>
        <w:tc>
          <w:tcPr>
            <w:tcW w:type="dxa" w:w="288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Prepared</w:t>
            </w:r>
          </w:p>
        </w:tc>
        <w:tc>
          <w:tcPr>
            <w:tcW w:type="dxa" w:w="655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20 October 2026</w:t>
            </w:r>
          </w:p>
        </w:tc>
      </w:tr>
      <w:tr>
        <w:tc>
          <w:tcPr>
            <w:tcW w:type="dxa" w:w="288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Document owner</w:t>
            </w:r>
          </w:p>
        </w:tc>
        <w:tc>
          <w:tcPr>
            <w:tcW w:type="dxa" w:w="655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MedSORT Project Team</w:t>
            </w:r>
          </w:p>
        </w:tc>
      </w:tr>
      <w:tr>
        <w:tc>
          <w:tcPr>
            <w:tcW w:type="dxa" w:w="288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Status</w:t>
            </w:r>
          </w:p>
        </w:tc>
        <w:tc>
          <w:tcPr>
            <w:tcW w:type="dxa" w:w="655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9"/>
              </w:rPr>
              <w:t>Operational reference for controlled use</w:t>
            </w:r>
          </w:p>
        </w:tc>
      </w:tr>
    </w:tbl>
    <w:p>
      <w:pPr>
        <w:spacing w:after="60"/>
      </w:pPr>
    </w:p>
    <w:p>
      <w:r>
        <w:br w:type="page"/>
      </w:r>
    </w:p>
    <w:p>
      <w:pPr>
        <w:pStyle w:val="Heading1"/>
        <w:keepNext/>
        <w:widowControl/>
        <w:spacing w:before="240" w:after="120" w:line="240" w:lineRule="auto"/>
      </w:pPr>
      <w:r>
        <w:rPr>
          <w:rFonts w:ascii="Aptos Display" w:hAnsi="Aptos Display"/>
          <w:b/>
          <w:i w:val="0"/>
          <w:color w:val="000000"/>
          <w:sz w:val="36"/>
        </w:rPr>
        <w:t>Contents</w:t>
      </w:r>
    </w:p>
    <w:p>
      <w:pPr>
        <w:keepNext w:val="0"/>
        <w:widowControl/>
        <w:spacing w:before="0" w:after="40" w:line="240" w:lineRule="auto"/>
      </w:pPr>
      <w:r>
        <w:rPr>
          <w:rFonts w:ascii="Aptos" w:hAnsi="Aptos"/>
          <w:b w:val="0"/>
          <w:i w:val="0"/>
          <w:color w:val="263238"/>
          <w:sz w:val="21"/>
        </w:rPr>
        <w:t>21. Training Outcomes</w:t>
      </w:r>
    </w:p>
    <w:p>
      <w:pPr>
        <w:keepNext w:val="0"/>
        <w:widowControl/>
        <w:spacing w:before="0" w:after="40" w:line="240" w:lineRule="auto"/>
      </w:pPr>
      <w:r>
        <w:rPr>
          <w:rFonts w:ascii="Aptos" w:hAnsi="Aptos"/>
          <w:b w:val="0"/>
          <w:i w:val="0"/>
          <w:color w:val="263238"/>
          <w:sz w:val="21"/>
        </w:rPr>
        <w:t>22. Audience, Preparation and Delivery Plan</w:t>
      </w:r>
    </w:p>
    <w:p>
      <w:pPr>
        <w:keepNext w:val="0"/>
        <w:widowControl/>
        <w:spacing w:before="0" w:after="40" w:line="240" w:lineRule="auto"/>
      </w:pPr>
      <w:r>
        <w:rPr>
          <w:rFonts w:ascii="Aptos" w:hAnsi="Aptos"/>
          <w:b w:val="0"/>
          <w:i w:val="0"/>
          <w:color w:val="263238"/>
          <w:sz w:val="21"/>
        </w:rPr>
        <w:t>23. Instructor Modules</w:t>
      </w:r>
    </w:p>
    <w:p>
      <w:pPr>
        <w:keepNext w:val="0"/>
        <w:widowControl/>
        <w:spacing w:before="0" w:after="40" w:line="240" w:lineRule="auto"/>
      </w:pPr>
      <w:r>
        <w:rPr>
          <w:rFonts w:ascii="Aptos" w:hAnsi="Aptos"/>
          <w:b w:val="0"/>
          <w:i w:val="0"/>
          <w:color w:val="263238"/>
          <w:sz w:val="21"/>
        </w:rPr>
        <w:t>24. Guided Practice Scenarios</w:t>
      </w:r>
    </w:p>
    <w:p>
      <w:pPr>
        <w:keepNext w:val="0"/>
        <w:widowControl/>
        <w:spacing w:before="0" w:after="40" w:line="240" w:lineRule="auto"/>
      </w:pPr>
      <w:r>
        <w:rPr>
          <w:rFonts w:ascii="Aptos" w:hAnsi="Aptos"/>
          <w:b w:val="0"/>
          <w:i w:val="0"/>
          <w:color w:val="263238"/>
          <w:sz w:val="21"/>
        </w:rPr>
        <w:t>25. Competency Assessment</w:t>
      </w:r>
    </w:p>
    <w:p>
      <w:pPr>
        <w:keepNext w:val="0"/>
        <w:widowControl/>
        <w:spacing w:before="0" w:after="40" w:line="240" w:lineRule="auto"/>
      </w:pPr>
      <w:r>
        <w:rPr>
          <w:rFonts w:ascii="Aptos" w:hAnsi="Aptos"/>
          <w:b w:val="0"/>
          <w:i w:val="0"/>
          <w:color w:val="263238"/>
          <w:sz w:val="21"/>
        </w:rPr>
        <w:t>26. Quick Reference Checklists</w:t>
      </w:r>
    </w:p>
    <w:p>
      <w:r>
        <w:br w:type="page"/>
      </w:r>
    </w:p>
    <w:p>
      <w:pPr>
        <w:pStyle w:val="Heading1"/>
        <w:keepNext/>
        <w:widowControl/>
        <w:spacing w:before="240" w:after="120" w:line="240" w:lineRule="auto"/>
      </w:pPr>
      <w:r>
        <w:rPr>
          <w:rFonts w:ascii="Aptos Display" w:hAnsi="Aptos Display"/>
          <w:b/>
          <w:i w:val="0"/>
          <w:color w:val="000000"/>
          <w:sz w:val="36"/>
        </w:rPr>
        <w:t>21. Training Outcomes</w:t>
      </w:r>
    </w:p>
    <w:p>
      <w:pPr>
        <w:pStyle w:val="BodyText"/>
        <w:keepNext w:val="0"/>
        <w:widowControl/>
        <w:spacing w:before="0" w:after="120" w:line="259" w:lineRule="auto"/>
      </w:pPr>
      <w:r>
        <w:rPr>
          <w:rFonts w:ascii="Aptos" w:hAnsi="Aptos"/>
          <w:b w:val="0"/>
          <w:i w:val="0"/>
          <w:color w:val="263238"/>
          <w:sz w:val="21"/>
        </w:rPr>
        <w:t>At the end of training, participants should be able to use the DCMS features assigned to their role, preserve data quality during casualty encoding, recover safely from offline conditions, and explain how their actions affect review, analytics, matching, and reporting.</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Outcome</w:t>
            </w:r>
          </w:p>
        </w:tc>
        <w:tc>
          <w:tcPr>
            <w:tcW w:type="dxa" w:w="6552"/>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Evidence of competence</w:t>
            </w:r>
          </w:p>
        </w:tc>
      </w:tr>
      <w:tr>
        <w:tc>
          <w:tcPr>
            <w:tcW w:type="dxa" w:w="288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Navigate the assigned client</w:t>
            </w:r>
          </w:p>
        </w:tc>
        <w:tc>
          <w:tcPr>
            <w:tcW w:type="dxa" w:w="655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Participant logs in, identifies role-available sections, and changes theme if needed.</w:t>
            </w:r>
          </w:p>
        </w:tc>
      </w:tr>
      <w:tr>
        <w:tc>
          <w:tcPr>
            <w:tcW w:type="dxa" w:w="288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Encode accurately</w:t>
            </w:r>
          </w:p>
        </w:tc>
        <w:tc>
          <w:tcPr>
            <w:tcW w:type="dxa" w:w="655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Participant completes a role-appropriate casualty record with correct incident, triage, and operational values.</w:t>
            </w:r>
          </w:p>
        </w:tc>
      </w:tr>
      <w:tr>
        <w:tc>
          <w:tcPr>
            <w:tcW w:type="dxa" w:w="288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Handle offline work</w:t>
            </w:r>
          </w:p>
        </w:tc>
        <w:tc>
          <w:tcPr>
            <w:tcW w:type="dxa" w:w="655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Participant saves/queues a record, observes its state, and retries it after connectivity returns.</w:t>
            </w:r>
          </w:p>
        </w:tc>
      </w:tr>
      <w:tr>
        <w:tc>
          <w:tcPr>
            <w:tcW w:type="dxa" w:w="288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Review operational data</w:t>
            </w:r>
          </w:p>
        </w:tc>
        <w:tc>
          <w:tcPr>
            <w:tcW w:type="dxa" w:w="655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Administrator can inspect, verify/reject, match, filter, and interpret incident information.</w:t>
            </w:r>
          </w:p>
        </w:tc>
      </w:tr>
      <w:tr>
        <w:tc>
          <w:tcPr>
            <w:tcW w:type="dxa" w:w="288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Protect sensitive data</w:t>
            </w:r>
          </w:p>
        </w:tc>
        <w:tc>
          <w:tcPr>
            <w:tcW w:type="dxa" w:w="655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Participant follows account, attachment, password, export, and audit procedures.</w:t>
            </w:r>
          </w:p>
        </w:tc>
      </w:tr>
    </w:tbl>
    <w:p>
      <w:pPr>
        <w:spacing w:after="60"/>
      </w:pPr>
    </w:p>
    <w:p>
      <w:pPr>
        <w:pStyle w:val="Heading1"/>
        <w:keepNext/>
        <w:widowControl/>
        <w:spacing w:before="240" w:after="120" w:line="240" w:lineRule="auto"/>
      </w:pPr>
      <w:r>
        <w:rPr>
          <w:rFonts w:ascii="Aptos Display" w:hAnsi="Aptos Display"/>
          <w:b/>
          <w:i w:val="0"/>
          <w:color w:val="000000"/>
          <w:sz w:val="36"/>
        </w:rPr>
        <w:t>22. Audience, Preparation and Delivery Plan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880"/>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Audience</w:t>
            </w:r>
          </w:p>
        </w:tc>
        <w:tc>
          <w:tcPr>
            <w:tcW w:type="dxa" w:w="4464"/>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Prerequisite</w:t>
            </w:r>
          </w:p>
        </w:tc>
        <w:tc>
          <w:tcPr>
            <w:tcW w:type="dxa" w:w="2088"/>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Recommended duration</w:t>
            </w:r>
          </w:p>
        </w:tc>
      </w:tr>
      <w:tr>
        <w:tc>
          <w:tcPr>
            <w:tcW w:type="dxa" w:w="288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Super Admin and Admin</w:t>
            </w:r>
          </w:p>
        </w:tc>
        <w:tc>
          <w:tcPr>
            <w:tcW w:type="dxa" w:w="446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Basic browser and disaster-operations workflow familiarity.</w:t>
            </w:r>
          </w:p>
        </w:tc>
        <w:tc>
          <w:tcPr>
            <w:tcW w:type="dxa" w:w="208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90 minutes</w:t>
            </w:r>
          </w:p>
        </w:tc>
      </w:tr>
      <w:tr>
        <w:tc>
          <w:tcPr>
            <w:tcW w:type="dxa" w:w="288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Field Responder and AMP</w:t>
            </w:r>
          </w:p>
        </w:tc>
        <w:tc>
          <w:tcPr>
            <w:tcW w:type="dxa" w:w="446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Assigned account, supported device, camera/storage permission.</w:t>
            </w:r>
          </w:p>
        </w:tc>
        <w:tc>
          <w:tcPr>
            <w:tcW w:type="dxa" w:w="208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75 minutes</w:t>
            </w:r>
          </w:p>
        </w:tc>
      </w:tr>
      <w:tr>
        <w:tc>
          <w:tcPr>
            <w:tcW w:type="dxa" w:w="288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Minor Incident Documenter</w:t>
            </w:r>
          </w:p>
        </w:tc>
        <w:tc>
          <w:tcPr>
            <w:tcW w:type="dxa" w:w="446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Assigned account and familiarity with structured casualty documentation.</w:t>
            </w:r>
          </w:p>
        </w:tc>
        <w:tc>
          <w:tcPr>
            <w:tcW w:type="dxa" w:w="208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60 minutes</w:t>
            </w:r>
          </w:p>
        </w:tc>
      </w:tr>
      <w:tr>
        <w:tc>
          <w:tcPr>
            <w:tcW w:type="dxa" w:w="288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Healthcare Facility Documenter</w:t>
            </w:r>
          </w:p>
        </w:tc>
        <w:tc>
          <w:tcPr>
            <w:tcW w:type="dxa" w:w="446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Assigned facility context and knowledge of facility-side records.</w:t>
            </w:r>
          </w:p>
        </w:tc>
        <w:tc>
          <w:tcPr>
            <w:tcW w:type="dxa" w:w="208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75 minutes</w:t>
            </w:r>
          </w:p>
        </w:tc>
      </w:tr>
      <w:tr>
        <w:tc>
          <w:tcPr>
            <w:tcW w:type="dxa" w:w="288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Trainers and evaluators</w:t>
            </w:r>
          </w:p>
        </w:tc>
        <w:tc>
          <w:tcPr>
            <w:tcW w:type="dxa" w:w="446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Completion of role-specific modules and access to test environment.</w:t>
            </w:r>
          </w:p>
        </w:tc>
        <w:tc>
          <w:tcPr>
            <w:tcW w:type="dxa" w:w="208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45 minutes</w:t>
            </w:r>
          </w:p>
        </w:tc>
      </w:tr>
    </w:tbl>
    <w:p>
      <w:pPr>
        <w:spacing w:after="60"/>
      </w:pPr>
    </w:p>
    <w:p>
      <w:pPr>
        <w:pStyle w:val="Heading2"/>
        <w:keepNext/>
        <w:widowControl/>
        <w:spacing w:before="160" w:after="120" w:line="240" w:lineRule="auto"/>
      </w:pPr>
      <w:r>
        <w:rPr>
          <w:rFonts w:ascii="Aptos Display" w:hAnsi="Aptos Display"/>
          <w:b/>
          <w:i w:val="0"/>
          <w:color w:val="000000"/>
          <w:sz w:val="27"/>
        </w:rPr>
        <w:t>22.1 Trainer preparation</w:t>
      </w:r>
    </w:p>
    <w:p>
      <w:pPr>
        <w:pStyle w:val="ListBullet"/>
        <w:keepNext w:val="0"/>
        <w:widowControl/>
        <w:spacing w:before="0" w:after="60" w:line="259" w:lineRule="auto"/>
      </w:pPr>
      <w:r>
        <w:rPr>
          <w:rFonts w:ascii="Aptos" w:hAnsi="Aptos"/>
          <w:b w:val="0"/>
          <w:i w:val="0"/>
          <w:color w:val="263238"/>
          <w:sz w:val="21"/>
        </w:rPr>
        <w:t>Use a non-production test incident and test accounts for each role.</w:t>
      </w:r>
    </w:p>
    <w:p>
      <w:pPr>
        <w:pStyle w:val="ListBullet"/>
        <w:keepNext w:val="0"/>
        <w:widowControl/>
        <w:spacing w:before="0" w:after="60" w:line="259" w:lineRule="auto"/>
      </w:pPr>
      <w:r>
        <w:rPr>
          <w:rFonts w:ascii="Aptos" w:hAnsi="Aptos"/>
          <w:b w:val="0"/>
          <w:i w:val="0"/>
          <w:color w:val="263238"/>
          <w:sz w:val="21"/>
        </w:rPr>
        <w:t>Prepare at least one active incident, one facility, one casualty record, and one attachment test file.</w:t>
      </w:r>
    </w:p>
    <w:p>
      <w:pPr>
        <w:pStyle w:val="ListBullet"/>
        <w:keepNext w:val="0"/>
        <w:widowControl/>
        <w:spacing w:before="0" w:after="60" w:line="259" w:lineRule="auto"/>
      </w:pPr>
      <w:r>
        <w:rPr>
          <w:rFonts w:ascii="Aptos" w:hAnsi="Aptos"/>
          <w:b w:val="0"/>
          <w:i w:val="0"/>
          <w:color w:val="263238"/>
          <w:sz w:val="21"/>
        </w:rPr>
        <w:t>Demonstrate both Light and Dark system themes on a representative device or browser.</w:t>
      </w:r>
    </w:p>
    <w:p>
      <w:pPr>
        <w:pStyle w:val="ListBullet"/>
        <w:keepNext w:val="0"/>
        <w:widowControl/>
        <w:spacing w:before="0" w:after="60" w:line="259" w:lineRule="auto"/>
      </w:pPr>
      <w:r>
        <w:rPr>
          <w:rFonts w:ascii="Aptos" w:hAnsi="Aptos"/>
          <w:b w:val="0"/>
          <w:i w:val="0"/>
          <w:color w:val="263238"/>
          <w:sz w:val="21"/>
        </w:rPr>
        <w:t>Prepare one offline practice segment by temporarily disabling network access only in the test environment.</w:t>
      </w:r>
    </w:p>
    <w:p>
      <w:pPr>
        <w:pStyle w:val="ListBullet"/>
        <w:keepNext w:val="0"/>
        <w:widowControl/>
        <w:spacing w:before="0" w:after="60" w:line="259" w:lineRule="auto"/>
      </w:pPr>
      <w:r>
        <w:rPr>
          <w:rFonts w:ascii="Aptos" w:hAnsi="Aptos"/>
          <w:b w:val="0"/>
          <w:i w:val="0"/>
          <w:color w:val="263238"/>
          <w:sz w:val="21"/>
        </w:rPr>
        <w:t>Confirm the API and PWA build are reachable before participants begin.</w:t>
      </w:r>
    </w:p>
    <w:p>
      <w:pPr>
        <w:pStyle w:val="Heading1"/>
        <w:keepNext/>
        <w:widowControl/>
        <w:spacing w:before="240" w:after="120" w:line="240" w:lineRule="auto"/>
      </w:pPr>
      <w:r>
        <w:rPr>
          <w:rFonts w:ascii="Aptos Display" w:hAnsi="Aptos Display"/>
          <w:b/>
          <w:i w:val="0"/>
          <w:color w:val="000000"/>
          <w:sz w:val="36"/>
        </w:rPr>
        <w:t>23. Instructor Modules</w:t>
      </w:r>
    </w:p>
    <w:p>
      <w:pPr>
        <w:pStyle w:val="Heading2"/>
        <w:keepNext/>
        <w:widowControl/>
        <w:spacing w:before="160" w:after="120" w:line="240" w:lineRule="auto"/>
      </w:pPr>
      <w:r>
        <w:rPr>
          <w:rFonts w:ascii="Aptos Display" w:hAnsi="Aptos Display"/>
          <w:b/>
          <w:i w:val="0"/>
          <w:color w:val="000000"/>
          <w:sz w:val="27"/>
        </w:rPr>
        <w:t>Module 1: System orientation</w:t>
      </w:r>
    </w:p>
    <w:p>
      <w:pPr>
        <w:pStyle w:val="ListBullet"/>
        <w:keepNext w:val="0"/>
        <w:widowControl/>
        <w:spacing w:before="0" w:after="60" w:line="259" w:lineRule="auto"/>
      </w:pPr>
      <w:r>
        <w:rPr>
          <w:rFonts w:ascii="Aptos" w:hAnsi="Aptos"/>
          <w:b w:val="0"/>
          <w:i w:val="0"/>
          <w:color w:val="263238"/>
          <w:sz w:val="21"/>
        </w:rPr>
        <w:t>Explain the roles and client boundaries.</w:t>
      </w:r>
    </w:p>
    <w:p>
      <w:pPr>
        <w:pStyle w:val="ListBullet"/>
        <w:keepNext w:val="0"/>
        <w:widowControl/>
        <w:spacing w:before="0" w:after="60" w:line="259" w:lineRule="auto"/>
      </w:pPr>
      <w:r>
        <w:rPr>
          <w:rFonts w:ascii="Aptos" w:hAnsi="Aptos"/>
          <w:b w:val="0"/>
          <w:i w:val="0"/>
          <w:color w:val="263238"/>
          <w:sz w:val="21"/>
        </w:rPr>
        <w:t>Show login, session, theme behavior, and navigation.</w:t>
      </w:r>
    </w:p>
    <w:p>
      <w:pPr>
        <w:pStyle w:val="ListBullet"/>
        <w:keepNext w:val="0"/>
        <w:widowControl/>
        <w:spacing w:before="0" w:after="60" w:line="259" w:lineRule="auto"/>
      </w:pPr>
      <w:r>
        <w:rPr>
          <w:rFonts w:ascii="Aptos" w:hAnsi="Aptos"/>
          <w:b w:val="0"/>
          <w:i w:val="0"/>
          <w:color w:val="263238"/>
          <w:sz w:val="21"/>
        </w:rPr>
        <w:t>Explain sensitive-data handling and auditability.</w:t>
      </w:r>
    </w:p>
    <w:p>
      <w:pPr>
        <w:pStyle w:val="BodyText"/>
        <w:keepNext w:val="0"/>
        <w:widowControl/>
        <w:spacing w:before="0" w:after="100" w:line="259" w:lineRule="auto"/>
      </w:pPr>
      <w:r>
        <w:rPr>
          <w:rFonts w:ascii="Aptos" w:hAnsi="Aptos"/>
          <w:b/>
          <w:i w:val="0"/>
          <w:color w:val="0F766E"/>
          <w:sz w:val="21"/>
        </w:rPr>
        <w:t xml:space="preserve">Completion evidence: </w:t>
      </w:r>
      <w:r>
        <w:rPr>
          <w:rFonts w:ascii="Aptos" w:hAnsi="Aptos"/>
          <w:b w:val="0"/>
          <w:i w:val="0"/>
          <w:color w:val="263238"/>
          <w:sz w:val="21"/>
        </w:rPr>
        <w:t>Participant identifies their role and the correct client.</w:t>
      </w:r>
    </w:p>
    <w:p>
      <w:pPr>
        <w:pStyle w:val="Heading2"/>
        <w:keepNext/>
        <w:widowControl/>
        <w:spacing w:before="160" w:after="120" w:line="240" w:lineRule="auto"/>
      </w:pPr>
      <w:r>
        <w:rPr>
          <w:rFonts w:ascii="Aptos Display" w:hAnsi="Aptos Display"/>
          <w:b/>
          <w:i w:val="0"/>
          <w:color w:val="000000"/>
          <w:sz w:val="27"/>
        </w:rPr>
        <w:t>Module 2: Administrative setup</w:t>
      </w:r>
    </w:p>
    <w:p>
      <w:pPr>
        <w:pStyle w:val="ListBullet"/>
        <w:keepNext w:val="0"/>
        <w:widowControl/>
        <w:spacing w:before="0" w:after="60" w:line="259" w:lineRule="auto"/>
      </w:pPr>
      <w:r>
        <w:rPr>
          <w:rFonts w:ascii="Aptos" w:hAnsi="Aptos"/>
          <w:b w:val="0"/>
          <w:i w:val="0"/>
          <w:color w:val="263238"/>
          <w:sz w:val="21"/>
        </w:rPr>
        <w:t>Create a test account.</w:t>
      </w:r>
    </w:p>
    <w:p>
      <w:pPr>
        <w:pStyle w:val="ListBullet"/>
        <w:keepNext w:val="0"/>
        <w:widowControl/>
        <w:spacing w:before="0" w:after="60" w:line="259" w:lineRule="auto"/>
      </w:pPr>
      <w:r>
        <w:rPr>
          <w:rFonts w:ascii="Aptos" w:hAnsi="Aptos"/>
          <w:b w:val="0"/>
          <w:i w:val="0"/>
          <w:color w:val="263238"/>
          <w:sz w:val="21"/>
        </w:rPr>
        <w:t>Create an official incident.</w:t>
      </w:r>
    </w:p>
    <w:p>
      <w:pPr>
        <w:pStyle w:val="ListBullet"/>
        <w:keepNext w:val="0"/>
        <w:widowControl/>
        <w:spacing w:before="0" w:after="60" w:line="259" w:lineRule="auto"/>
      </w:pPr>
      <w:r>
        <w:rPr>
          <w:rFonts w:ascii="Aptos" w:hAnsi="Aptos"/>
          <w:b w:val="0"/>
          <w:i w:val="0"/>
          <w:color w:val="263238"/>
          <w:sz w:val="21"/>
        </w:rPr>
        <w:t>Add a healthcare facility and inspect a draft.</w:t>
      </w:r>
    </w:p>
    <w:p>
      <w:pPr>
        <w:pStyle w:val="BodyText"/>
        <w:keepNext w:val="0"/>
        <w:widowControl/>
        <w:spacing w:before="0" w:after="100" w:line="259" w:lineRule="auto"/>
      </w:pPr>
      <w:r>
        <w:rPr>
          <w:rFonts w:ascii="Aptos" w:hAnsi="Aptos"/>
          <w:b/>
          <w:i w:val="0"/>
          <w:color w:val="0F766E"/>
          <w:sz w:val="21"/>
        </w:rPr>
        <w:t xml:space="preserve">Completion evidence: </w:t>
      </w:r>
      <w:r>
        <w:rPr>
          <w:rFonts w:ascii="Aptos" w:hAnsi="Aptos"/>
          <w:b w:val="0"/>
          <w:i w:val="0"/>
          <w:color w:val="263238"/>
          <w:sz w:val="21"/>
        </w:rPr>
        <w:t>Admin participant creates test reference data without storing a temporary password in a draft.</w:t>
      </w:r>
    </w:p>
    <w:p>
      <w:pPr>
        <w:pStyle w:val="Heading2"/>
        <w:keepNext/>
        <w:widowControl/>
        <w:spacing w:before="160" w:after="120" w:line="240" w:lineRule="auto"/>
      </w:pPr>
      <w:r>
        <w:rPr>
          <w:rFonts w:ascii="Aptos Display" w:hAnsi="Aptos Display"/>
          <w:b/>
          <w:i w:val="0"/>
          <w:color w:val="000000"/>
          <w:sz w:val="27"/>
        </w:rPr>
        <w:t>Module 3: Mobile casualty encoding</w:t>
      </w:r>
    </w:p>
    <w:p>
      <w:pPr>
        <w:pStyle w:val="ListBullet"/>
        <w:keepNext w:val="0"/>
        <w:widowControl/>
        <w:spacing w:before="0" w:after="60" w:line="259" w:lineRule="auto"/>
      </w:pPr>
      <w:r>
        <w:rPr>
          <w:rFonts w:ascii="Aptos" w:hAnsi="Aptos"/>
          <w:b w:val="0"/>
          <w:i w:val="0"/>
          <w:color w:val="263238"/>
          <w:sz w:val="21"/>
        </w:rPr>
        <w:t>Select an incident.</w:t>
      </w:r>
    </w:p>
    <w:p>
      <w:pPr>
        <w:pStyle w:val="ListBullet"/>
        <w:keepNext w:val="0"/>
        <w:widowControl/>
        <w:spacing w:before="0" w:after="60" w:line="259" w:lineRule="auto"/>
      </w:pPr>
      <w:r>
        <w:rPr>
          <w:rFonts w:ascii="Aptos" w:hAnsi="Aptos"/>
          <w:b w:val="0"/>
          <w:i w:val="0"/>
          <w:color w:val="263238"/>
          <w:sz w:val="21"/>
        </w:rPr>
        <w:t>Walk through the role-specific form.</w:t>
      </w:r>
    </w:p>
    <w:p>
      <w:pPr>
        <w:pStyle w:val="ListBullet"/>
        <w:keepNext w:val="0"/>
        <w:widowControl/>
        <w:spacing w:before="0" w:after="60" w:line="259" w:lineRule="auto"/>
      </w:pPr>
      <w:r>
        <w:rPr>
          <w:rFonts w:ascii="Aptos" w:hAnsi="Aptos"/>
          <w:b w:val="0"/>
          <w:i w:val="0"/>
          <w:color w:val="263238"/>
          <w:sz w:val="21"/>
        </w:rPr>
        <w:t>Review triage, attachments, and submission status.</w:t>
      </w:r>
    </w:p>
    <w:p>
      <w:pPr>
        <w:pStyle w:val="BodyText"/>
        <w:keepNext w:val="0"/>
        <w:widowControl/>
        <w:spacing w:before="0" w:after="100" w:line="259" w:lineRule="auto"/>
      </w:pPr>
      <w:r>
        <w:rPr>
          <w:rFonts w:ascii="Aptos" w:hAnsi="Aptos"/>
          <w:b/>
          <w:i w:val="0"/>
          <w:color w:val="0F766E"/>
          <w:sz w:val="21"/>
        </w:rPr>
        <w:t xml:space="preserve">Completion evidence: </w:t>
      </w:r>
      <w:r>
        <w:rPr>
          <w:rFonts w:ascii="Aptos" w:hAnsi="Aptos"/>
          <w:b w:val="0"/>
          <w:i w:val="0"/>
          <w:color w:val="263238"/>
          <w:sz w:val="21"/>
        </w:rPr>
        <w:t>Responder participant completes a valid record and finds it in Records.</w:t>
      </w:r>
    </w:p>
    <w:p>
      <w:pPr>
        <w:pStyle w:val="Heading2"/>
        <w:keepNext/>
        <w:widowControl/>
        <w:spacing w:before="160" w:after="120" w:line="240" w:lineRule="auto"/>
      </w:pPr>
      <w:r>
        <w:rPr>
          <w:rFonts w:ascii="Aptos Display" w:hAnsi="Aptos Display"/>
          <w:b/>
          <w:i w:val="0"/>
          <w:color w:val="000000"/>
          <w:sz w:val="27"/>
        </w:rPr>
        <w:t>Module 4: Offline and recovery</w:t>
      </w:r>
    </w:p>
    <w:p>
      <w:pPr>
        <w:pStyle w:val="ListBullet"/>
        <w:keepNext w:val="0"/>
        <w:widowControl/>
        <w:spacing w:before="0" w:after="60" w:line="259" w:lineRule="auto"/>
      </w:pPr>
      <w:r>
        <w:rPr>
          <w:rFonts w:ascii="Aptos" w:hAnsi="Aptos"/>
          <w:b w:val="0"/>
          <w:i w:val="0"/>
          <w:color w:val="263238"/>
          <w:sz w:val="21"/>
        </w:rPr>
        <w:t>Load incidents online.</w:t>
      </w:r>
    </w:p>
    <w:p>
      <w:pPr>
        <w:pStyle w:val="ListBullet"/>
        <w:keepNext w:val="0"/>
        <w:widowControl/>
        <w:spacing w:before="0" w:after="60" w:line="259" w:lineRule="auto"/>
      </w:pPr>
      <w:r>
        <w:rPr>
          <w:rFonts w:ascii="Aptos" w:hAnsi="Aptos"/>
          <w:b w:val="0"/>
          <w:i w:val="0"/>
          <w:color w:val="263238"/>
          <w:sz w:val="21"/>
        </w:rPr>
        <w:t>Queue a record while offline.</w:t>
      </w:r>
    </w:p>
    <w:p>
      <w:pPr>
        <w:pStyle w:val="ListBullet"/>
        <w:keepNext w:val="0"/>
        <w:widowControl/>
        <w:spacing w:before="0" w:after="60" w:line="259" w:lineRule="auto"/>
      </w:pPr>
      <w:r>
        <w:rPr>
          <w:rFonts w:ascii="Aptos" w:hAnsi="Aptos"/>
          <w:b w:val="0"/>
          <w:i w:val="0"/>
          <w:color w:val="263238"/>
          <w:sz w:val="21"/>
        </w:rPr>
        <w:t>Reconnect and retry; resolve a code conflict if presented.</w:t>
      </w:r>
    </w:p>
    <w:p>
      <w:pPr>
        <w:pStyle w:val="BodyText"/>
        <w:keepNext w:val="0"/>
        <w:widowControl/>
        <w:spacing w:before="0" w:after="100" w:line="259" w:lineRule="auto"/>
      </w:pPr>
      <w:r>
        <w:rPr>
          <w:rFonts w:ascii="Aptos" w:hAnsi="Aptos"/>
          <w:b/>
          <w:i w:val="0"/>
          <w:color w:val="0F766E"/>
          <w:sz w:val="21"/>
        </w:rPr>
        <w:t xml:space="preserve">Completion evidence: </w:t>
      </w:r>
      <w:r>
        <w:rPr>
          <w:rFonts w:ascii="Aptos" w:hAnsi="Aptos"/>
          <w:b w:val="0"/>
          <w:i w:val="0"/>
          <w:color w:val="263238"/>
          <w:sz w:val="21"/>
        </w:rPr>
        <w:t>Participant explains each queue state and recovers the record without data loss.</w:t>
      </w:r>
    </w:p>
    <w:p>
      <w:pPr>
        <w:pStyle w:val="Heading2"/>
        <w:keepNext/>
        <w:widowControl/>
        <w:spacing w:before="160" w:after="120" w:line="240" w:lineRule="auto"/>
      </w:pPr>
      <w:r>
        <w:rPr>
          <w:rFonts w:ascii="Aptos Display" w:hAnsi="Aptos Display"/>
          <w:b/>
          <w:i w:val="0"/>
          <w:color w:val="000000"/>
          <w:sz w:val="27"/>
        </w:rPr>
        <w:t>Module 5: Review and matching</w:t>
      </w:r>
    </w:p>
    <w:p>
      <w:pPr>
        <w:pStyle w:val="ListBullet"/>
        <w:keepNext w:val="0"/>
        <w:widowControl/>
        <w:spacing w:before="0" w:after="60" w:line="259" w:lineRule="auto"/>
      </w:pPr>
      <w:r>
        <w:rPr>
          <w:rFonts w:ascii="Aptos" w:hAnsi="Aptos"/>
          <w:b w:val="0"/>
          <w:i w:val="0"/>
          <w:color w:val="263238"/>
          <w:sz w:val="21"/>
        </w:rPr>
        <w:t>Open Verification Review.</w:t>
      </w:r>
    </w:p>
    <w:p>
      <w:pPr>
        <w:pStyle w:val="ListBullet"/>
        <w:keepNext w:val="0"/>
        <w:widowControl/>
        <w:spacing w:before="0" w:after="60" w:line="259" w:lineRule="auto"/>
      </w:pPr>
      <w:r>
        <w:rPr>
          <w:rFonts w:ascii="Aptos" w:hAnsi="Aptos"/>
          <w:b w:val="0"/>
          <w:i w:val="0"/>
          <w:color w:val="263238"/>
          <w:sz w:val="21"/>
        </w:rPr>
        <w:t>Approve or reject with an appropriate reason.</w:t>
      </w:r>
    </w:p>
    <w:p>
      <w:pPr>
        <w:pStyle w:val="ListBullet"/>
        <w:keepNext w:val="0"/>
        <w:widowControl/>
        <w:spacing w:before="0" w:after="60" w:line="259" w:lineRule="auto"/>
      </w:pPr>
      <w:r>
        <w:rPr>
          <w:rFonts w:ascii="Aptos" w:hAnsi="Aptos"/>
          <w:b w:val="0"/>
          <w:i w:val="0"/>
          <w:color w:val="263238"/>
          <w:sz w:val="21"/>
        </w:rPr>
        <w:t>Match one FR and one AMP record; add HCFD when available.</w:t>
      </w:r>
    </w:p>
    <w:p>
      <w:pPr>
        <w:pStyle w:val="BodyText"/>
        <w:keepNext w:val="0"/>
        <w:widowControl/>
        <w:spacing w:before="0" w:after="100" w:line="259" w:lineRule="auto"/>
      </w:pPr>
      <w:r>
        <w:rPr>
          <w:rFonts w:ascii="Aptos" w:hAnsi="Aptos"/>
          <w:b/>
          <w:i w:val="0"/>
          <w:color w:val="0F766E"/>
          <w:sz w:val="21"/>
        </w:rPr>
        <w:t xml:space="preserve">Completion evidence: </w:t>
      </w:r>
      <w:r>
        <w:rPr>
          <w:rFonts w:ascii="Aptos" w:hAnsi="Aptos"/>
          <w:b w:val="0"/>
          <w:i w:val="0"/>
          <w:color w:val="263238"/>
          <w:sz w:val="21"/>
        </w:rPr>
        <w:t>Admin participant produces an auditable decision and understands the locked case.</w:t>
      </w:r>
    </w:p>
    <w:p>
      <w:pPr>
        <w:pStyle w:val="Heading2"/>
        <w:keepNext/>
        <w:widowControl/>
        <w:spacing w:before="160" w:after="120" w:line="240" w:lineRule="auto"/>
      </w:pPr>
      <w:r>
        <w:rPr>
          <w:rFonts w:ascii="Aptos Display" w:hAnsi="Aptos Display"/>
          <w:b/>
          <w:i w:val="0"/>
          <w:color w:val="000000"/>
          <w:sz w:val="27"/>
        </w:rPr>
        <w:t>Module 6: Analytics and reporting</w:t>
      </w:r>
    </w:p>
    <w:p>
      <w:pPr>
        <w:pStyle w:val="ListBullet"/>
        <w:keepNext w:val="0"/>
        <w:widowControl/>
        <w:spacing w:before="0" w:after="60" w:line="259" w:lineRule="auto"/>
      </w:pPr>
      <w:r>
        <w:rPr>
          <w:rFonts w:ascii="Aptos" w:hAnsi="Aptos"/>
          <w:b w:val="0"/>
          <w:i w:val="0"/>
          <w:color w:val="263238"/>
          <w:sz w:val="21"/>
        </w:rPr>
        <w:t>Select an incident.</w:t>
      </w:r>
    </w:p>
    <w:p>
      <w:pPr>
        <w:pStyle w:val="ListBullet"/>
        <w:keepNext w:val="0"/>
        <w:widowControl/>
        <w:spacing w:before="0" w:after="60" w:line="259" w:lineRule="auto"/>
      </w:pPr>
      <w:r>
        <w:rPr>
          <w:rFonts w:ascii="Aptos" w:hAnsi="Aptos"/>
          <w:b w:val="0"/>
          <w:i w:val="0"/>
          <w:color w:val="263238"/>
          <w:sz w:val="21"/>
        </w:rPr>
        <w:t>Interpret overview metrics and triage comparisons.</w:t>
      </w:r>
    </w:p>
    <w:p>
      <w:pPr>
        <w:pStyle w:val="ListBullet"/>
        <w:keepNext w:val="0"/>
        <w:widowControl/>
        <w:spacing w:before="0" w:after="60" w:line="259" w:lineRule="auto"/>
      </w:pPr>
      <w:r>
        <w:rPr>
          <w:rFonts w:ascii="Aptos" w:hAnsi="Aptos"/>
          <w:b w:val="0"/>
          <w:i w:val="0"/>
          <w:color w:val="263238"/>
          <w:sz w:val="21"/>
        </w:rPr>
        <w:t>Generate a draft report and explain the final-report gate.</w:t>
      </w:r>
    </w:p>
    <w:p>
      <w:pPr>
        <w:pStyle w:val="BodyText"/>
        <w:keepNext w:val="0"/>
        <w:widowControl/>
        <w:spacing w:before="0" w:after="100" w:line="259" w:lineRule="auto"/>
      </w:pPr>
      <w:r>
        <w:rPr>
          <w:rFonts w:ascii="Aptos" w:hAnsi="Aptos"/>
          <w:b/>
          <w:i w:val="0"/>
          <w:color w:val="0F766E"/>
          <w:sz w:val="21"/>
        </w:rPr>
        <w:t xml:space="preserve">Completion evidence: </w:t>
      </w:r>
      <w:r>
        <w:rPr>
          <w:rFonts w:ascii="Aptos" w:hAnsi="Aptos"/>
          <w:b w:val="0"/>
          <w:i w:val="0"/>
          <w:color w:val="263238"/>
          <w:sz w:val="21"/>
        </w:rPr>
        <w:t>Participant can explain why empty charts are hidden and can locate the SitRep output.</w:t>
      </w:r>
    </w:p>
    <w:p>
      <w:pPr>
        <w:pStyle w:val="Heading1"/>
        <w:keepNext/>
        <w:widowControl/>
        <w:spacing w:before="240" w:after="120" w:line="240" w:lineRule="auto"/>
      </w:pPr>
      <w:r>
        <w:rPr>
          <w:rFonts w:ascii="Aptos Display" w:hAnsi="Aptos Display"/>
          <w:b/>
          <w:i w:val="0"/>
          <w:color w:val="000000"/>
          <w:sz w:val="36"/>
        </w:rPr>
        <w:t>24. Guided Practice Scenarios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448"/>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Scenario</w:t>
            </w:r>
          </w:p>
        </w:tc>
        <w:tc>
          <w:tcPr>
            <w:tcW w:type="dxa" w:w="4536"/>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Participant action</w:t>
            </w:r>
          </w:p>
        </w:tc>
        <w:tc>
          <w:tcPr>
            <w:tcW w:type="dxa" w:w="2448"/>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Expected result</w:t>
            </w:r>
          </w:p>
        </w:tc>
      </w:tr>
      <w:tr>
        <w:tc>
          <w:tcPr>
            <w:tcW w:type="dxa" w:w="244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Scenario A - New incident</w:t>
            </w:r>
          </w:p>
        </w:tc>
        <w:tc>
          <w:tcPr>
            <w:tcW w:type="dxa" w:w="453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Admin creates an incident and refreshes a responder device.</w:t>
            </w:r>
          </w:p>
        </w:tc>
        <w:tc>
          <w:tcPr>
            <w:tcW w:type="dxa" w:w="244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Incident appears in mobile selection after refresh.</w:t>
            </w:r>
          </w:p>
        </w:tc>
      </w:tr>
      <w:tr>
        <w:tc>
          <w:tcPr>
            <w:tcW w:type="dxa" w:w="244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Scenario B - Field casualty</w:t>
            </w:r>
          </w:p>
        </w:tc>
        <w:tc>
          <w:tcPr>
            <w:tcW w:type="dxa" w:w="4536"/>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Field Responder encodes one casualty with primary triage and submits.</w:t>
            </w:r>
          </w:p>
        </w:tc>
        <w:tc>
          <w:tcPr>
            <w:tcW w:type="dxa" w:w="244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Record appears as synced or queued with the correct role.</w:t>
            </w:r>
          </w:p>
        </w:tc>
      </w:tr>
      <w:tr>
        <w:tc>
          <w:tcPr>
            <w:tcW w:type="dxa" w:w="244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Scenario C - AMP continuation</w:t>
            </w:r>
          </w:p>
        </w:tc>
        <w:tc>
          <w:tcPr>
            <w:tcW w:type="dxa" w:w="453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AMP user encodes the same incident using the shortened flow.</w:t>
            </w:r>
          </w:p>
        </w:tc>
        <w:tc>
          <w:tcPr>
            <w:tcW w:type="dxa" w:w="244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AMP record contains triage, treatment, transport, and remarks.</w:t>
            </w:r>
          </w:p>
        </w:tc>
      </w:tr>
      <w:tr>
        <w:tc>
          <w:tcPr>
            <w:tcW w:type="dxa" w:w="244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Scenario D - Facility encounter</w:t>
            </w:r>
          </w:p>
        </w:tc>
        <w:tc>
          <w:tcPr>
            <w:tcW w:type="dxa" w:w="4536"/>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HCFD user records arrival, facility care, and disposition.</w:t>
            </w:r>
          </w:p>
        </w:tc>
        <w:tc>
          <w:tcPr>
            <w:tcW w:type="dxa" w:w="244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Facility record is visible in the appropriate review surface.</w:t>
            </w:r>
          </w:p>
        </w:tc>
      </w:tr>
      <w:tr>
        <w:tc>
          <w:tcPr>
            <w:tcW w:type="dxa" w:w="244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Scenario E - Offline recovery</w:t>
            </w:r>
          </w:p>
        </w:tc>
        <w:tc>
          <w:tcPr>
            <w:tcW w:type="dxa" w:w="453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Queue a record offline, reconnect, and retry.</w:t>
            </w:r>
          </w:p>
        </w:tc>
        <w:tc>
          <w:tcPr>
            <w:tcW w:type="dxa" w:w="244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Queue state changes to synced without duplicate submission.</w:t>
            </w:r>
          </w:p>
        </w:tc>
      </w:tr>
      <w:tr>
        <w:tc>
          <w:tcPr>
            <w:tcW w:type="dxa" w:w="244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Scenario F - Admin review</w:t>
            </w:r>
          </w:p>
        </w:tc>
        <w:tc>
          <w:tcPr>
            <w:tcW w:type="dxa" w:w="4536"/>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Admin verifies one record, rejects another, then matches FR and AMP records.</w:t>
            </w:r>
          </w:p>
        </w:tc>
        <w:tc>
          <w:tcPr>
            <w:tcW w:type="dxa" w:w="2448"/>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Decisions and match linkage are auditable and locked as designed.</w:t>
            </w:r>
          </w:p>
        </w:tc>
      </w:tr>
      <w:tr>
        <w:tc>
          <w:tcPr>
            <w:tcW w:type="dxa" w:w="244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Scenario G - Analytics</w:t>
            </w:r>
          </w:p>
        </w:tc>
        <w:tc>
          <w:tcPr>
            <w:tcW w:type="dxa" w:w="4536"/>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Admin views an incident with and without chart data.</w:t>
            </w:r>
          </w:p>
        </w:tc>
        <w:tc>
          <w:tcPr>
            <w:tcW w:type="dxa" w:w="2448"/>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Meaningful charts appear; empty charts are omitted.</w:t>
            </w:r>
          </w:p>
        </w:tc>
      </w:tr>
    </w:tbl>
    <w:p>
      <w:pPr>
        <w:spacing w:after="60"/>
      </w:pPr>
    </w:p>
    <w:p>
      <w:pPr>
        <w:pStyle w:val="Heading1"/>
        <w:keepNext/>
        <w:widowControl/>
        <w:spacing w:before="240" w:after="120" w:line="240" w:lineRule="auto"/>
      </w:pPr>
      <w:r>
        <w:rPr>
          <w:rFonts w:ascii="Aptos Display" w:hAnsi="Aptos Display"/>
          <w:b/>
          <w:i w:val="0"/>
          <w:color w:val="000000"/>
          <w:sz w:val="36"/>
        </w:rPr>
        <w:t>25. Competency Assessment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Check</w:t>
            </w:r>
          </w:p>
        </w:tc>
        <w:tc>
          <w:tcPr>
            <w:tcW w:type="dxa" w:w="6552"/>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8"/>
              </w:rPr>
              <w:t>Pass condition</w:t>
            </w:r>
          </w:p>
        </w:tc>
      </w:tr>
      <w:tr>
        <w:tc>
          <w:tcPr>
            <w:tcW w:type="dxa" w:w="288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Authentication</w:t>
            </w:r>
          </w:p>
        </w:tc>
        <w:tc>
          <w:tcPr>
            <w:tcW w:type="dxa" w:w="655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Uses an assigned account and does not share credentials.</w:t>
            </w:r>
          </w:p>
        </w:tc>
      </w:tr>
      <w:tr>
        <w:tc>
          <w:tcPr>
            <w:tcW w:type="dxa" w:w="288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Role awareness</w:t>
            </w:r>
          </w:p>
        </w:tc>
        <w:tc>
          <w:tcPr>
            <w:tcW w:type="dxa" w:w="655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Uses only the workflow appropriate to the account role.</w:t>
            </w:r>
          </w:p>
        </w:tc>
      </w:tr>
      <w:tr>
        <w:tc>
          <w:tcPr>
            <w:tcW w:type="dxa" w:w="288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Data quality</w:t>
            </w:r>
          </w:p>
        </w:tc>
        <w:tc>
          <w:tcPr>
            <w:tcW w:type="dxa" w:w="655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Selects the correct incident and completes required fields without inventing values.</w:t>
            </w:r>
          </w:p>
        </w:tc>
      </w:tr>
      <w:tr>
        <w:tc>
          <w:tcPr>
            <w:tcW w:type="dxa" w:w="288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Triage</w:t>
            </w:r>
          </w:p>
        </w:tc>
        <w:tc>
          <w:tcPr>
            <w:tcW w:type="dxa" w:w="655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Records or reviews the correct triage system/category and understands comparison labels.</w:t>
            </w:r>
          </w:p>
        </w:tc>
      </w:tr>
      <w:tr>
        <w:tc>
          <w:tcPr>
            <w:tcW w:type="dxa" w:w="288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Offline handling</w:t>
            </w:r>
          </w:p>
        </w:tc>
        <w:tc>
          <w:tcPr>
            <w:tcW w:type="dxa" w:w="655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Queues and retries without deleting local unsynchronized work.</w:t>
            </w:r>
          </w:p>
        </w:tc>
      </w:tr>
      <w:tr>
        <w:tc>
          <w:tcPr>
            <w:tcW w:type="dxa" w:w="288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Review discipline</w:t>
            </w:r>
          </w:p>
        </w:tc>
        <w:tc>
          <w:tcPr>
            <w:tcW w:type="dxa" w:w="655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Uses verification reason, confirmation prompts, and audit-aware actions.</w:t>
            </w:r>
          </w:p>
        </w:tc>
      </w:tr>
      <w:tr>
        <w:tc>
          <w:tcPr>
            <w:tcW w:type="dxa" w:w="288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Reporting</w:t>
            </w:r>
          </w:p>
        </w:tc>
        <w:tc>
          <w:tcPr>
            <w:tcW w:type="dxa" w:w="655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Understands empty-chart behavior, draft/final SitRep distinction, and closure gate.</w:t>
            </w:r>
          </w:p>
        </w:tc>
      </w:tr>
      <w:tr>
        <w:tc>
          <w:tcPr>
            <w:tcW w:type="dxa" w:w="288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Privacy</w:t>
            </w:r>
          </w:p>
        </w:tc>
        <w:tc>
          <w:tcPr>
            <w:tcW w:type="dxa" w:w="655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8"/>
              </w:rPr>
              <w:t>Does not expose patient data, passwords, attachments, or exports outside approved channels.</w:t>
            </w:r>
          </w:p>
        </w:tc>
      </w:tr>
    </w:tbl>
    <w:p>
      <w:pPr>
        <w:spacing w:after="60"/>
      </w:pPr>
    </w:p>
    <w:p>
      <w:pPr>
        <w:pStyle w:val="Heading1"/>
        <w:keepNext/>
        <w:widowControl/>
        <w:spacing w:before="240" w:after="120" w:line="240" w:lineRule="auto"/>
      </w:pPr>
      <w:r>
        <w:rPr>
          <w:rFonts w:ascii="Aptos Display" w:hAnsi="Aptos Display"/>
          <w:b/>
          <w:i w:val="0"/>
          <w:color w:val="000000"/>
          <w:sz w:val="36"/>
        </w:rPr>
        <w:t>26. Quick Reference Checklists</w:t>
      </w:r>
    </w:p>
    <w:p>
      <w:pPr>
        <w:pStyle w:val="Heading2"/>
        <w:keepNext/>
        <w:widowControl/>
        <w:spacing w:before="160" w:after="120" w:line="240" w:lineRule="auto"/>
      </w:pPr>
      <w:r>
        <w:rPr>
          <w:rFonts w:ascii="Aptos Display" w:hAnsi="Aptos Display"/>
          <w:b/>
          <w:i w:val="0"/>
          <w:color w:val="000000"/>
          <w:sz w:val="27"/>
        </w:rPr>
        <w:t>26.1 Responder checklist</w:t>
      </w:r>
    </w:p>
    <w:p>
      <w:pPr>
        <w:pStyle w:val="ListBullet"/>
        <w:keepNext w:val="0"/>
        <w:widowControl/>
        <w:spacing w:before="0" w:after="60" w:line="259" w:lineRule="auto"/>
      </w:pPr>
      <w:r>
        <w:rPr>
          <w:rFonts w:ascii="Aptos" w:hAnsi="Aptos"/>
          <w:b w:val="0"/>
          <w:i w:val="0"/>
          <w:color w:val="263238"/>
          <w:sz w:val="21"/>
        </w:rPr>
        <w:t>Confirm account and device are ready.</w:t>
      </w:r>
    </w:p>
    <w:p>
      <w:pPr>
        <w:pStyle w:val="ListBullet"/>
        <w:keepNext w:val="0"/>
        <w:widowControl/>
        <w:spacing w:before="0" w:after="60" w:line="259" w:lineRule="auto"/>
      </w:pPr>
      <w:r>
        <w:rPr>
          <w:rFonts w:ascii="Aptos" w:hAnsi="Aptos"/>
          <w:b w:val="0"/>
          <w:i w:val="0"/>
          <w:color w:val="263238"/>
          <w:sz w:val="21"/>
        </w:rPr>
        <w:t>Load the current incident list while online.</w:t>
      </w:r>
    </w:p>
    <w:p>
      <w:pPr>
        <w:pStyle w:val="ListBullet"/>
        <w:keepNext w:val="0"/>
        <w:widowControl/>
        <w:spacing w:before="0" w:after="60" w:line="259" w:lineRule="auto"/>
      </w:pPr>
      <w:r>
        <w:rPr>
          <w:rFonts w:ascii="Aptos" w:hAnsi="Aptos"/>
          <w:b w:val="0"/>
          <w:i w:val="0"/>
          <w:color w:val="263238"/>
          <w:sz w:val="21"/>
        </w:rPr>
        <w:t>Select the correct incident before encoding.</w:t>
      </w:r>
    </w:p>
    <w:p>
      <w:pPr>
        <w:pStyle w:val="ListBullet"/>
        <w:keepNext w:val="0"/>
        <w:widowControl/>
        <w:spacing w:before="0" w:after="60" w:line="259" w:lineRule="auto"/>
      </w:pPr>
      <w:r>
        <w:rPr>
          <w:rFonts w:ascii="Aptos" w:hAnsi="Aptos"/>
          <w:b w:val="0"/>
          <w:i w:val="0"/>
          <w:color w:val="263238"/>
          <w:sz w:val="21"/>
        </w:rPr>
        <w:t>Complete the role-specific form and triage values.</w:t>
      </w:r>
    </w:p>
    <w:p>
      <w:pPr>
        <w:pStyle w:val="ListBullet"/>
        <w:keepNext w:val="0"/>
        <w:widowControl/>
        <w:spacing w:before="0" w:after="60" w:line="259" w:lineRule="auto"/>
      </w:pPr>
      <w:r>
        <w:rPr>
          <w:rFonts w:ascii="Aptos" w:hAnsi="Aptos"/>
          <w:b w:val="0"/>
          <w:i w:val="0"/>
          <w:color w:val="263238"/>
          <w:sz w:val="21"/>
        </w:rPr>
        <w:t>Review the summary before submission.</w:t>
      </w:r>
    </w:p>
    <w:p>
      <w:pPr>
        <w:pStyle w:val="ListBullet"/>
        <w:keepNext w:val="0"/>
        <w:widowControl/>
        <w:spacing w:before="0" w:after="60" w:line="259" w:lineRule="auto"/>
      </w:pPr>
      <w:r>
        <w:rPr>
          <w:rFonts w:ascii="Aptos" w:hAnsi="Aptos"/>
          <w:b w:val="0"/>
          <w:i w:val="0"/>
          <w:color w:val="263238"/>
          <w:sz w:val="21"/>
        </w:rPr>
        <w:t>Check synced or queued status after submission.</w:t>
      </w:r>
    </w:p>
    <w:p>
      <w:pPr>
        <w:pStyle w:val="ListBullet"/>
        <w:keepNext w:val="0"/>
        <w:widowControl/>
        <w:spacing w:before="0" w:after="60" w:line="259" w:lineRule="auto"/>
      </w:pPr>
      <w:r>
        <w:rPr>
          <w:rFonts w:ascii="Aptos" w:hAnsi="Aptos"/>
          <w:b w:val="0"/>
          <w:i w:val="0"/>
          <w:color w:val="263238"/>
          <w:sz w:val="21"/>
        </w:rPr>
        <w:t>Retry queued records only after reviewing any error message.</w:t>
      </w:r>
    </w:p>
    <w:p>
      <w:pPr>
        <w:pStyle w:val="Heading2"/>
        <w:keepNext/>
        <w:widowControl/>
        <w:spacing w:before="160" w:after="120" w:line="240" w:lineRule="auto"/>
      </w:pPr>
      <w:r>
        <w:rPr>
          <w:rFonts w:ascii="Aptos Display" w:hAnsi="Aptos Display"/>
          <w:b/>
          <w:i w:val="0"/>
          <w:color w:val="000000"/>
          <w:sz w:val="27"/>
        </w:rPr>
        <w:t>26.2 Administrator checklist</w:t>
      </w:r>
    </w:p>
    <w:p>
      <w:pPr>
        <w:pStyle w:val="ListBullet"/>
        <w:keepNext w:val="0"/>
        <w:widowControl/>
        <w:spacing w:before="0" w:after="60" w:line="259" w:lineRule="auto"/>
      </w:pPr>
      <w:r>
        <w:rPr>
          <w:rFonts w:ascii="Aptos" w:hAnsi="Aptos"/>
          <w:b w:val="0"/>
          <w:i w:val="0"/>
          <w:color w:val="263238"/>
          <w:sz w:val="21"/>
        </w:rPr>
        <w:t>Confirm incidents, facilities, and accounts are current.</w:t>
      </w:r>
    </w:p>
    <w:p>
      <w:pPr>
        <w:pStyle w:val="ListBullet"/>
        <w:keepNext w:val="0"/>
        <w:widowControl/>
        <w:spacing w:before="0" w:after="60" w:line="259" w:lineRule="auto"/>
      </w:pPr>
      <w:r>
        <w:rPr>
          <w:rFonts w:ascii="Aptos" w:hAnsi="Aptos"/>
          <w:b w:val="0"/>
          <w:i w:val="0"/>
          <w:color w:val="263238"/>
          <w:sz w:val="21"/>
        </w:rPr>
        <w:t>Review pending records and attachments.</w:t>
      </w:r>
    </w:p>
    <w:p>
      <w:pPr>
        <w:pStyle w:val="ListBullet"/>
        <w:keepNext w:val="0"/>
        <w:widowControl/>
        <w:spacing w:before="0" w:after="60" w:line="259" w:lineRule="auto"/>
      </w:pPr>
      <w:r>
        <w:rPr>
          <w:rFonts w:ascii="Aptos" w:hAnsi="Aptos"/>
          <w:b w:val="0"/>
          <w:i w:val="0"/>
          <w:color w:val="263238"/>
          <w:sz w:val="21"/>
        </w:rPr>
        <w:t>Verify or reject with a clear reason.</w:t>
      </w:r>
    </w:p>
    <w:p>
      <w:pPr>
        <w:pStyle w:val="ListBullet"/>
        <w:keepNext w:val="0"/>
        <w:widowControl/>
        <w:spacing w:before="0" w:after="60" w:line="259" w:lineRule="auto"/>
      </w:pPr>
      <w:r>
        <w:rPr>
          <w:rFonts w:ascii="Aptos" w:hAnsi="Aptos"/>
          <w:b w:val="0"/>
          <w:i w:val="0"/>
          <w:color w:val="263238"/>
          <w:sz w:val="21"/>
        </w:rPr>
        <w:t>Match only same-incident FR and AMP records; add HCFD when available.</w:t>
      </w:r>
    </w:p>
    <w:p>
      <w:pPr>
        <w:pStyle w:val="ListBullet"/>
        <w:keepNext w:val="0"/>
        <w:widowControl/>
        <w:spacing w:before="0" w:after="60" w:line="259" w:lineRule="auto"/>
      </w:pPr>
      <w:r>
        <w:rPr>
          <w:rFonts w:ascii="Aptos" w:hAnsi="Aptos"/>
          <w:b w:val="0"/>
          <w:i w:val="0"/>
          <w:color w:val="263238"/>
          <w:sz w:val="21"/>
        </w:rPr>
        <w:t>Review analytics using the correct incident and filters.</w:t>
      </w:r>
    </w:p>
    <w:p>
      <w:pPr>
        <w:pStyle w:val="ListBullet"/>
        <w:keepNext w:val="0"/>
        <w:widowControl/>
        <w:spacing w:before="0" w:after="60" w:line="259" w:lineRule="auto"/>
      </w:pPr>
      <w:r>
        <w:rPr>
          <w:rFonts w:ascii="Aptos" w:hAnsi="Aptos"/>
          <w:b w:val="0"/>
          <w:i w:val="0"/>
          <w:color w:val="263238"/>
          <w:sz w:val="21"/>
        </w:rPr>
        <w:t>Generate draft or final SitRep according to incident state.</w:t>
      </w:r>
    </w:p>
    <w:p>
      <w:pPr>
        <w:pStyle w:val="ListBullet"/>
        <w:keepNext w:val="0"/>
        <w:widowControl/>
        <w:spacing w:before="0" w:after="60" w:line="259" w:lineRule="auto"/>
      </w:pPr>
      <w:r>
        <w:rPr>
          <w:rFonts w:ascii="Aptos" w:hAnsi="Aptos"/>
          <w:b w:val="0"/>
          <w:i w:val="0"/>
          <w:color w:val="263238"/>
          <w:sz w:val="21"/>
        </w:rPr>
        <w:t>Close incidents only when operational work is complete.</w:t>
      </w:r>
    </w:p>
    <w:p>
      <w:pPr>
        <w:pStyle w:val="ListBullet"/>
        <w:keepNext w:val="0"/>
        <w:widowControl/>
        <w:spacing w:before="0" w:after="60" w:line="259" w:lineRule="auto"/>
      </w:pPr>
      <w:r>
        <w:rPr>
          <w:rFonts w:ascii="Aptos" w:hAnsi="Aptos"/>
          <w:b w:val="0"/>
          <w:i w:val="0"/>
          <w:color w:val="263238"/>
          <w:sz w:val="21"/>
        </w:rPr>
        <w:t>Use exports and logs according to data governance rules.</w:t>
      </w:r>
    </w:p>
    <w:p>
      <w:pPr>
        <w:pStyle w:val="Heading2"/>
        <w:keepNext/>
        <w:widowControl/>
        <w:spacing w:before="160" w:after="120" w:line="240" w:lineRule="auto"/>
      </w:pPr>
      <w:r>
        <w:rPr>
          <w:rFonts w:ascii="Aptos Display" w:hAnsi="Aptos Display"/>
          <w:b/>
          <w:i w:val="0"/>
          <w:color w:val="000000"/>
          <w:sz w:val="27"/>
        </w:rPr>
        <w:t>26.3 Trainer sign-off</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2160"/>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7"/>
              </w:rPr>
              <w:t>Participant</w:t>
            </w:r>
          </w:p>
        </w:tc>
        <w:tc>
          <w:tcPr>
            <w:tcW w:type="dxa" w:w="1944"/>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7"/>
              </w:rPr>
              <w:t>Role</w:t>
            </w:r>
          </w:p>
        </w:tc>
        <w:tc>
          <w:tcPr>
            <w:tcW w:type="dxa" w:w="2592"/>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7"/>
              </w:rPr>
              <w:t>Modules completed</w:t>
            </w:r>
          </w:p>
        </w:tc>
        <w:tc>
          <w:tcPr>
            <w:tcW w:type="dxa" w:w="1512"/>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7"/>
              </w:rPr>
              <w:t>Trainer initials</w:t>
            </w:r>
          </w:p>
        </w:tc>
        <w:tc>
          <w:tcPr>
            <w:tcW w:type="dxa" w:w="1224"/>
            <w:shd w:fill="26323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20" w:type="dxa"/>
              <w:start w:w="130" w:type="dxa"/>
              <w:bottom w:w="120" w:type="dxa"/>
              <w:end w:w="130" w:type="dxa"/>
            </w:tcMar>
            <w:vAlign w:val="center"/>
          </w:tcPr>
          <w:p>
            <w:pPr>
              <w:keepNext w:val="0"/>
              <w:widowControl/>
              <w:spacing w:before="0" w:after="0" w:line="240" w:lineRule="auto"/>
              <w:jc w:val="left"/>
            </w:pPr>
            <w:r>
              <w:rPr>
                <w:rFonts w:ascii="Aptos" w:hAnsi="Aptos"/>
                <w:b/>
                <w:i w:val="0"/>
                <w:color w:val="FFFFFF"/>
                <w:sz w:val="17"/>
              </w:rPr>
              <w:t>Date</w:t>
            </w:r>
          </w:p>
        </w:tc>
      </w:tr>
      <w:tr>
        <w:tc>
          <w:tcPr>
            <w:tcW w:type="dxa" w:w="216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________________</w:t>
            </w:r>
          </w:p>
        </w:tc>
        <w:tc>
          <w:tcPr>
            <w:tcW w:type="dxa" w:w="194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________________</w:t>
            </w:r>
          </w:p>
        </w:tc>
        <w:tc>
          <w:tcPr>
            <w:tcW w:type="dxa" w:w="259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________________</w:t>
            </w:r>
          </w:p>
        </w:tc>
        <w:tc>
          <w:tcPr>
            <w:tcW w:type="dxa" w:w="151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________</w:t>
            </w:r>
          </w:p>
        </w:tc>
        <w:tc>
          <w:tcPr>
            <w:tcW w:type="dxa" w:w="122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________</w:t>
            </w:r>
          </w:p>
        </w:tc>
      </w:tr>
      <w:tr>
        <w:tc>
          <w:tcPr>
            <w:tcW w:type="dxa" w:w="216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________________</w:t>
            </w:r>
          </w:p>
        </w:tc>
        <w:tc>
          <w:tcPr>
            <w:tcW w:type="dxa" w:w="194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________________</w:t>
            </w:r>
          </w:p>
        </w:tc>
        <w:tc>
          <w:tcPr>
            <w:tcW w:type="dxa" w:w="259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________________</w:t>
            </w:r>
          </w:p>
        </w:tc>
        <w:tc>
          <w:tcPr>
            <w:tcW w:type="dxa" w:w="151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________</w:t>
            </w:r>
          </w:p>
        </w:tc>
        <w:tc>
          <w:tcPr>
            <w:tcW w:type="dxa" w:w="122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________</w:t>
            </w:r>
          </w:p>
        </w:tc>
      </w:tr>
      <w:tr>
        <w:tc>
          <w:tcPr>
            <w:tcW w:type="dxa" w:w="2160"/>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________________</w:t>
            </w:r>
          </w:p>
        </w:tc>
        <w:tc>
          <w:tcPr>
            <w:tcW w:type="dxa" w:w="194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________________</w:t>
            </w:r>
          </w:p>
        </w:tc>
        <w:tc>
          <w:tcPr>
            <w:tcW w:type="dxa" w:w="259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________________</w:t>
            </w:r>
          </w:p>
        </w:tc>
        <w:tc>
          <w:tcPr>
            <w:tcW w:type="dxa" w:w="1512"/>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________</w:t>
            </w:r>
          </w:p>
        </w:tc>
        <w:tc>
          <w:tcPr>
            <w:tcW w:type="dxa" w:w="1224"/>
            <w:shd w:fill="FFFFFF"/>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________</w:t>
            </w:r>
          </w:p>
        </w:tc>
      </w:tr>
      <w:tr>
        <w:tc>
          <w:tcPr>
            <w:tcW w:type="dxa" w:w="2160"/>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________________</w:t>
            </w:r>
          </w:p>
        </w:tc>
        <w:tc>
          <w:tcPr>
            <w:tcW w:type="dxa" w:w="194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________________</w:t>
            </w:r>
          </w:p>
        </w:tc>
        <w:tc>
          <w:tcPr>
            <w:tcW w:type="dxa" w:w="259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________________</w:t>
            </w:r>
          </w:p>
        </w:tc>
        <w:tc>
          <w:tcPr>
            <w:tcW w:type="dxa" w:w="1512"/>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________</w:t>
            </w:r>
          </w:p>
        </w:tc>
        <w:tc>
          <w:tcPr>
            <w:tcW w:type="dxa" w:w="1224"/>
            <w:shd w:fill="F5F7F8"/>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30" w:type="dxa"/>
              <w:bottom w:w="100" w:type="dxa"/>
              <w:end w:w="130" w:type="dxa"/>
            </w:tcMar>
            <w:vAlign w:val="center"/>
          </w:tcPr>
          <w:p>
            <w:pPr>
              <w:keepNext w:val="0"/>
              <w:widowControl/>
              <w:spacing w:before="0" w:after="0" w:line="247" w:lineRule="auto"/>
            </w:pPr>
            <w:r>
              <w:rPr>
                <w:rFonts w:ascii="Aptos" w:hAnsi="Aptos"/>
                <w:b w:val="0"/>
                <w:i w:val="0"/>
                <w:color w:val="263238"/>
                <w:sz w:val="17"/>
              </w:rPr>
              <w:t>________</w:t>
            </w:r>
          </w:p>
        </w:tc>
      </w:tr>
    </w:tbl>
    <w:p>
      <w:pPr>
        <w:spacing w:after="60"/>
      </w:pPr>
    </w:p>
    <w:p>
      <w:pPr>
        <w:pStyle w:val="BodyText"/>
        <w:keepNext w:val="0"/>
        <w:widowControl/>
        <w:spacing w:before="0" w:after="0" w:line="259" w:lineRule="auto"/>
      </w:pPr>
      <w:r>
        <w:rPr>
          <w:rFonts w:ascii="Aptos" w:hAnsi="Aptos"/>
          <w:b w:val="0"/>
          <w:i w:val="0"/>
          <w:color w:val="263238"/>
          <w:sz w:val="21"/>
        </w:rPr>
        <w:t>End of document</w:t>
      </w:r>
    </w:p>
    <w:sectPr w:rsidR="00FC693F" w:rsidRPr="0006063C" w:rsidSect="00034616">
      <w:headerReference w:type="default" r:id="rId9"/>
      <w:footerReference w:type="default" r:id="rId10"/>
      <w:pgSz w:w="12240" w:h="15840"/>
      <w:pgMar w:top="1037" w:right="1123" w:bottom="893"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259" w:lineRule="auto"/>
      <w:jc w:val="center"/>
    </w:pPr>
    <w:r>
      <w:rPr>
        <w:rFonts w:ascii="Aptos" w:hAnsi="Aptos"/>
        <w:b w:val="0"/>
        <w:i w:val="0"/>
        <w:color w:val="455A64"/>
        <w:sz w:val="16"/>
      </w:rPr>
      <w:t xml:space="preserve">MedSORT Project Team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259" w:lineRule="auto"/>
      <w:jc w:val="right"/>
    </w:pPr>
    <w:r>
      <w:rPr>
        <w:rFonts w:ascii="Aptos" w:hAnsi="Aptos"/>
        <w:b/>
        <w:i w:val="0"/>
        <w:color w:val="455A64"/>
        <w:sz w:val="16"/>
      </w:rPr>
      <w:t>MEDSORT | DISASTER CASUALTY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263238"/>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Casualty Management System Training Materials</dc:title>
  <dc:subject>Instructor modules, guided exercises and competency assessment</dc:subject>
  <dc:creator>MedSORT Project Team</dc:creator>
  <cp:keywords>MedSORT, DCMS, documentation</cp:keywords>
  <dc:description>Operational project documentation</dc:description>
  <cp:lastModifiedBy/>
  <cp:revision>1</cp:revision>
  <dcterms:created xsi:type="dcterms:W3CDTF">2013-12-23T23:15:00Z</dcterms:created>
  <dcterms:modified xsi:type="dcterms:W3CDTF">2013-12-23T23:15:00Z</dcterms:modified>
  <cp:category/>
</cp:coreProperties>
</file>