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640" w:after="280" w:line="259" w:lineRule="auto"/>
      </w:pPr>
      <w:r>
        <w:rPr>
          <w:rFonts w:ascii="Aptos Display" w:hAnsi="Aptos Display"/>
          <w:b/>
          <w:i w:val="0"/>
          <w:color w:val="0F766E"/>
          <w:sz w:val="28"/>
        </w:rPr>
        <w:t>MEDSORT</w:t>
      </w:r>
    </w:p>
    <w:p>
      <w:pPr>
        <w:pStyle w:val="Title"/>
        <w:keepNext w:val="0"/>
        <w:widowControl/>
        <w:spacing w:before="0" w:after="140" w:line="228" w:lineRule="auto"/>
      </w:pPr>
      <w:r>
        <w:rPr>
          <w:rFonts w:ascii="Aptos Display" w:hAnsi="Aptos Display"/>
          <w:b/>
          <w:i w:val="0"/>
          <w:color w:val="000000"/>
          <w:sz w:val="54"/>
        </w:rPr>
        <w:t>Disaster Casualty Management System User Manual</w:t>
      </w:r>
    </w:p>
    <w:p>
      <w:pPr>
        <w:keepNext w:val="0"/>
        <w:widowControl/>
        <w:spacing w:before="0" w:after="440" w:line="240" w:lineRule="auto"/>
      </w:pPr>
      <w:r>
        <w:rPr>
          <w:rFonts w:ascii="Aptos Display" w:hAnsi="Aptos Display"/>
          <w:b/>
          <w:i w:val="0"/>
          <w:color w:val="455A64"/>
          <w:sz w:val="29"/>
        </w:rPr>
        <w:t>Operational procedures for administrators, responders and documenters</w:t>
      </w:r>
    </w:p>
    <w:p>
      <w:pPr>
        <w:pStyle w:val="BodyText"/>
        <w:keepNext w:val="0"/>
        <w:widowControl/>
        <w:spacing w:before="0" w:after="360" w:line="259" w:lineRule="auto"/>
      </w:pPr>
      <w:r>
        <w:rPr>
          <w:rFonts w:ascii="Aptos" w:hAnsi="Aptos"/>
          <w:b w:val="0"/>
          <w:i w:val="0"/>
          <w:color w:val="263238"/>
          <w:sz w:val="21"/>
        </w:rPr>
        <w:t>A role-based operating guide for logging in, navigating the web dashboard or mobile/PWA app, encoding casualties, working offline, reviewing records, matching cases, viewing analytics, and completing reporting tasks.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0" w:lineRule="auto"/>
            </w:pPr>
            <w:r>
              <w:rPr>
                <w:rFonts w:ascii="Aptos" w:hAnsi="Aptos"/>
                <w:b/>
                <w:i w:val="0"/>
                <w:color w:val="FFFFFF"/>
                <w:sz w:val="19"/>
              </w:rPr>
              <w:t>Document control</w:t>
            </w:r>
          </w:p>
        </w:tc>
        <w:tc>
          <w:tcPr>
            <w:tcW w:type="dxa" w:w="6552"/>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0" w:lineRule="auto"/>
            </w:pPr>
            <w:r>
              <w:rPr>
                <w:rFonts w:ascii="Aptos" w:hAnsi="Aptos"/>
                <w:b/>
                <w:i w:val="0"/>
                <w:color w:val="FFFFFF"/>
                <w:sz w:val="19"/>
              </w:rPr>
              <w:t>Value</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Document version</w:t>
            </w:r>
          </w:p>
        </w:tc>
        <w:tc>
          <w:tcPr>
            <w:tcW w:type="dxa" w:w="65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1.0</w:t>
            </w:r>
          </w:p>
        </w:tc>
      </w:tr>
      <w:tr>
        <w:tc>
          <w:tcPr>
            <w:tcW w:type="dxa" w:w="288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Implementation baseline</w:t>
            </w:r>
          </w:p>
        </w:tc>
        <w:tc>
          <w:tcPr>
            <w:tcW w:type="dxa" w:w="655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Current project snapshot</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Prepared</w:t>
            </w:r>
          </w:p>
        </w:tc>
        <w:tc>
          <w:tcPr>
            <w:tcW w:type="dxa" w:w="65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20 October 2026</w:t>
            </w:r>
          </w:p>
        </w:tc>
      </w:tr>
      <w:tr>
        <w:tc>
          <w:tcPr>
            <w:tcW w:type="dxa" w:w="288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Document owner</w:t>
            </w:r>
          </w:p>
        </w:tc>
        <w:tc>
          <w:tcPr>
            <w:tcW w:type="dxa" w:w="655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MedSORT Project Team</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Status</w:t>
            </w:r>
          </w:p>
        </w:tc>
        <w:tc>
          <w:tcPr>
            <w:tcW w:type="dxa" w:w="65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Operational reference for controlled use</w:t>
            </w:r>
          </w:p>
        </w:tc>
      </w:tr>
    </w:tbl>
    <w:p>
      <w:pPr>
        <w:spacing w:after="60"/>
      </w:pPr>
    </w:p>
    <w:p>
      <w:r>
        <w:br w:type="page"/>
      </w:r>
    </w:p>
    <w:p>
      <w:pPr>
        <w:pStyle w:val="Heading1"/>
        <w:keepNext/>
        <w:widowControl/>
        <w:spacing w:before="240" w:after="120" w:line="240" w:lineRule="auto"/>
      </w:pPr>
      <w:r>
        <w:rPr>
          <w:rFonts w:ascii="Aptos Display" w:hAnsi="Aptos Display"/>
          <w:b/>
          <w:i w:val="0"/>
          <w:color w:val="000000"/>
          <w:sz w:val="36"/>
        </w:rPr>
        <w:t>Contents</w:t>
      </w:r>
    </w:p>
    <w:p>
      <w:pPr>
        <w:keepNext w:val="0"/>
        <w:widowControl/>
        <w:spacing w:before="0" w:after="40" w:line="240" w:lineRule="auto"/>
      </w:pPr>
      <w:r>
        <w:rPr>
          <w:rFonts w:ascii="Aptos" w:hAnsi="Aptos"/>
          <w:b w:val="0"/>
          <w:i w:val="0"/>
          <w:color w:val="263238"/>
          <w:sz w:val="21"/>
        </w:rPr>
        <w:t>14. Getting Started</w:t>
      </w:r>
    </w:p>
    <w:p>
      <w:pPr>
        <w:keepNext w:val="0"/>
        <w:widowControl/>
        <w:spacing w:before="0" w:after="40" w:line="240" w:lineRule="auto"/>
      </w:pPr>
      <w:r>
        <w:rPr>
          <w:rFonts w:ascii="Aptos" w:hAnsi="Aptos"/>
          <w:b w:val="0"/>
          <w:i w:val="0"/>
          <w:color w:val="263238"/>
          <w:sz w:val="21"/>
        </w:rPr>
        <w:t>15. Web Dashboard Procedures</w:t>
      </w:r>
    </w:p>
    <w:p>
      <w:pPr>
        <w:keepNext w:val="0"/>
        <w:widowControl/>
        <w:spacing w:before="0" w:after="40" w:line="240" w:lineRule="auto"/>
      </w:pPr>
      <w:r>
        <w:rPr>
          <w:rFonts w:ascii="Aptos" w:hAnsi="Aptos"/>
          <w:b w:val="0"/>
          <w:i w:val="0"/>
          <w:color w:val="263238"/>
          <w:sz w:val="21"/>
        </w:rPr>
        <w:t>16. Mobile/PWA Procedures</w:t>
      </w:r>
    </w:p>
    <w:p>
      <w:pPr>
        <w:keepNext w:val="0"/>
        <w:widowControl/>
        <w:spacing w:before="0" w:after="40" w:line="240" w:lineRule="auto"/>
      </w:pPr>
      <w:r>
        <w:rPr>
          <w:rFonts w:ascii="Aptos" w:hAnsi="Aptos"/>
          <w:b w:val="0"/>
          <w:i w:val="0"/>
          <w:color w:val="263238"/>
          <w:sz w:val="21"/>
        </w:rPr>
        <w:t>17. Casualty Encoding and Offline Submission</w:t>
      </w:r>
    </w:p>
    <w:p>
      <w:pPr>
        <w:keepNext w:val="0"/>
        <w:widowControl/>
        <w:spacing w:before="0" w:after="40" w:line="240" w:lineRule="auto"/>
      </w:pPr>
      <w:r>
        <w:rPr>
          <w:rFonts w:ascii="Aptos" w:hAnsi="Aptos"/>
          <w:b w:val="0"/>
          <w:i w:val="0"/>
          <w:color w:val="263238"/>
          <w:sz w:val="21"/>
        </w:rPr>
        <w:t>18. Review, Matching and Analytics</w:t>
      </w:r>
    </w:p>
    <w:p>
      <w:pPr>
        <w:keepNext w:val="0"/>
        <w:widowControl/>
        <w:spacing w:before="0" w:after="40" w:line="240" w:lineRule="auto"/>
      </w:pPr>
      <w:r>
        <w:rPr>
          <w:rFonts w:ascii="Aptos" w:hAnsi="Aptos"/>
          <w:b w:val="0"/>
          <w:i w:val="0"/>
          <w:color w:val="263238"/>
          <w:sz w:val="21"/>
        </w:rPr>
        <w:t>19. Drafts, Exports, Logs and Incident Closure</w:t>
      </w:r>
    </w:p>
    <w:p>
      <w:pPr>
        <w:keepNext w:val="0"/>
        <w:widowControl/>
        <w:spacing w:before="0" w:after="40" w:line="240" w:lineRule="auto"/>
      </w:pPr>
      <w:r>
        <w:rPr>
          <w:rFonts w:ascii="Aptos" w:hAnsi="Aptos"/>
          <w:b w:val="0"/>
          <w:i w:val="0"/>
          <w:color w:val="263238"/>
          <w:sz w:val="21"/>
        </w:rPr>
        <w:t>20. User Troubleshooting</w:t>
      </w:r>
    </w:p>
    <w:p>
      <w:r>
        <w:br w:type="page"/>
      </w:r>
    </w:p>
    <w:p>
      <w:pPr>
        <w:pStyle w:val="Heading1"/>
        <w:keepNext/>
        <w:widowControl/>
        <w:spacing w:before="240" w:after="120" w:line="240" w:lineRule="auto"/>
      </w:pPr>
      <w:r>
        <w:rPr>
          <w:rFonts w:ascii="Aptos Display" w:hAnsi="Aptos Display"/>
          <w:b/>
          <w:i w:val="0"/>
          <w:color w:val="000000"/>
          <w:sz w:val="36"/>
        </w:rPr>
        <w:t>14. Getting Started</w:t>
      </w:r>
    </w:p>
    <w:p>
      <w:pPr>
        <w:pStyle w:val="Heading2"/>
        <w:keepNext/>
        <w:widowControl/>
        <w:spacing w:before="160" w:after="120" w:line="240" w:lineRule="auto"/>
      </w:pPr>
      <w:r>
        <w:rPr>
          <w:rFonts w:ascii="Aptos Display" w:hAnsi="Aptos Display"/>
          <w:b/>
          <w:i w:val="0"/>
          <w:color w:val="000000"/>
          <w:sz w:val="27"/>
        </w:rPr>
        <w:t>14.1 Before you begin</w:t>
      </w:r>
    </w:p>
    <w:p>
      <w:pPr>
        <w:pStyle w:val="ListBullet"/>
        <w:keepNext w:val="0"/>
        <w:widowControl/>
        <w:spacing w:before="0" w:after="60" w:line="259" w:lineRule="auto"/>
      </w:pPr>
      <w:r>
        <w:rPr>
          <w:rFonts w:ascii="Aptos" w:hAnsi="Aptos"/>
          <w:b w:val="0"/>
          <w:i w:val="0"/>
          <w:color w:val="263238"/>
          <w:sz w:val="21"/>
        </w:rPr>
        <w:t>Use an active account assigned by an administrator.</w:t>
      </w:r>
    </w:p>
    <w:p>
      <w:pPr>
        <w:pStyle w:val="ListBullet"/>
        <w:keepNext w:val="0"/>
        <w:widowControl/>
        <w:spacing w:before="0" w:after="60" w:line="259" w:lineRule="auto"/>
      </w:pPr>
      <w:r>
        <w:rPr>
          <w:rFonts w:ascii="Aptos" w:hAnsi="Aptos"/>
          <w:b w:val="0"/>
          <w:i w:val="0"/>
          <w:color w:val="263238"/>
          <w:sz w:val="21"/>
        </w:rPr>
        <w:t>Confirm the web dashboard or mobile/PWA is connected to the correct environment.</w:t>
      </w:r>
    </w:p>
    <w:p>
      <w:pPr>
        <w:pStyle w:val="ListBullet"/>
        <w:keepNext w:val="0"/>
        <w:widowControl/>
        <w:spacing w:before="0" w:after="60" w:line="259" w:lineRule="auto"/>
      </w:pPr>
      <w:r>
        <w:rPr>
          <w:rFonts w:ascii="Aptos" w:hAnsi="Aptos"/>
          <w:b w:val="0"/>
          <w:i w:val="0"/>
          <w:color w:val="263238"/>
          <w:sz w:val="21"/>
        </w:rPr>
        <w:t>For field work, load the active incident list before entering an area with unreliable connectivity.</w:t>
      </w:r>
    </w:p>
    <w:p>
      <w:pPr>
        <w:pStyle w:val="ListBullet"/>
        <w:keepNext w:val="0"/>
        <w:widowControl/>
        <w:spacing w:before="0" w:after="60" w:line="259" w:lineRule="auto"/>
      </w:pPr>
      <w:r>
        <w:rPr>
          <w:rFonts w:ascii="Aptos" w:hAnsi="Aptos"/>
          <w:b w:val="0"/>
          <w:i w:val="0"/>
          <w:color w:val="263238"/>
          <w:sz w:val="21"/>
        </w:rPr>
        <w:t>Use a device with enough battery, storage, and camera/file permissions for the work assigned.</w:t>
      </w:r>
    </w:p>
    <w:p>
      <w:pPr>
        <w:pStyle w:val="Heading2"/>
        <w:keepNext/>
        <w:widowControl/>
        <w:spacing w:before="160" w:after="120" w:line="240" w:lineRule="auto"/>
      </w:pPr>
      <w:r>
        <w:rPr>
          <w:rFonts w:ascii="Aptos Display" w:hAnsi="Aptos Display"/>
          <w:b/>
          <w:i w:val="0"/>
          <w:color w:val="000000"/>
          <w:sz w:val="27"/>
        </w:rPr>
        <w:t>14.2 Login and theme</w:t>
      </w:r>
    </w:p>
    <w:p>
      <w:pPr>
        <w:pStyle w:val="ListNumber"/>
        <w:keepNext w:val="0"/>
        <w:widowControl/>
        <w:spacing w:before="0" w:after="60" w:line="259" w:lineRule="auto"/>
      </w:pPr>
      <w:r>
        <w:rPr>
          <w:rFonts w:ascii="Aptos" w:hAnsi="Aptos"/>
          <w:b w:val="0"/>
          <w:i w:val="0"/>
          <w:color w:val="263238"/>
          <w:sz w:val="21"/>
        </w:rPr>
        <w:t>Open the web dashboard or mobile/PWA app.</w:t>
      </w:r>
    </w:p>
    <w:p>
      <w:pPr>
        <w:pStyle w:val="ListNumber"/>
        <w:keepNext w:val="0"/>
        <w:widowControl/>
        <w:spacing w:before="0" w:after="60" w:line="259" w:lineRule="auto"/>
      </w:pPr>
      <w:r>
        <w:rPr>
          <w:rFonts w:ascii="Aptos" w:hAnsi="Aptos"/>
          <w:b w:val="0"/>
          <w:i w:val="0"/>
          <w:color w:val="263238"/>
          <w:sz w:val="21"/>
        </w:rPr>
        <w:t>Enter the assigned email and password, then select the sign-in action.</w:t>
      </w:r>
    </w:p>
    <w:p>
      <w:pPr>
        <w:pStyle w:val="ListNumber"/>
        <w:keepNext w:val="0"/>
        <w:widowControl/>
        <w:spacing w:before="0" w:after="60" w:line="259" w:lineRule="auto"/>
      </w:pPr>
      <w:r>
        <w:rPr>
          <w:rFonts w:ascii="Aptos" w:hAnsi="Aptos"/>
          <w:b w:val="0"/>
          <w:i w:val="0"/>
          <w:color w:val="263238"/>
          <w:sz w:val="21"/>
        </w:rPr>
        <w:t>The system opens the dashboard appropriate to the account role.</w:t>
      </w:r>
    </w:p>
    <w:p>
      <w:pPr>
        <w:pStyle w:val="ListNumber"/>
        <w:keepNext w:val="0"/>
        <w:widowControl/>
        <w:spacing w:before="0" w:after="60" w:line="259" w:lineRule="auto"/>
      </w:pPr>
      <w:r>
        <w:rPr>
          <w:rFonts w:ascii="Aptos" w:hAnsi="Aptos"/>
          <w:b w:val="0"/>
          <w:i w:val="0"/>
          <w:color w:val="263238"/>
          <w:sz w:val="21"/>
        </w:rPr>
        <w:t>By default, the interface follows the device Light/Dark setting and responds to system theme changes.</w:t>
      </w:r>
    </w:p>
    <w:p>
      <w:pPr>
        <w:pStyle w:val="ListNumber"/>
        <w:keepNext w:val="0"/>
        <w:widowControl/>
        <w:spacing w:before="0" w:after="60" w:line="259" w:lineRule="auto"/>
      </w:pPr>
      <w:r>
        <w:rPr>
          <w:rFonts w:ascii="Aptos" w:hAnsi="Aptos"/>
          <w:b w:val="0"/>
          <w:i w:val="0"/>
          <w:color w:val="263238"/>
          <w:sz w:val="21"/>
        </w:rPr>
        <w:t>Use the sun/moon control for an explicit Light or Dark override when needed.</w:t>
      </w:r>
    </w:p>
    <w:p>
      <w:pPr>
        <w:pStyle w:val="BodyText"/>
        <w:keepNext w:val="0"/>
        <w:widowControl/>
        <w:spacing w:before="0" w:after="100" w:line="259" w:lineRule="auto"/>
      </w:pPr>
      <w:r>
        <w:rPr>
          <w:rFonts w:ascii="Aptos" w:hAnsi="Aptos"/>
          <w:b/>
          <w:i w:val="0"/>
          <w:color w:val="0F766E"/>
          <w:sz w:val="21"/>
        </w:rPr>
        <w:t xml:space="preserve">If login fails: </w:t>
      </w:r>
      <w:r>
        <w:rPr>
          <w:rFonts w:ascii="Aptos" w:hAnsi="Aptos"/>
          <w:b w:val="0"/>
          <w:i w:val="0"/>
          <w:color w:val="263238"/>
          <w:sz w:val="21"/>
        </w:rPr>
        <w:t>Check the email, password, account status, and environment URL. Contact an administrator if the account is disabled or missing.</w:t>
      </w:r>
    </w:p>
    <w:p>
      <w:pPr>
        <w:pStyle w:val="Heading1"/>
        <w:keepNext/>
        <w:widowControl/>
        <w:spacing w:before="240" w:after="120" w:line="240" w:lineRule="auto"/>
      </w:pPr>
      <w:r>
        <w:rPr>
          <w:rFonts w:ascii="Aptos Display" w:hAnsi="Aptos Display"/>
          <w:b/>
          <w:i w:val="0"/>
          <w:color w:val="000000"/>
          <w:sz w:val="36"/>
        </w:rPr>
        <w:t>15. Web Dashboard Procedures</w:t>
      </w:r>
    </w:p>
    <w:p>
      <w:pPr>
        <w:pStyle w:val="Heading2"/>
        <w:keepNext/>
        <w:widowControl/>
        <w:spacing w:before="160" w:after="120" w:line="240" w:lineRule="auto"/>
      </w:pPr>
      <w:r>
        <w:rPr>
          <w:rFonts w:ascii="Aptos Display" w:hAnsi="Aptos Display"/>
          <w:b/>
          <w:i w:val="0"/>
          <w:color w:val="000000"/>
          <w:sz w:val="27"/>
        </w:rPr>
        <w:t>15.1 Navigation</w:t>
      </w:r>
    </w:p>
    <w:p>
      <w:pPr>
        <w:pStyle w:val="BodyText"/>
        <w:keepNext w:val="0"/>
        <w:widowControl/>
        <w:spacing w:before="0" w:after="120" w:line="259" w:lineRule="auto"/>
      </w:pPr>
      <w:r>
        <w:rPr>
          <w:rFonts w:ascii="Aptos" w:hAnsi="Aptos"/>
          <w:b w:val="0"/>
          <w:i w:val="0"/>
          <w:color w:val="263238"/>
          <w:sz w:val="21"/>
        </w:rPr>
        <w:t>Use the sidebar to move between available work areas. Depending on role and scope, common sections include Homepage, Incident Management, Incident Analytics, Official Incidents, Healthcare Facilities, Casualty Records, Match Casing, Matched Cases, Verification Review, Action Logs, Accounts, and Drafts.</w:t>
      </w:r>
    </w:p>
    <w:p>
      <w:pPr>
        <w:pStyle w:val="Heading2"/>
        <w:keepNext/>
        <w:widowControl/>
        <w:spacing w:before="160" w:after="120" w:line="240" w:lineRule="auto"/>
      </w:pPr>
      <w:r>
        <w:rPr>
          <w:rFonts w:ascii="Aptos Display" w:hAnsi="Aptos Display"/>
          <w:b/>
          <w:i w:val="0"/>
          <w:color w:val="000000"/>
          <w:sz w:val="27"/>
        </w:rPr>
        <w:t>15.2 Create accounts</w:t>
      </w:r>
    </w:p>
    <w:p>
      <w:pPr>
        <w:pStyle w:val="ListNumber"/>
        <w:keepNext w:val="0"/>
        <w:widowControl/>
        <w:spacing w:before="0" w:after="60" w:line="259" w:lineRule="auto"/>
      </w:pPr>
      <w:r>
        <w:rPr>
          <w:rFonts w:ascii="Aptos" w:hAnsi="Aptos"/>
          <w:b w:val="0"/>
          <w:i w:val="0"/>
          <w:color w:val="263238"/>
          <w:sz w:val="21"/>
        </w:rPr>
        <w:t>Open Accounts.</w:t>
      </w:r>
    </w:p>
    <w:p>
      <w:pPr>
        <w:pStyle w:val="ListNumber"/>
        <w:keepNext w:val="0"/>
        <w:widowControl/>
        <w:spacing w:before="0" w:after="60" w:line="259" w:lineRule="auto"/>
      </w:pPr>
      <w:r>
        <w:rPr>
          <w:rFonts w:ascii="Aptos" w:hAnsi="Aptos"/>
          <w:b w:val="0"/>
          <w:i w:val="0"/>
          <w:color w:val="263238"/>
          <w:sz w:val="21"/>
        </w:rPr>
        <w:t>Enter the user's full name, email, temporary password, role, and assigned context.</w:t>
      </w:r>
    </w:p>
    <w:p>
      <w:pPr>
        <w:pStyle w:val="ListNumber"/>
        <w:keepNext w:val="0"/>
        <w:widowControl/>
        <w:spacing w:before="0" w:after="60" w:line="259" w:lineRule="auto"/>
      </w:pPr>
      <w:r>
        <w:rPr>
          <w:rFonts w:ascii="Aptos" w:hAnsi="Aptos"/>
          <w:b w:val="0"/>
          <w:i w:val="0"/>
          <w:color w:val="263238"/>
          <w:sz w:val="21"/>
        </w:rPr>
        <w:t>Select Field Responder, AMP Responder, Minor Incident Documenter, or Healthcare Facility Documenter as appropriate.</w:t>
      </w:r>
    </w:p>
    <w:p>
      <w:pPr>
        <w:pStyle w:val="ListNumber"/>
        <w:keepNext w:val="0"/>
        <w:widowControl/>
        <w:spacing w:before="0" w:after="60" w:line="259" w:lineRule="auto"/>
      </w:pPr>
      <w:r>
        <w:rPr>
          <w:rFonts w:ascii="Aptos" w:hAnsi="Aptos"/>
          <w:b w:val="0"/>
          <w:i w:val="0"/>
          <w:color w:val="263238"/>
          <w:sz w:val="21"/>
        </w:rPr>
        <w:t>Save as a draft when the form is incomplete, or create the account when ready.</w:t>
      </w:r>
    </w:p>
    <w:p>
      <w:pPr>
        <w:pStyle w:val="ListNumber"/>
        <w:keepNext w:val="0"/>
        <w:widowControl/>
        <w:spacing w:before="0" w:after="60" w:line="259" w:lineRule="auto"/>
      </w:pPr>
      <w:r>
        <w:rPr>
          <w:rFonts w:ascii="Aptos" w:hAnsi="Aptos"/>
          <w:b w:val="0"/>
          <w:i w:val="0"/>
          <w:color w:val="263238"/>
          <w:sz w:val="21"/>
        </w:rPr>
        <w:t>Provide the temporary password through an approved secure channel; do not store it in a draft.</w:t>
      </w:r>
    </w:p>
    <w:p>
      <w:pPr>
        <w:pStyle w:val="Heading2"/>
        <w:keepNext/>
        <w:widowControl/>
        <w:spacing w:before="160" w:after="120" w:line="240" w:lineRule="auto"/>
      </w:pPr>
      <w:r>
        <w:rPr>
          <w:rFonts w:ascii="Aptos Display" w:hAnsi="Aptos Display"/>
          <w:b/>
          <w:i w:val="0"/>
          <w:color w:val="000000"/>
          <w:sz w:val="27"/>
        </w:rPr>
        <w:t>15.3 Create an official incident</w:t>
      </w:r>
    </w:p>
    <w:p>
      <w:pPr>
        <w:pStyle w:val="ListNumber"/>
        <w:keepNext w:val="0"/>
        <w:widowControl/>
        <w:spacing w:before="0" w:after="60" w:line="259" w:lineRule="auto"/>
      </w:pPr>
      <w:r>
        <w:rPr>
          <w:rFonts w:ascii="Aptos" w:hAnsi="Aptos"/>
          <w:b w:val="0"/>
          <w:i w:val="0"/>
          <w:color w:val="263238"/>
          <w:sz w:val="21"/>
        </w:rPr>
        <w:t>Open Official Incidents.</w:t>
      </w:r>
    </w:p>
    <w:p>
      <w:pPr>
        <w:pStyle w:val="ListNumber"/>
        <w:keepNext w:val="0"/>
        <w:widowControl/>
        <w:spacing w:before="0" w:after="60" w:line="259" w:lineRule="auto"/>
      </w:pPr>
      <w:r>
        <w:rPr>
          <w:rFonts w:ascii="Aptos" w:hAnsi="Aptos"/>
          <w:b w:val="0"/>
          <w:i w:val="0"/>
          <w:color w:val="263238"/>
          <w:sz w:val="21"/>
        </w:rPr>
        <w:t>Enter the incident name and required operational details.</w:t>
      </w:r>
    </w:p>
    <w:p>
      <w:pPr>
        <w:pStyle w:val="ListNumber"/>
        <w:keepNext w:val="0"/>
        <w:widowControl/>
        <w:spacing w:before="0" w:after="60" w:line="259" w:lineRule="auto"/>
      </w:pPr>
      <w:r>
        <w:rPr>
          <w:rFonts w:ascii="Aptos" w:hAnsi="Aptos"/>
          <w:b w:val="0"/>
          <w:i w:val="0"/>
          <w:color w:val="263238"/>
          <w:sz w:val="21"/>
        </w:rPr>
        <w:t>Save a draft if the incident is not ready.</w:t>
      </w:r>
    </w:p>
    <w:p>
      <w:pPr>
        <w:pStyle w:val="ListNumber"/>
        <w:keepNext w:val="0"/>
        <w:widowControl/>
        <w:spacing w:before="0" w:after="60" w:line="259" w:lineRule="auto"/>
      </w:pPr>
      <w:r>
        <w:rPr>
          <w:rFonts w:ascii="Aptos" w:hAnsi="Aptos"/>
          <w:b w:val="0"/>
          <w:i w:val="0"/>
          <w:color w:val="263238"/>
          <w:sz w:val="21"/>
        </w:rPr>
        <w:t>Create the official incident and confirm that it appears in the incident list.</w:t>
      </w:r>
    </w:p>
    <w:p>
      <w:pPr>
        <w:pStyle w:val="ListNumber"/>
        <w:keepNext w:val="0"/>
        <w:widowControl/>
        <w:spacing w:before="0" w:after="60" w:line="259" w:lineRule="auto"/>
      </w:pPr>
      <w:r>
        <w:rPr>
          <w:rFonts w:ascii="Aptos" w:hAnsi="Aptos"/>
          <w:b w:val="0"/>
          <w:i w:val="0"/>
          <w:color w:val="263238"/>
          <w:sz w:val="21"/>
        </w:rPr>
        <w:t>Ask mobile users to refresh incident data before they begin encoding.</w:t>
      </w:r>
    </w:p>
    <w:p>
      <w:pPr>
        <w:pStyle w:val="Heading2"/>
        <w:keepNext/>
        <w:widowControl/>
        <w:spacing w:before="160" w:after="120" w:line="240" w:lineRule="auto"/>
      </w:pPr>
      <w:r>
        <w:rPr>
          <w:rFonts w:ascii="Aptos Display" w:hAnsi="Aptos Display"/>
          <w:b/>
          <w:i w:val="0"/>
          <w:color w:val="000000"/>
          <w:sz w:val="27"/>
        </w:rPr>
        <w:t>15.4 Manage facilities and reference data</w:t>
      </w:r>
    </w:p>
    <w:p>
      <w:pPr>
        <w:pStyle w:val="BodyText"/>
        <w:keepNext w:val="0"/>
        <w:widowControl/>
        <w:spacing w:before="0" w:after="120" w:line="259" w:lineRule="auto"/>
      </w:pPr>
      <w:r>
        <w:rPr>
          <w:rFonts w:ascii="Aptos" w:hAnsi="Aptos"/>
          <w:b w:val="0"/>
          <w:i w:val="0"/>
          <w:color w:val="263238"/>
          <w:sz w:val="21"/>
        </w:rPr>
        <w:t>Open Healthcare Facilities or Evacuation Centers to create records manually or import CSV/Excel data. Review the import preview, correct invalid or duplicate rows, and confirm only after the preview is understood.</w:t>
      </w:r>
    </w:p>
    <w:p>
      <w:pPr>
        <w:pStyle w:val="Heading2"/>
        <w:keepNext/>
        <w:widowControl/>
        <w:spacing w:before="160" w:after="120" w:line="240" w:lineRule="auto"/>
      </w:pPr>
      <w:r>
        <w:rPr>
          <w:rFonts w:ascii="Aptos Display" w:hAnsi="Aptos Display"/>
          <w:b/>
          <w:i w:val="0"/>
          <w:color w:val="000000"/>
          <w:sz w:val="27"/>
        </w:rPr>
        <w:t>15.5 Review casualty records</w:t>
      </w:r>
    </w:p>
    <w:p>
      <w:pPr>
        <w:pStyle w:val="BodyText"/>
        <w:keepNext w:val="0"/>
        <w:widowControl/>
        <w:spacing w:before="0" w:after="120" w:line="259" w:lineRule="auto"/>
      </w:pPr>
      <w:r>
        <w:rPr>
          <w:rFonts w:ascii="Aptos" w:hAnsi="Aptos"/>
          <w:b w:val="0"/>
          <w:i w:val="0"/>
          <w:color w:val="263238"/>
          <w:sz w:val="21"/>
        </w:rPr>
        <w:t>Open Casualty Records, apply incident/status filters, and select a record to inspect role sections, attachments, triage details, transport, treatment, history, and matched-case information. Matched role records remain separate at storage level but are presented together for review.</w:t>
      </w:r>
    </w:p>
    <w:p>
      <w:pPr>
        <w:pStyle w:val="Heading2"/>
        <w:keepNext/>
        <w:widowControl/>
        <w:spacing w:before="160" w:after="120" w:line="240" w:lineRule="auto"/>
      </w:pPr>
      <w:r>
        <w:rPr>
          <w:rFonts w:ascii="Aptos Display" w:hAnsi="Aptos Display"/>
          <w:b/>
          <w:i w:val="0"/>
          <w:color w:val="000000"/>
          <w:sz w:val="27"/>
        </w:rPr>
        <w:t>15.6 Verify or reject a record</w:t>
      </w:r>
    </w:p>
    <w:p>
      <w:pPr>
        <w:pStyle w:val="ListNumber"/>
        <w:keepNext w:val="0"/>
        <w:widowControl/>
        <w:spacing w:before="0" w:after="60" w:line="259" w:lineRule="auto"/>
      </w:pPr>
      <w:r>
        <w:rPr>
          <w:rFonts w:ascii="Aptos" w:hAnsi="Aptos"/>
          <w:b w:val="0"/>
          <w:i w:val="0"/>
          <w:color w:val="263238"/>
          <w:sz w:val="21"/>
        </w:rPr>
        <w:t>Open Verification Review and select a submitted record.</w:t>
      </w:r>
    </w:p>
    <w:p>
      <w:pPr>
        <w:pStyle w:val="ListNumber"/>
        <w:keepNext w:val="0"/>
        <w:widowControl/>
        <w:spacing w:before="0" w:after="60" w:line="259" w:lineRule="auto"/>
      </w:pPr>
      <w:r>
        <w:rPr>
          <w:rFonts w:ascii="Aptos" w:hAnsi="Aptos"/>
          <w:b w:val="0"/>
          <w:i w:val="0"/>
          <w:color w:val="263238"/>
          <w:sz w:val="21"/>
        </w:rPr>
        <w:t>Review the record, attachments, status history, and incident context.</w:t>
      </w:r>
    </w:p>
    <w:p>
      <w:pPr>
        <w:pStyle w:val="ListNumber"/>
        <w:keepNext w:val="0"/>
        <w:widowControl/>
        <w:spacing w:before="0" w:after="60" w:line="259" w:lineRule="auto"/>
      </w:pPr>
      <w:r>
        <w:rPr>
          <w:rFonts w:ascii="Aptos" w:hAnsi="Aptos"/>
          <w:b w:val="0"/>
          <w:i w:val="0"/>
          <w:color w:val="263238"/>
          <w:sz w:val="21"/>
        </w:rPr>
        <w:t>Choose Verify/Approve, Reject with reason, or Delete when policy allows.</w:t>
      </w:r>
    </w:p>
    <w:p>
      <w:pPr>
        <w:pStyle w:val="ListNumber"/>
        <w:keepNext w:val="0"/>
        <w:widowControl/>
        <w:spacing w:before="0" w:after="60" w:line="259" w:lineRule="auto"/>
      </w:pPr>
      <w:r>
        <w:rPr>
          <w:rFonts w:ascii="Aptos" w:hAnsi="Aptos"/>
          <w:b w:val="0"/>
          <w:i w:val="0"/>
          <w:color w:val="263238"/>
          <w:sz w:val="21"/>
        </w:rPr>
        <w:t>Confirm the action in the in-app confirmation step.</w:t>
      </w:r>
    </w:p>
    <w:p>
      <w:pPr>
        <w:pStyle w:val="ListNumber"/>
        <w:keepNext w:val="0"/>
        <w:widowControl/>
        <w:spacing w:before="0" w:after="60" w:line="259" w:lineRule="auto"/>
      </w:pPr>
      <w:r>
        <w:rPr>
          <w:rFonts w:ascii="Aptos" w:hAnsi="Aptos"/>
          <w:b w:val="0"/>
          <w:i w:val="0"/>
          <w:color w:val="263238"/>
          <w:sz w:val="21"/>
        </w:rPr>
        <w:t>Confirm the record status and history show the decision.</w:t>
      </w:r>
    </w:p>
    <w:p>
      <w:pPr>
        <w:pStyle w:val="Heading2"/>
        <w:keepNext/>
        <w:widowControl/>
        <w:spacing w:before="160" w:after="120" w:line="240" w:lineRule="auto"/>
      </w:pPr>
      <w:r>
        <w:rPr>
          <w:rFonts w:ascii="Aptos Display" w:hAnsi="Aptos Display"/>
          <w:b/>
          <w:i w:val="0"/>
          <w:color w:val="000000"/>
          <w:sz w:val="27"/>
        </w:rPr>
        <w:t>15.7 Match Casing</w:t>
      </w:r>
    </w:p>
    <w:p>
      <w:pPr>
        <w:pStyle w:val="BodyText"/>
        <w:keepNext w:val="0"/>
        <w:widowControl/>
        <w:spacing w:before="0" w:after="120" w:line="259" w:lineRule="auto"/>
      </w:pPr>
      <w:r>
        <w:rPr>
          <w:rFonts w:ascii="Aptos" w:hAnsi="Aptos"/>
          <w:b w:val="0"/>
          <w:i w:val="0"/>
          <w:color w:val="263238"/>
          <w:sz w:val="21"/>
        </w:rPr>
        <w:t>Match Casing links one Field Responder record and one AMP record from the same incident. HCFD is optional when already available. Select the records, review the candidate details, complete the match, and treat the resulting case as locked. Do not match records from different incidents or reuse already matched records.</w:t>
      </w:r>
    </w:p>
    <w:p>
      <w:pPr>
        <w:pStyle w:val="Heading1"/>
        <w:keepNext/>
        <w:widowControl/>
        <w:spacing w:before="240" w:after="120" w:line="240" w:lineRule="auto"/>
      </w:pPr>
      <w:r>
        <w:rPr>
          <w:rFonts w:ascii="Aptos Display" w:hAnsi="Aptos Display"/>
          <w:b/>
          <w:i w:val="0"/>
          <w:color w:val="000000"/>
          <w:sz w:val="36"/>
        </w:rPr>
        <w:t>16. Mobile/PWA Procedures</w:t>
      </w:r>
    </w:p>
    <w:p>
      <w:pPr>
        <w:pStyle w:val="Heading2"/>
        <w:keepNext/>
        <w:widowControl/>
        <w:spacing w:before="160" w:after="120" w:line="240" w:lineRule="auto"/>
      </w:pPr>
      <w:r>
        <w:rPr>
          <w:rFonts w:ascii="Aptos Display" w:hAnsi="Aptos Display"/>
          <w:b/>
          <w:i w:val="0"/>
          <w:color w:val="000000"/>
          <w:sz w:val="27"/>
        </w:rPr>
        <w:t>16.1 Mobile navigation</w:t>
      </w:r>
    </w:p>
    <w:p>
      <w:pPr>
        <w:pStyle w:val="BodyText"/>
        <w:keepNext w:val="0"/>
        <w:widowControl/>
        <w:spacing w:before="0" w:after="120" w:line="259" w:lineRule="auto"/>
      </w:pPr>
      <w:r>
        <w:rPr>
          <w:rFonts w:ascii="Aptos" w:hAnsi="Aptos"/>
          <w:b w:val="0"/>
          <w:i w:val="0"/>
          <w:color w:val="263238"/>
          <w:sz w:val="21"/>
        </w:rPr>
        <w:t>The bottom navigation provides access to the home dashboard, records or folders, Add Casualty, drafts/notifications as available, and profile. The exact visible destinations depend on the account role and current build.</w:t>
      </w:r>
    </w:p>
    <w:p>
      <w:pPr>
        <w:pStyle w:val="Heading2"/>
        <w:keepNext/>
        <w:widowControl/>
        <w:spacing w:before="160" w:after="120" w:line="240" w:lineRule="auto"/>
      </w:pPr>
      <w:r>
        <w:rPr>
          <w:rFonts w:ascii="Aptos Display" w:hAnsi="Aptos Display"/>
          <w:b/>
          <w:i w:val="0"/>
          <w:color w:val="000000"/>
          <w:sz w:val="27"/>
        </w:rPr>
        <w:t>16.2 Home dashboard</w:t>
      </w:r>
    </w:p>
    <w:p>
      <w:pPr>
        <w:pStyle w:val="BodyText"/>
        <w:keepNext w:val="0"/>
        <w:widowControl/>
        <w:spacing w:before="0" w:after="120" w:line="259" w:lineRule="auto"/>
      </w:pPr>
      <w:r>
        <w:rPr>
          <w:rFonts w:ascii="Aptos" w:hAnsi="Aptos"/>
          <w:b w:val="0"/>
          <w:i w:val="0"/>
          <w:color w:val="263238"/>
          <w:sz w:val="21"/>
        </w:rPr>
        <w:t>Use the summary cards to review active incidents, encoded records, verified records, and pending review. Select a card only when it provides an available action. Recent activity and notifications help identify records needing attention.</w:t>
      </w:r>
    </w:p>
    <w:p>
      <w:pPr>
        <w:pStyle w:val="Heading2"/>
        <w:keepNext/>
        <w:widowControl/>
        <w:spacing w:before="160" w:after="120" w:line="240" w:lineRule="auto"/>
      </w:pPr>
      <w:r>
        <w:rPr>
          <w:rFonts w:ascii="Aptos Display" w:hAnsi="Aptos Display"/>
          <w:b/>
          <w:i w:val="0"/>
          <w:color w:val="000000"/>
          <w:sz w:val="27"/>
        </w:rPr>
        <w:t>16.3 Role-specific capture flows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Role</w:t>
            </w:r>
          </w:p>
        </w:tc>
        <w:tc>
          <w:tcPr>
            <w:tcW w:type="dxa" w:w="3816"/>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Primary capture focus</w:t>
            </w:r>
          </w:p>
        </w:tc>
        <w:tc>
          <w:tcPr>
            <w:tcW w:type="dxa" w:w="3312"/>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Important behavior</w:t>
            </w:r>
          </w:p>
        </w:tc>
      </w:tr>
      <w:tr>
        <w:tc>
          <w:tcPr>
            <w:tcW w:type="dxa" w:w="230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Field Responder</w:t>
            </w:r>
          </w:p>
        </w:tc>
        <w:tc>
          <w:tcPr>
            <w:tcW w:type="dxa" w:w="381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Field identity, location/context, primary triage, immediate field observations.</w:t>
            </w:r>
          </w:p>
        </w:tc>
        <w:tc>
          <w:tcPr>
            <w:tcW w:type="dxa" w:w="331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Primary triage systems and responder-specific assessment options are shown according to role.</w:t>
            </w:r>
          </w:p>
        </w:tc>
      </w:tr>
      <w:tr>
        <w:tc>
          <w:tcPr>
            <w:tcW w:type="dxa" w:w="230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AMP Responder</w:t>
            </w:r>
          </w:p>
        </w:tc>
        <w:tc>
          <w:tcPr>
            <w:tcW w:type="dxa" w:w="381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Safety, triage, treatment, transport, and remarks.</w:t>
            </w:r>
          </w:p>
        </w:tc>
        <w:tc>
          <w:tcPr>
            <w:tcW w:type="dxa" w:w="331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The shortened AMP flow keeps victim code and generated ID number at the top of Triage.</w:t>
            </w:r>
          </w:p>
        </w:tc>
      </w:tr>
      <w:tr>
        <w:tc>
          <w:tcPr>
            <w:tcW w:type="dxa" w:w="230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Minor Incident Documenter</w:t>
            </w:r>
          </w:p>
        </w:tc>
        <w:tc>
          <w:tcPr>
            <w:tcW w:type="dxa" w:w="381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Full AMP-style documentation.</w:t>
            </w:r>
          </w:p>
        </w:tc>
        <w:tc>
          <w:tcPr>
            <w:tcW w:type="dxa" w:w="331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Includes Intro, Info, Address, Triage, Treatment, Transport, and Remarks.</w:t>
            </w:r>
          </w:p>
        </w:tc>
      </w:tr>
      <w:tr>
        <w:tc>
          <w:tcPr>
            <w:tcW w:type="dxa" w:w="230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Healthcare Facility Documenter</w:t>
            </w:r>
          </w:p>
        </w:tc>
        <w:tc>
          <w:tcPr>
            <w:tcW w:type="dxa" w:w="381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Facility arrival, patient details, triage, management, and disposition.</w:t>
            </w:r>
          </w:p>
        </w:tc>
        <w:tc>
          <w:tcPr>
            <w:tcW w:type="dxa" w:w="331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Submitted edit mode keeps general/patient/triage information locked when only management/disposition should change.</w:t>
            </w:r>
          </w:p>
        </w:tc>
      </w:tr>
    </w:tbl>
    <w:p>
      <w:pPr>
        <w:spacing w:after="60"/>
      </w:pPr>
    </w:p>
    <w:p>
      <w:pPr>
        <w:pStyle w:val="Heading1"/>
        <w:keepNext/>
        <w:widowControl/>
        <w:spacing w:before="240" w:after="120" w:line="240" w:lineRule="auto"/>
      </w:pPr>
      <w:r>
        <w:rPr>
          <w:rFonts w:ascii="Aptos Display" w:hAnsi="Aptos Display"/>
          <w:b/>
          <w:i w:val="0"/>
          <w:color w:val="000000"/>
          <w:sz w:val="36"/>
        </w:rPr>
        <w:t>17. Casualty Encoding and Offline Submission</w:t>
      </w:r>
    </w:p>
    <w:p>
      <w:pPr>
        <w:pStyle w:val="Heading2"/>
        <w:keepNext/>
        <w:widowControl/>
        <w:spacing w:before="160" w:after="120" w:line="240" w:lineRule="auto"/>
      </w:pPr>
      <w:r>
        <w:rPr>
          <w:rFonts w:ascii="Aptos Display" w:hAnsi="Aptos Display"/>
          <w:b/>
          <w:i w:val="0"/>
          <w:color w:val="000000"/>
          <w:sz w:val="27"/>
        </w:rPr>
        <w:t>17.1 Standard encoding sequence</w:t>
      </w:r>
    </w:p>
    <w:p>
      <w:pPr>
        <w:pStyle w:val="ListNumber"/>
        <w:keepNext w:val="0"/>
        <w:widowControl/>
        <w:spacing w:before="0" w:after="60" w:line="259" w:lineRule="auto"/>
      </w:pPr>
      <w:r>
        <w:rPr>
          <w:rFonts w:ascii="Aptos" w:hAnsi="Aptos"/>
          <w:b w:val="0"/>
          <w:i w:val="0"/>
          <w:color w:val="263238"/>
          <w:sz w:val="21"/>
        </w:rPr>
        <w:t>Open Add Casualty.</w:t>
      </w:r>
    </w:p>
    <w:p>
      <w:pPr>
        <w:pStyle w:val="ListNumber"/>
        <w:keepNext w:val="0"/>
        <w:widowControl/>
        <w:spacing w:before="0" w:after="60" w:line="259" w:lineRule="auto"/>
      </w:pPr>
      <w:r>
        <w:rPr>
          <w:rFonts w:ascii="Aptos" w:hAnsi="Aptos"/>
          <w:b w:val="0"/>
          <w:i w:val="0"/>
          <w:color w:val="263238"/>
          <w:sz w:val="21"/>
        </w:rPr>
        <w:t>Select the active incident and complete the current step.</w:t>
      </w:r>
    </w:p>
    <w:p>
      <w:pPr>
        <w:pStyle w:val="ListNumber"/>
        <w:keepNext w:val="0"/>
        <w:widowControl/>
        <w:spacing w:before="0" w:after="60" w:line="259" w:lineRule="auto"/>
      </w:pPr>
      <w:r>
        <w:rPr>
          <w:rFonts w:ascii="Aptos" w:hAnsi="Aptos"/>
          <w:b w:val="0"/>
          <w:i w:val="0"/>
          <w:color w:val="263238"/>
          <w:sz w:val="21"/>
        </w:rPr>
        <w:t>Use the role-appropriate triage, treatment, transport, or facility fields.</w:t>
      </w:r>
    </w:p>
    <w:p>
      <w:pPr>
        <w:pStyle w:val="ListNumber"/>
        <w:keepNext w:val="0"/>
        <w:widowControl/>
        <w:spacing w:before="0" w:after="60" w:line="259" w:lineRule="auto"/>
      </w:pPr>
      <w:r>
        <w:rPr>
          <w:rFonts w:ascii="Aptos" w:hAnsi="Aptos"/>
          <w:b w:val="0"/>
          <w:i w:val="0"/>
          <w:color w:val="263238"/>
          <w:sz w:val="21"/>
        </w:rPr>
        <w:t>Attach a photo only when permitted and operationally useful.</w:t>
      </w:r>
    </w:p>
    <w:p>
      <w:pPr>
        <w:pStyle w:val="ListNumber"/>
        <w:keepNext w:val="0"/>
        <w:widowControl/>
        <w:spacing w:before="0" w:after="60" w:line="259" w:lineRule="auto"/>
      </w:pPr>
      <w:r>
        <w:rPr>
          <w:rFonts w:ascii="Aptos" w:hAnsi="Aptos"/>
          <w:b w:val="0"/>
          <w:i w:val="0"/>
          <w:color w:val="263238"/>
          <w:sz w:val="21"/>
        </w:rPr>
        <w:t>Review the summary and submit when complete.</w:t>
      </w:r>
    </w:p>
    <w:p>
      <w:pPr>
        <w:pStyle w:val="ListNumber"/>
        <w:keepNext w:val="0"/>
        <w:widowControl/>
        <w:spacing w:before="0" w:after="60" w:line="259" w:lineRule="auto"/>
      </w:pPr>
      <w:r>
        <w:rPr>
          <w:rFonts w:ascii="Aptos" w:hAnsi="Aptos"/>
          <w:b w:val="0"/>
          <w:i w:val="0"/>
          <w:color w:val="263238"/>
          <w:sz w:val="21"/>
        </w:rPr>
        <w:t>Check Records or the queue status to confirm that the record is synced or pending.</w:t>
      </w:r>
    </w:p>
    <w:p>
      <w:pPr>
        <w:pStyle w:val="Heading2"/>
        <w:keepNext/>
        <w:widowControl/>
        <w:spacing w:before="160" w:after="120" w:line="240" w:lineRule="auto"/>
      </w:pPr>
      <w:r>
        <w:rPr>
          <w:rFonts w:ascii="Aptos Display" w:hAnsi="Aptos Display"/>
          <w:b/>
          <w:i w:val="0"/>
          <w:color w:val="000000"/>
          <w:sz w:val="27"/>
        </w:rPr>
        <w:t>17.2 Drafts</w:t>
      </w:r>
    </w:p>
    <w:p>
      <w:pPr>
        <w:pStyle w:val="BodyText"/>
        <w:keepNext w:val="0"/>
        <w:widowControl/>
        <w:spacing w:before="0" w:after="120" w:line="259" w:lineRule="auto"/>
      </w:pPr>
      <w:r>
        <w:rPr>
          <w:rFonts w:ascii="Aptos" w:hAnsi="Aptos"/>
          <w:b w:val="0"/>
          <w:i w:val="0"/>
          <w:color w:val="263238"/>
          <w:sz w:val="21"/>
        </w:rPr>
        <w:t>Use Save Draft when a casualty form is not ready for submission. Open Drafts to continue or delete unfinished work. Drafts are not the same as submitted records and should be cleared when no longer needed.</w:t>
      </w:r>
    </w:p>
    <w:p>
      <w:pPr>
        <w:pStyle w:val="Heading2"/>
        <w:keepNext/>
        <w:widowControl/>
        <w:spacing w:before="160" w:after="120" w:line="240" w:lineRule="auto"/>
      </w:pPr>
      <w:r>
        <w:rPr>
          <w:rFonts w:ascii="Aptos Display" w:hAnsi="Aptos Display"/>
          <w:b/>
          <w:i w:val="0"/>
          <w:color w:val="000000"/>
          <w:sz w:val="27"/>
        </w:rPr>
        <w:t>17.3 Offline queue</w:t>
      </w:r>
    </w:p>
    <w:p>
      <w:pPr>
        <w:pStyle w:val="ListNumber"/>
        <w:keepNext w:val="0"/>
        <w:widowControl/>
        <w:spacing w:before="0" w:after="60" w:line="259" w:lineRule="auto"/>
      </w:pPr>
      <w:r>
        <w:rPr>
          <w:rFonts w:ascii="Aptos" w:hAnsi="Aptos"/>
          <w:b w:val="0"/>
          <w:i w:val="0"/>
          <w:color w:val="263238"/>
          <w:sz w:val="21"/>
        </w:rPr>
        <w:t>Load incidents while online before entering an offline area.</w:t>
      </w:r>
    </w:p>
    <w:p>
      <w:pPr>
        <w:pStyle w:val="ListNumber"/>
        <w:keepNext w:val="0"/>
        <w:widowControl/>
        <w:spacing w:before="0" w:after="60" w:line="259" w:lineRule="auto"/>
      </w:pPr>
      <w:r>
        <w:rPr>
          <w:rFonts w:ascii="Aptos" w:hAnsi="Aptos"/>
          <w:b w:val="0"/>
          <w:i w:val="0"/>
          <w:color w:val="263238"/>
          <w:sz w:val="21"/>
        </w:rPr>
        <w:t>Complete and submit the casualty form; the app places the item in the queue when the API is unavailable.</w:t>
      </w:r>
    </w:p>
    <w:p>
      <w:pPr>
        <w:pStyle w:val="ListNumber"/>
        <w:keepNext w:val="0"/>
        <w:widowControl/>
        <w:spacing w:before="0" w:after="60" w:line="259" w:lineRule="auto"/>
      </w:pPr>
      <w:r>
        <w:rPr>
          <w:rFonts w:ascii="Aptos" w:hAnsi="Aptos"/>
          <w:b w:val="0"/>
          <w:i w:val="0"/>
          <w:color w:val="263238"/>
          <w:sz w:val="21"/>
        </w:rPr>
        <w:t>Review Pending or Failed status in Records or the queue surface.</w:t>
      </w:r>
    </w:p>
    <w:p>
      <w:pPr>
        <w:pStyle w:val="ListNumber"/>
        <w:keepNext w:val="0"/>
        <w:widowControl/>
        <w:spacing w:before="0" w:after="60" w:line="259" w:lineRule="auto"/>
      </w:pPr>
      <w:r>
        <w:rPr>
          <w:rFonts w:ascii="Aptos" w:hAnsi="Aptos"/>
          <w:b w:val="0"/>
          <w:i w:val="0"/>
          <w:color w:val="263238"/>
          <w:sz w:val="21"/>
        </w:rPr>
        <w:t>When connectivity returns, use Retry or Retry All.</w:t>
      </w:r>
    </w:p>
    <w:p>
      <w:pPr>
        <w:pStyle w:val="ListNumber"/>
        <w:keepNext w:val="0"/>
        <w:widowControl/>
        <w:spacing w:before="0" w:after="60" w:line="259" w:lineRule="auto"/>
      </w:pPr>
      <w:r>
        <w:rPr>
          <w:rFonts w:ascii="Aptos" w:hAnsi="Aptos"/>
          <w:b w:val="0"/>
          <w:i w:val="0"/>
          <w:color w:val="263238"/>
          <w:sz w:val="21"/>
        </w:rPr>
        <w:t>If a victim-code conflict appears, review the suggested sequence and confirm the correction before retrying.</w:t>
      </w:r>
    </w:p>
    <w:p>
      <w:pPr>
        <w:pStyle w:val="ListNumber"/>
        <w:keepNext w:val="0"/>
        <w:widowControl/>
        <w:spacing w:before="0" w:after="60" w:line="259" w:lineRule="auto"/>
      </w:pPr>
      <w:r>
        <w:rPr>
          <w:rFonts w:ascii="Aptos" w:hAnsi="Aptos"/>
          <w:b w:val="0"/>
          <w:i w:val="0"/>
          <w:color w:val="263238"/>
          <w:sz w:val="21"/>
        </w:rPr>
        <w:t>Do not uninstall the app or clear storage while unsynchronized records remain.</w:t>
      </w:r>
    </w:p>
    <w:p>
      <w:pPr>
        <w:pStyle w:val="Heading1"/>
        <w:keepNext/>
        <w:widowControl/>
        <w:spacing w:before="240" w:after="120" w:line="240" w:lineRule="auto"/>
      </w:pPr>
      <w:r>
        <w:rPr>
          <w:rFonts w:ascii="Aptos Display" w:hAnsi="Aptos Display"/>
          <w:b/>
          <w:i w:val="0"/>
          <w:color w:val="000000"/>
          <w:sz w:val="36"/>
        </w:rPr>
        <w:t>18. Review, Matching and Analytics</w:t>
      </w:r>
    </w:p>
    <w:p>
      <w:pPr>
        <w:pStyle w:val="Heading2"/>
        <w:keepNext/>
        <w:widowControl/>
        <w:spacing w:before="160" w:after="120" w:line="240" w:lineRule="auto"/>
      </w:pPr>
      <w:r>
        <w:rPr>
          <w:rFonts w:ascii="Aptos Display" w:hAnsi="Aptos Display"/>
          <w:b/>
          <w:i w:val="0"/>
          <w:color w:val="000000"/>
          <w:sz w:val="27"/>
        </w:rPr>
        <w:t>18.1 Incident analytics</w:t>
      </w:r>
    </w:p>
    <w:p>
      <w:pPr>
        <w:pStyle w:val="BodyText"/>
        <w:keepNext w:val="0"/>
        <w:widowControl/>
        <w:spacing w:before="0" w:after="120" w:line="259" w:lineRule="auto"/>
      </w:pPr>
      <w:r>
        <w:rPr>
          <w:rFonts w:ascii="Aptos" w:hAnsi="Aptos"/>
          <w:b w:val="0"/>
          <w:i w:val="0"/>
          <w:color w:val="263238"/>
          <w:sz w:val="21"/>
        </w:rPr>
        <w:t>Select an incident and review overview counts, verified/pending totals, timelines, triage comparisons, transition distributions, and operational series. A chart is shown only when its dataset contains data; an omitted chart means there is no meaningful value to display for that incident or filter.</w:t>
      </w:r>
    </w:p>
    <w:p>
      <w:pPr>
        <w:pStyle w:val="Heading2"/>
        <w:keepNext/>
        <w:widowControl/>
        <w:spacing w:before="160" w:after="120" w:line="240" w:lineRule="auto"/>
      </w:pPr>
      <w:r>
        <w:rPr>
          <w:rFonts w:ascii="Aptos Display" w:hAnsi="Aptos Display"/>
          <w:b/>
          <w:i w:val="0"/>
          <w:color w:val="000000"/>
          <w:sz w:val="27"/>
        </w:rPr>
        <w:t>18.2 Triage interpretation</w:t>
      </w:r>
    </w:p>
    <w:p>
      <w:pPr>
        <w:pStyle w:val="ListBullet"/>
        <w:keepNext w:val="0"/>
        <w:widowControl/>
        <w:spacing w:before="0" w:after="60" w:line="259" w:lineRule="auto"/>
      </w:pPr>
      <w:r>
        <w:rPr>
          <w:rFonts w:ascii="Aptos" w:hAnsi="Aptos"/>
          <w:b w:val="0"/>
          <w:i w:val="0"/>
          <w:color w:val="263238"/>
          <w:sz w:val="21"/>
        </w:rPr>
        <w:t>Over- and under-triage comparisons use unassisted triage comparisons where specified.</w:t>
      </w:r>
    </w:p>
    <w:p>
      <w:pPr>
        <w:pStyle w:val="ListBullet"/>
        <w:keepNext w:val="0"/>
        <w:widowControl/>
        <w:spacing w:before="0" w:after="60" w:line="259" w:lineRule="auto"/>
      </w:pPr>
      <w:r>
        <w:rPr>
          <w:rFonts w:ascii="Aptos" w:hAnsi="Aptos"/>
          <w:b w:val="0"/>
          <w:i w:val="0"/>
          <w:color w:val="263238"/>
          <w:sz w:val="21"/>
        </w:rPr>
        <w:t>Percentages use all recorded victims as the denominator for the relevant summary.</w:t>
      </w:r>
    </w:p>
    <w:p>
      <w:pPr>
        <w:pStyle w:val="ListBullet"/>
        <w:keepNext w:val="0"/>
        <w:widowControl/>
        <w:spacing w:before="0" w:after="60" w:line="259" w:lineRule="auto"/>
      </w:pPr>
      <w:r>
        <w:rPr>
          <w:rFonts w:ascii="Aptos" w:hAnsi="Aptos"/>
          <w:b w:val="0"/>
          <w:i w:val="0"/>
          <w:color w:val="263238"/>
          <w:sz w:val="21"/>
        </w:rPr>
        <w:t>Primary and secondary triage breakdowns are shown separately when their data is available.</w:t>
      </w:r>
    </w:p>
    <w:p>
      <w:pPr>
        <w:pStyle w:val="ListBullet"/>
        <w:keepNext w:val="0"/>
        <w:widowControl/>
        <w:spacing w:before="0" w:after="60" w:line="259" w:lineRule="auto"/>
      </w:pPr>
      <w:r>
        <w:rPr>
          <w:rFonts w:ascii="Aptos" w:hAnsi="Aptos"/>
          <w:b w:val="0"/>
          <w:i w:val="0"/>
          <w:color w:val="263238"/>
          <w:sz w:val="21"/>
        </w:rPr>
        <w:t>Transitions such as Immediate -&gt; Delayed are displayed only when records support them.</w:t>
      </w:r>
    </w:p>
    <w:p>
      <w:pPr>
        <w:pStyle w:val="Heading2"/>
        <w:keepNext/>
        <w:widowControl/>
        <w:spacing w:before="160" w:after="120" w:line="240" w:lineRule="auto"/>
      </w:pPr>
      <w:r>
        <w:rPr>
          <w:rFonts w:ascii="Aptos Display" w:hAnsi="Aptos Display"/>
          <w:b/>
          <w:i w:val="0"/>
          <w:color w:val="000000"/>
          <w:sz w:val="27"/>
        </w:rPr>
        <w:t>18.3 SitRep</w:t>
      </w:r>
    </w:p>
    <w:p>
      <w:pPr>
        <w:pStyle w:val="BodyText"/>
        <w:keepNext w:val="0"/>
        <w:widowControl/>
        <w:spacing w:before="0" w:after="120" w:line="259" w:lineRule="auto"/>
      </w:pPr>
      <w:r>
        <w:rPr>
          <w:rFonts w:ascii="Aptos" w:hAnsi="Aptos"/>
          <w:b w:val="0"/>
          <w:i w:val="0"/>
          <w:color w:val="263238"/>
          <w:sz w:val="21"/>
        </w:rPr>
        <w:t>Use the incident SitRep actions to generate a draft or final report according to incident state. Draft output can be downloaded while the incident is active. Final output is gated until closure. File names follow SITREP-[office name]-[incident name]-[date].[extension], where the date reflects generation/download time.</w:t>
      </w:r>
    </w:p>
    <w:p>
      <w:pPr>
        <w:pStyle w:val="Heading1"/>
        <w:keepNext/>
        <w:widowControl/>
        <w:spacing w:before="240" w:after="120" w:line="240" w:lineRule="auto"/>
      </w:pPr>
      <w:r>
        <w:rPr>
          <w:rFonts w:ascii="Aptos Display" w:hAnsi="Aptos Display"/>
          <w:b/>
          <w:i w:val="0"/>
          <w:color w:val="000000"/>
          <w:sz w:val="36"/>
        </w:rPr>
        <w:t>19. Drafts, Exports, Logs and Incident Closure</w:t>
      </w:r>
    </w:p>
    <w:p>
      <w:pPr>
        <w:pStyle w:val="ListBullet"/>
        <w:keepNext w:val="0"/>
        <w:widowControl/>
        <w:spacing w:before="0" w:after="60" w:line="259" w:lineRule="auto"/>
      </w:pPr>
      <w:r>
        <w:rPr>
          <w:rFonts w:ascii="Aptos" w:hAnsi="Aptos"/>
          <w:b w:val="0"/>
          <w:i w:val="0"/>
          <w:color w:val="263238"/>
          <w:sz w:val="21"/>
        </w:rPr>
        <w:t>Drafts: continue or delete unfinished admin forms from the Drafts section.</w:t>
      </w:r>
    </w:p>
    <w:p>
      <w:pPr>
        <w:pStyle w:val="ListBullet"/>
        <w:keepNext w:val="0"/>
        <w:widowControl/>
        <w:spacing w:before="0" w:after="60" w:line="259" w:lineRule="auto"/>
      </w:pPr>
      <w:r>
        <w:rPr>
          <w:rFonts w:ascii="Aptos" w:hAnsi="Aptos"/>
          <w:b w:val="0"/>
          <w:i w:val="0"/>
          <w:color w:val="263238"/>
          <w:sz w:val="21"/>
        </w:rPr>
        <w:t>Exports: use CSV/JSON exports for authorized operational review and backup workflows.</w:t>
      </w:r>
    </w:p>
    <w:p>
      <w:pPr>
        <w:pStyle w:val="ListBullet"/>
        <w:keepNext w:val="0"/>
        <w:widowControl/>
        <w:spacing w:before="0" w:after="60" w:line="259" w:lineRule="auto"/>
      </w:pPr>
      <w:r>
        <w:rPr>
          <w:rFonts w:ascii="Aptos" w:hAnsi="Aptos"/>
          <w:b w:val="0"/>
          <w:i w:val="0"/>
          <w:color w:val="263238"/>
          <w:sz w:val="21"/>
        </w:rPr>
        <w:t>Action Logs: inspect who performed a sensitive operation and when.</w:t>
      </w:r>
    </w:p>
    <w:p>
      <w:pPr>
        <w:pStyle w:val="ListBullet"/>
        <w:keepNext w:val="0"/>
        <w:widowControl/>
        <w:spacing w:before="0" w:after="60" w:line="259" w:lineRule="auto"/>
      </w:pPr>
      <w:r>
        <w:rPr>
          <w:rFonts w:ascii="Aptos" w:hAnsi="Aptos"/>
          <w:b w:val="0"/>
          <w:i w:val="0"/>
          <w:color w:val="263238"/>
          <w:sz w:val="21"/>
        </w:rPr>
        <w:t>Incident closure: confirm that operational work is complete before closing; closed incidents may become read-only for selected modules.</w:t>
      </w:r>
    </w:p>
    <w:p>
      <w:pPr>
        <w:pStyle w:val="ListBullet"/>
        <w:keepNext w:val="0"/>
        <w:widowControl/>
        <w:spacing w:before="0" w:after="60" w:line="259" w:lineRule="auto"/>
      </w:pPr>
      <w:r>
        <w:rPr>
          <w:rFonts w:ascii="Aptos" w:hAnsi="Aptos"/>
          <w:b w:val="0"/>
          <w:i w:val="0"/>
          <w:color w:val="263238"/>
          <w:sz w:val="21"/>
        </w:rPr>
        <w:t>Reopen requests: use the explicit request and approval workflow rather than attempting to edit a closed incident directly.</w:t>
      </w:r>
    </w:p>
    <w:p>
      <w:pPr>
        <w:pStyle w:val="Heading1"/>
        <w:keepNext/>
        <w:widowControl/>
        <w:spacing w:before="240" w:after="120" w:line="240" w:lineRule="auto"/>
      </w:pPr>
      <w:r>
        <w:rPr>
          <w:rFonts w:ascii="Aptos Display" w:hAnsi="Aptos Display"/>
          <w:b/>
          <w:i w:val="0"/>
          <w:color w:val="000000"/>
          <w:sz w:val="36"/>
        </w:rPr>
        <w:t>20. User Troubleshooting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Symptom</w:t>
            </w:r>
          </w:p>
        </w:tc>
        <w:tc>
          <w:tcPr>
            <w:tcW w:type="dxa" w:w="3384"/>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Likely cause</w:t>
            </w:r>
          </w:p>
        </w:tc>
        <w:tc>
          <w:tcPr>
            <w:tcW w:type="dxa" w:w="3672"/>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What to do</w:t>
            </w:r>
          </w:p>
        </w:tc>
      </w:tr>
      <w:tr>
        <w:tc>
          <w:tcPr>
            <w:tcW w:type="dxa" w:w="237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Incident not visible on mobile</w:t>
            </w:r>
          </w:p>
        </w:tc>
        <w:tc>
          <w:tcPr>
            <w:tcW w:type="dxa" w:w="338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Incident list has not refreshed or API is unavailable.</w:t>
            </w:r>
          </w:p>
        </w:tc>
        <w:tc>
          <w:tcPr>
            <w:tcW w:type="dxa" w:w="367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Connect online, refresh, and confirm the incident is official and active.</w:t>
            </w:r>
          </w:p>
        </w:tc>
      </w:tr>
      <w:tr>
        <w:tc>
          <w:tcPr>
            <w:tcW w:type="dxa" w:w="237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Record stays pending</w:t>
            </w:r>
          </w:p>
        </w:tc>
        <w:tc>
          <w:tcPr>
            <w:tcW w:type="dxa" w:w="338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No connectivity or API response failure.</w:t>
            </w:r>
          </w:p>
        </w:tc>
        <w:tc>
          <w:tcPr>
            <w:tcW w:type="dxa" w:w="367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Keep the app installed, reconnect, and retry from Records/queue.</w:t>
            </w:r>
          </w:p>
        </w:tc>
      </w:tr>
      <w:tr>
        <w:tc>
          <w:tcPr>
            <w:tcW w:type="dxa" w:w="237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Chart is not visible</w:t>
            </w:r>
          </w:p>
        </w:tc>
        <w:tc>
          <w:tcPr>
            <w:tcW w:type="dxa" w:w="338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The selected chart has no meaningful data.</w:t>
            </w:r>
          </w:p>
        </w:tc>
        <w:tc>
          <w:tcPr>
            <w:tcW w:type="dxa" w:w="367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Confirm filters and record status; the chart appears when data exists.</w:t>
            </w:r>
          </w:p>
        </w:tc>
      </w:tr>
      <w:tr>
        <w:tc>
          <w:tcPr>
            <w:tcW w:type="dxa" w:w="237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Cannot edit closed incident</w:t>
            </w:r>
          </w:p>
        </w:tc>
        <w:tc>
          <w:tcPr>
            <w:tcW w:type="dxa" w:w="338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Closure lock is working.</w:t>
            </w:r>
          </w:p>
        </w:tc>
        <w:tc>
          <w:tcPr>
            <w:tcW w:type="dxa" w:w="367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Submit an authorized reopen request if a correction is required.</w:t>
            </w:r>
          </w:p>
        </w:tc>
      </w:tr>
      <w:tr>
        <w:tc>
          <w:tcPr>
            <w:tcW w:type="dxa" w:w="237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PWA displays old UI</w:t>
            </w:r>
          </w:p>
        </w:tc>
        <w:tc>
          <w:tcPr>
            <w:tcW w:type="dxa" w:w="338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Browser or service worker retained old assets.</w:t>
            </w:r>
          </w:p>
        </w:tc>
        <w:tc>
          <w:tcPr>
            <w:tcW w:type="dxa" w:w="367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Refresh with Ctrl+F5, close/reopen the PWA, and retry before unregistering the worker.</w:t>
            </w:r>
          </w:p>
        </w:tc>
      </w:tr>
      <w:tr>
        <w:tc>
          <w:tcPr>
            <w:tcW w:type="dxa" w:w="237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Attachment cannot open</w:t>
            </w:r>
          </w:p>
        </w:tc>
        <w:tc>
          <w:tcPr>
            <w:tcW w:type="dxa" w:w="338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Signed URL expired, file missing, or network issue.</w:t>
            </w:r>
          </w:p>
        </w:tc>
        <w:tc>
          <w:tcPr>
            <w:tcW w:type="dxa" w:w="367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Refresh the record, confirm connectivity, and retry the attachment.</w:t>
            </w:r>
          </w:p>
        </w:tc>
      </w:tr>
    </w:tbl>
    <w:p>
      <w:pPr>
        <w:spacing w:after="60"/>
      </w:pPr>
    </w:p>
    <w:p>
      <w:r>
        <w:br w:type="page"/>
      </w:r>
    </w:p>
    <w:sectPr w:rsidR="00FC693F" w:rsidRPr="0006063C" w:rsidSect="00034616">
      <w:headerReference w:type="default" r:id="rId9"/>
      <w:footerReference w:type="default" r:id="rId10"/>
      <w:pgSz w:w="12240" w:h="15840"/>
      <w:pgMar w:top="1037" w:right="1123" w:bottom="893"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59" w:lineRule="auto"/>
      <w:jc w:val="center"/>
    </w:pPr>
    <w:r>
      <w:rPr>
        <w:rFonts w:ascii="Aptos" w:hAnsi="Aptos"/>
        <w:b w:val="0"/>
        <w:i w:val="0"/>
        <w:color w:val="455A64"/>
        <w:sz w:val="16"/>
      </w:rPr>
      <w:t xml:space="preserve">MedSORT Project Team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259" w:lineRule="auto"/>
      <w:jc w:val="right"/>
    </w:pPr>
    <w:r>
      <w:rPr>
        <w:rFonts w:ascii="Aptos" w:hAnsi="Aptos"/>
        <w:b/>
        <w:i w:val="0"/>
        <w:color w:val="455A64"/>
        <w:sz w:val="16"/>
      </w:rPr>
      <w:t>MEDSORT | DISASTER CASUALTY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263238"/>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Casualty Management System User Manual</dc:title>
  <dc:subject>Operational procedures for administrators, responders and documenters</dc:subject>
  <dc:creator>MedSORT Project Team</dc:creator>
  <cp:keywords>MedSORT, DCMS, documentation</cp:keywords>
  <dc:description>Operational project documentation</dc:description>
  <cp:lastModifiedBy/>
  <cp:revision>1</cp:revision>
  <dcterms:created xsi:type="dcterms:W3CDTF">2013-12-23T23:15:00Z</dcterms:created>
  <dcterms:modified xsi:type="dcterms:W3CDTF">2013-12-23T23:15:00Z</dcterms:modified>
  <cp:category/>
</cp:coreProperties>
</file>