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080"/>
      </w:tblGrid>
      <w:tr>
        <w:tc>
          <w:tcPr>
            <w:tcW w:type="dxa" w:w="10080"/>
            <w:shd w:fill="12384A"/>
            <w:tcMar>
              <w:top w:w="70" w:type="dxa"/>
              <w:start w:w="100" w:type="dxa"/>
              <w:bottom w:w="70" w:type="dxa"/>
              <w:end w:w="100" w:type="dxa"/>
            </w:tcMar>
          </w:tcPr>
          <w:p>
            <w:r>
              <w:rPr>
                <w:rFonts w:ascii="Aptos" w:hAnsi="Aptos"/>
                <w:b/>
                <w:color w:val="FFFFFF"/>
                <w:sz w:val="20"/>
              </w:rPr>
              <w:t>MEDSORT OPERATIONS</w:t>
            </w:r>
          </w:p>
        </w:tc>
      </w:tr>
    </w:tbl>
    <w:p>
      <w:pPr>
        <w:spacing w:after="400"/>
      </w:pPr>
    </w:p>
    <w:p>
      <w:pPr>
        <w:spacing w:after="160"/>
        <w:jc w:val="left"/>
      </w:pPr>
      <w:r>
        <w:rPr>
          <w:rFonts w:ascii="Aptos" w:hAnsi="Aptos"/>
          <w:b/>
          <w:color w:val="12384A"/>
          <w:sz w:val="60"/>
        </w:rPr>
        <w:t>Maintenance and</w:t>
        <w:br/>
        <w:t>Support Plan</w:t>
      </w:r>
    </w:p>
    <w:p>
      <w:r>
        <w:rPr>
          <w:rFonts w:ascii="Aptos" w:hAnsi="Aptos"/>
          <w:b/>
          <w:color w:val="008C9E"/>
          <w:sz w:val="30"/>
        </w:rPr>
        <w:t>Disaster Casualty Management System</w:t>
      </w:r>
    </w:p>
    <w:p>
      <w:pPr>
        <w:spacing w:after="100" w:line="259" w:lineRule="auto"/>
      </w:pPr>
      <w:r>
        <w:rPr>
          <w:rFonts w:ascii="Aptos" w:hAnsi="Aptos"/>
          <w:i w:val="0"/>
          <w:color w:val="4D6370"/>
          <w:sz w:val="22"/>
        </w:rPr>
        <w:t>Operational guidance for keeping the web dashboard, mobile/PWA application, API services and Supabase data platform reliable, secure and supportable.</w:t>
      </w:r>
    </w:p>
    <w:p>
      <w:pPr>
        <w:spacing w:after="320"/>
      </w:pPr>
    </w:p>
    <w:tbl>
      <w:tblPr>
        <w:tblW w:type="auto" w:w="0"/>
        <w:tblLayout w:type="fixed"/>
        <w:tblLook w:firstColumn="1" w:firstRow="1" w:lastColumn="0" w:lastRow="0" w:noHBand="0" w:noVBand="1" w:val="04A0"/>
      </w:tblPr>
      <w:tblGrid>
        <w:gridCol w:w="5040"/>
        <w:gridCol w:w="5040"/>
      </w:tblGrid>
      <w:tr>
        <w:trPr>
          <w:tblHeader w:val="true"/>
        </w:trP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8"/>
              </w:rPr>
              <w:t>Document control</w:t>
            </w:r>
          </w:p>
        </w:tc>
        <w:tc>
          <w:tcPr>
            <w:tcW w:type="dxa" w:w="69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8"/>
              </w:rPr>
              <w:t>Value</w:t>
            </w:r>
          </w:p>
        </w:tc>
      </w:tr>
      <w:t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8"/>
              </w:rPr>
              <w:t>Document owner</w:t>
            </w:r>
          </w:p>
        </w:tc>
        <w:tc>
          <w:tcPr>
            <w:tcW w:type="dxa" w:w="69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8"/>
              </w:rPr>
              <w:t>medSort System Administration / Engineering</w:t>
            </w:r>
          </w:p>
        </w:tc>
      </w:tr>
      <w:t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8"/>
              </w:rPr>
              <w:t>Version</w:t>
            </w:r>
          </w:p>
        </w:tc>
        <w:tc>
          <w:tcPr>
            <w:tcW w:type="dxa" w:w="69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8"/>
              </w:rPr>
              <w:t>1.0</w:t>
            </w:r>
          </w:p>
        </w:tc>
      </w:tr>
      <w:t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8"/>
              </w:rPr>
              <w:t>Status</w:t>
            </w:r>
          </w:p>
        </w:tc>
        <w:tc>
          <w:tcPr>
            <w:tcW w:type="dxa" w:w="69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8"/>
              </w:rPr>
              <w:t>Operational baseline for review and approval</w:t>
            </w:r>
          </w:p>
        </w:tc>
      </w:tr>
      <w:t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8"/>
              </w:rPr>
              <w:t>Effective date</w:t>
            </w:r>
          </w:p>
        </w:tc>
        <w:tc>
          <w:tcPr>
            <w:tcW w:type="dxa" w:w="69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8"/>
              </w:rPr>
              <w:t>October 20, 2026</w:t>
            </w:r>
          </w:p>
        </w:tc>
      </w:tr>
      <w:t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8"/>
              </w:rPr>
              <w:t>Review cycle</w:t>
            </w:r>
          </w:p>
        </w:tc>
        <w:tc>
          <w:tcPr>
            <w:tcW w:type="dxa" w:w="69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8"/>
              </w:rPr>
              <w:t>At least quarterly and after every major release or incident</w:t>
            </w:r>
          </w:p>
        </w:tc>
      </w:tr>
      <w:t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8"/>
              </w:rPr>
              <w:t>Applies to</w:t>
            </w:r>
          </w:p>
        </w:tc>
        <w:tc>
          <w:tcPr>
            <w:tcW w:type="dxa" w:w="69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8"/>
              </w:rPr>
              <w:t>Web dashboard, mobile/PWA client, Node/Express API, Supabase services and support procedures</w:t>
            </w:r>
          </w:p>
        </w:tc>
      </w:tr>
    </w:tbl>
    <w:p>
      <w:pPr>
        <w:spacing w:after="20"/>
      </w:pPr>
    </w:p>
    <w:tbl>
      <w:tblPr>
        <w:tblW w:type="auto" w:w="0"/>
        <w:tblLook w:firstColumn="1" w:firstRow="1" w:lastColumn="0" w:lastRow="0" w:noHBand="0" w:noVBand="1" w:val="04A0"/>
      </w:tblPr>
      <w:tblGrid>
        <w:gridCol w:w="10080"/>
      </w:tblGrid>
      <w:tr>
        <w:tc>
          <w:tcPr>
            <w:tcW w:type="dxa" w:w="10080"/>
            <w:shd w:fill="FFF6E8"/>
            <w:tcBorders>
              <w:top w:val="single" w:sz="10" w:color="E69A3A"/>
              <w:left w:val="single" w:sz="10" w:color="E69A3A"/>
              <w:bottom w:val="single" w:sz="10" w:color="E69A3A"/>
              <w:right w:val="single" w:sz="10" w:color="E69A3A"/>
            </w:tcBorders>
            <w:tcMar>
              <w:top w:w="110" w:type="dxa"/>
              <w:start w:w="130" w:type="dxa"/>
              <w:bottom w:w="110" w:type="dxa"/>
              <w:end w:w="130" w:type="dxa"/>
            </w:tcMar>
          </w:tcPr>
          <w:p>
            <w:pPr>
              <w:spacing w:after="0"/>
            </w:pPr>
            <w:r>
              <w:rPr>
                <w:rFonts w:ascii="Aptos" w:hAnsi="Aptos"/>
                <w:b/>
                <w:color w:val="E69A3A"/>
                <w:sz w:val="18"/>
              </w:rPr>
              <w:t xml:space="preserve">Operating principle: </w:t>
            </w:r>
            <w:r>
              <w:rPr>
                <w:rFonts w:ascii="Aptos" w:hAnsi="Aptos"/>
                <w:color w:val="243038"/>
                <w:sz w:val="18"/>
              </w:rPr>
              <w:t>Protect data integrity first, restore safe service second, and preserve an auditable record of every operational decision.</w:t>
            </w:r>
          </w:p>
        </w:tc>
      </w:tr>
    </w:tbl>
    <w:p>
      <w:pPr>
        <w:spacing w:after="20"/>
      </w:pPr>
    </w:p>
    <w:p>
      <w:r>
        <w:br w:type="page"/>
      </w:r>
    </w:p>
    <w:p>
      <w:pPr>
        <w:pStyle w:val="Heading1"/>
        <w:keepNext/>
      </w:pPr>
      <w:r>
        <w:rPr>
          <w:rFonts w:ascii="Aptos" w:hAnsi="Aptos"/>
          <w:b/>
          <w:color w:val="12384A"/>
          <w:sz w:val="36"/>
        </w:rPr>
        <w:t>Contents</w:t>
      </w:r>
    </w:p>
    <w:p>
      <w:pPr>
        <w:pStyle w:val="ListNumber"/>
        <w:spacing w:after="40"/>
      </w:pPr>
      <w:r>
        <w:rPr>
          <w:rFonts w:ascii="Aptos" w:hAnsi="Aptos"/>
          <w:color w:val="243038"/>
          <w:sz w:val="18"/>
        </w:rPr>
        <w:t>Purpose and scope</w:t>
      </w:r>
    </w:p>
    <w:p>
      <w:pPr>
        <w:pStyle w:val="ListNumber"/>
        <w:spacing w:after="40"/>
      </w:pPr>
      <w:r>
        <w:rPr>
          <w:rFonts w:ascii="Aptos" w:hAnsi="Aptos"/>
          <w:color w:val="243038"/>
          <w:sz w:val="18"/>
        </w:rPr>
        <w:t>System in scope</w:t>
      </w:r>
    </w:p>
    <w:p>
      <w:pPr>
        <w:pStyle w:val="ListNumber"/>
        <w:spacing w:after="40"/>
      </w:pPr>
      <w:r>
        <w:rPr>
          <w:rFonts w:ascii="Aptos" w:hAnsi="Aptos"/>
          <w:color w:val="243038"/>
          <w:sz w:val="18"/>
        </w:rPr>
        <w:t>Support model and ownership</w:t>
      </w:r>
    </w:p>
    <w:p>
      <w:pPr>
        <w:pStyle w:val="ListNumber"/>
        <w:spacing w:after="40"/>
      </w:pPr>
      <w:r>
        <w:rPr>
          <w:rFonts w:ascii="Aptos" w:hAnsi="Aptos"/>
          <w:color w:val="243038"/>
          <w:sz w:val="18"/>
        </w:rPr>
        <w:t>Service levels and priority handling</w:t>
      </w:r>
    </w:p>
    <w:p>
      <w:pPr>
        <w:pStyle w:val="ListNumber"/>
        <w:spacing w:after="40"/>
      </w:pPr>
      <w:r>
        <w:rPr>
          <w:rFonts w:ascii="Aptos" w:hAnsi="Aptos"/>
          <w:color w:val="243038"/>
          <w:sz w:val="18"/>
        </w:rPr>
        <w:t>Preventive maintenance schedule</w:t>
      </w:r>
    </w:p>
    <w:p>
      <w:pPr>
        <w:pStyle w:val="ListNumber"/>
        <w:spacing w:after="40"/>
      </w:pPr>
      <w:r>
        <w:rPr>
          <w:rFonts w:ascii="Aptos" w:hAnsi="Aptos"/>
          <w:color w:val="243038"/>
          <w:sz w:val="18"/>
        </w:rPr>
        <w:t>Monitoring and health checks</w:t>
      </w:r>
    </w:p>
    <w:p>
      <w:pPr>
        <w:pStyle w:val="ListNumber"/>
        <w:spacing w:after="40"/>
      </w:pPr>
      <w:r>
        <w:rPr>
          <w:rFonts w:ascii="Aptos" w:hAnsi="Aptos"/>
          <w:color w:val="243038"/>
          <w:sz w:val="18"/>
        </w:rPr>
        <w:t>Incident management and escalation</w:t>
      </w:r>
    </w:p>
    <w:p>
      <w:pPr>
        <w:pStyle w:val="ListNumber"/>
        <w:spacing w:after="40"/>
      </w:pPr>
      <w:r>
        <w:rPr>
          <w:rFonts w:ascii="Aptos" w:hAnsi="Aptos"/>
          <w:color w:val="243038"/>
          <w:sz w:val="18"/>
        </w:rPr>
        <w:t>Backup, recovery and continuity</w:t>
      </w:r>
    </w:p>
    <w:p>
      <w:pPr>
        <w:pStyle w:val="ListNumber"/>
        <w:spacing w:after="40"/>
      </w:pPr>
      <w:r>
        <w:rPr>
          <w:rFonts w:ascii="Aptos" w:hAnsi="Aptos"/>
          <w:color w:val="243038"/>
          <w:sz w:val="18"/>
        </w:rPr>
        <w:t>Security and access management</w:t>
      </w:r>
    </w:p>
    <w:p>
      <w:pPr>
        <w:pStyle w:val="ListNumber"/>
        <w:spacing w:after="40"/>
      </w:pPr>
      <w:r>
        <w:rPr>
          <w:rFonts w:ascii="Aptos" w:hAnsi="Aptos"/>
          <w:color w:val="243038"/>
          <w:sz w:val="18"/>
        </w:rPr>
        <w:t>Release and change management</w:t>
      </w:r>
    </w:p>
    <w:p>
      <w:pPr>
        <w:pStyle w:val="ListNumber"/>
        <w:spacing w:after="40"/>
      </w:pPr>
      <w:r>
        <w:rPr>
          <w:rFonts w:ascii="Aptos" w:hAnsi="Aptos"/>
          <w:color w:val="243038"/>
          <w:sz w:val="18"/>
        </w:rPr>
        <w:t>Data quality and records stewardship</w:t>
      </w:r>
    </w:p>
    <w:p>
      <w:pPr>
        <w:pStyle w:val="ListNumber"/>
        <w:spacing w:after="40"/>
      </w:pPr>
      <w:r>
        <w:rPr>
          <w:rFonts w:ascii="Aptos" w:hAnsi="Aptos"/>
          <w:color w:val="243038"/>
          <w:sz w:val="18"/>
        </w:rPr>
        <w:t>Offline queue, synchronization and device support</w:t>
      </w:r>
    </w:p>
    <w:p>
      <w:pPr>
        <w:pStyle w:val="ListNumber"/>
        <w:spacing w:after="40"/>
      </w:pPr>
      <w:r>
        <w:rPr>
          <w:rFonts w:ascii="Aptos" w:hAnsi="Aptos"/>
          <w:color w:val="243038"/>
          <w:sz w:val="18"/>
        </w:rPr>
        <w:t>Documentation, training and knowledge management</w:t>
      </w:r>
    </w:p>
    <w:p>
      <w:pPr>
        <w:pStyle w:val="ListNumber"/>
        <w:spacing w:after="40"/>
      </w:pPr>
      <w:r>
        <w:rPr>
          <w:rFonts w:ascii="Aptos" w:hAnsi="Aptos"/>
          <w:color w:val="243038"/>
          <w:sz w:val="18"/>
        </w:rPr>
        <w:t>Service reporting and continual improvement</w:t>
      </w:r>
    </w:p>
    <w:p>
      <w:pPr>
        <w:pStyle w:val="ListNumber"/>
        <w:spacing w:after="40"/>
      </w:pPr>
      <w:r>
        <w:rPr>
          <w:rFonts w:ascii="Aptos" w:hAnsi="Aptos"/>
          <w:color w:val="243038"/>
          <w:sz w:val="18"/>
        </w:rPr>
        <w:t>Appendices: operational checklists, incident record and contact matrix</w:t>
      </w:r>
    </w:p>
    <w:p>
      <w:r>
        <w:br w:type="page"/>
      </w:r>
    </w:p>
    <w:p>
      <w:pPr>
        <w:pStyle w:val="Heading1"/>
        <w:keepNext/>
      </w:pPr>
      <w:r>
        <w:rPr>
          <w:rFonts w:ascii="Aptos" w:hAnsi="Aptos"/>
          <w:b/>
          <w:color w:val="12384A"/>
          <w:sz w:val="36"/>
        </w:rPr>
        <w:t>1. Purpose and scope</w:t>
      </w:r>
    </w:p>
    <w:p>
      <w:pPr>
        <w:spacing w:after="100" w:line="259" w:lineRule="auto"/>
      </w:pPr>
      <w:r>
        <w:rPr>
          <w:rFonts w:ascii="Aptos" w:hAnsi="Aptos"/>
          <w:i w:val="0"/>
          <w:color w:val="243038"/>
          <w:sz w:val="19"/>
        </w:rPr>
        <w:t>This plan defines the operating controls, maintenance activities and support procedures required to keep medSort available for disaster casualty and incident-management work. It is written for the current implementation and is intended to be adopted, reviewed and refined by the system owner, administrators and engineering support team.</w:t>
      </w:r>
    </w:p>
    <w:p>
      <w:pPr>
        <w:spacing w:after="100" w:line="259" w:lineRule="auto"/>
      </w:pPr>
      <w:r>
        <w:rPr>
          <w:rFonts w:ascii="Aptos" w:hAnsi="Aptos"/>
          <w:i w:val="0"/>
          <w:color w:val="243038"/>
          <w:sz w:val="19"/>
        </w:rPr>
        <w:t>The plan covers preventive maintenance, user support, incident response, release management, security upkeep, backup and recovery, data quality, offline synchronization and operational documentation. It does not replace the approved information-security policy, the Supabase service agreement or local disaster-response procedures.</w:t>
      </w:r>
    </w:p>
    <w:tbl>
      <w:tblPr>
        <w:tblW w:type="auto" w:w="0"/>
        <w:tblLook w:firstColumn="1" w:firstRow="1" w:lastColumn="0" w:lastRow="0" w:noHBand="0" w:noVBand="1" w:val="04A0"/>
      </w:tblPr>
      <w:tblGrid>
        <w:gridCol w:w="10080"/>
      </w:tblGrid>
      <w:tr>
        <w:tc>
          <w:tcPr>
            <w:tcW w:type="dxa" w:w="10080"/>
            <w:shd w:fill="FFF6E8"/>
            <w:tcBorders>
              <w:top w:val="single" w:sz="10" w:color="E69A3A"/>
              <w:left w:val="single" w:sz="10" w:color="E69A3A"/>
              <w:bottom w:val="single" w:sz="10" w:color="E69A3A"/>
              <w:right w:val="single" w:sz="10" w:color="E69A3A"/>
            </w:tcBorders>
            <w:tcMar>
              <w:top w:w="110" w:type="dxa"/>
              <w:start w:w="130" w:type="dxa"/>
              <w:bottom w:w="110" w:type="dxa"/>
              <w:end w:w="130" w:type="dxa"/>
            </w:tcMar>
          </w:tcPr>
          <w:p>
            <w:pPr>
              <w:spacing w:after="0"/>
            </w:pPr>
            <w:r>
              <w:rPr>
                <w:rFonts w:ascii="Aptos" w:hAnsi="Aptos"/>
                <w:b/>
                <w:color w:val="E69A3A"/>
                <w:sz w:val="18"/>
              </w:rPr>
              <w:t xml:space="preserve">Scope boundary: </w:t>
            </w:r>
            <w:r>
              <w:rPr>
                <w:rFonts w:ascii="Aptos" w:hAnsi="Aptos"/>
                <w:color w:val="243038"/>
                <w:sz w:val="18"/>
              </w:rPr>
              <w:t>Service targets in this document are proposed baselines. The system owner should approve the final support hours, response targets, named contacts and recovery objectives before production operation.</w:t>
            </w:r>
          </w:p>
        </w:tc>
      </w:tr>
    </w:tbl>
    <w:p>
      <w:pPr>
        <w:spacing w:after="20"/>
      </w:pPr>
    </w:p>
    <w:p>
      <w:pPr>
        <w:pStyle w:val="Heading1"/>
        <w:keepNext/>
      </w:pPr>
      <w:r>
        <w:rPr>
          <w:rFonts w:ascii="Aptos" w:hAnsi="Aptos"/>
          <w:b/>
          <w:color w:val="12384A"/>
          <w:sz w:val="36"/>
        </w:rPr>
        <w:t>2. System in scope</w:t>
      </w:r>
    </w:p>
    <w:p>
      <w:pPr>
        <w:spacing w:after="100" w:line="259" w:lineRule="auto"/>
      </w:pPr>
      <w:r>
        <w:rPr>
          <w:rFonts w:ascii="Aptos" w:hAnsi="Aptos"/>
          <w:i w:val="0"/>
          <w:color w:val="243038"/>
          <w:sz w:val="19"/>
        </w:rPr>
        <w:t>The support team should treat medSort as one service with several maintained layers. An outage or data issue may cross more than one layer, so triage should begin with the user-visible symptom and then trace the request, identity, data and storage path.</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16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Component</w:t>
            </w:r>
          </w:p>
        </w:tc>
        <w:tc>
          <w:tcPr>
            <w:tcW w:type="dxa" w:w="33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Current implementation</w:t>
            </w:r>
          </w:p>
        </w:tc>
        <w:tc>
          <w:tcPr>
            <w:tcW w:type="dxa" w:w="417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Primary support concerns</w:t>
            </w:r>
          </w:p>
        </w:tc>
      </w:tr>
      <w:tr>
        <w:tc>
          <w:tcPr>
            <w:tcW w:type="dxa" w:w="16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Web dashboard</w:t>
            </w:r>
          </w:p>
        </w:tc>
        <w:tc>
          <w:tcPr>
            <w:tcW w:type="dxa" w:w="33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Static HTML/CSS/JavaScript in website/ for administrators and super administrators.</w:t>
            </w:r>
          </w:p>
        </w:tc>
        <w:tc>
          <w:tcPr>
            <w:tcW w:type="dxa" w:w="417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Browser compatibility, authentication session, role scope, dashboard queries, exports and realtime refresh.</w:t>
            </w:r>
          </w:p>
        </w:tc>
      </w:tr>
      <w:tr>
        <w:tc>
          <w:tcPr>
            <w:tcW w:type="dxa" w:w="16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Mobile/PWA client</w:t>
            </w:r>
          </w:p>
        </w:tc>
        <w:tc>
          <w:tcPr>
            <w:tcW w:type="dxa" w:w="33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Expo React Native application in mobile/ with web export and installed-PWA support.</w:t>
            </w:r>
          </w:p>
        </w:tc>
        <w:tc>
          <w:tcPr>
            <w:tcW w:type="dxa" w:w="417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Device permissions, responsive UI, cached data, offline queue, resynchronization, service worker and app version drift.</w:t>
            </w:r>
          </w:p>
        </w:tc>
      </w:tr>
      <w:tr>
        <w:tc>
          <w:tcPr>
            <w:tcW w:type="dxa" w:w="16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API</w:t>
            </w:r>
          </w:p>
        </w:tc>
        <w:tc>
          <w:tcPr>
            <w:tcW w:type="dxa" w:w="33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Node/Express TypeScript service in api/.</w:t>
            </w:r>
          </w:p>
        </w:tc>
        <w:tc>
          <w:tcPr>
            <w:tcW w:type="dxa" w:w="417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TypeScript build, request validation, bearer-token authentication, role guards, database queries, storage and error handling.</w:t>
            </w:r>
          </w:p>
        </w:tc>
      </w:tr>
      <w:tr>
        <w:tc>
          <w:tcPr>
            <w:tcW w:type="dxa" w:w="16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Supabase services</w:t>
            </w:r>
          </w:p>
        </w:tc>
        <w:tc>
          <w:tcPr>
            <w:tcW w:type="dxa" w:w="33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Auth, PostgreSQL, Storage and Realtime.</w:t>
            </w:r>
          </w:p>
        </w:tc>
        <w:tc>
          <w:tcPr>
            <w:tcW w:type="dxa" w:w="417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Credentials, row-level access, schema changes, storage objects, realtime subscriptions, quotas and provider availability.</w:t>
            </w:r>
          </w:p>
        </w:tc>
      </w:tr>
      <w:tr>
        <w:tc>
          <w:tcPr>
            <w:tcW w:type="dxa" w:w="16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Local mobile persistence</w:t>
            </w:r>
          </w:p>
        </w:tc>
        <w:tc>
          <w:tcPr>
            <w:tcW w:type="dxa" w:w="33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SecureStore for session material, AsyncStorage/SQLite/FileSystem for cached records, drafts and local files.</w:t>
            </w:r>
          </w:p>
        </w:tc>
        <w:tc>
          <w:tcPr>
            <w:tcW w:type="dxa" w:w="417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Device loss, stale data, queue conflicts, storage limits and cleanup after logout.</w:t>
            </w:r>
          </w:p>
        </w:tc>
      </w:tr>
      <w:tr>
        <w:tc>
          <w:tcPr>
            <w:tcW w:type="dxa" w:w="16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Verification and evidence</w:t>
            </w:r>
          </w:p>
        </w:tc>
        <w:tc>
          <w:tcPr>
            <w:tcW w:type="dxa" w:w="33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tools/run-verification.ps1 writes a compact log and JSON summary under output/verification/.</w:t>
            </w:r>
          </w:p>
        </w:tc>
        <w:tc>
          <w:tcPr>
            <w:tcW w:type="dxa" w:w="417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Repeatable health checks, release evidence, retained logs and investigation history.</w:t>
            </w:r>
          </w:p>
        </w:tc>
      </w:tr>
    </w:tbl>
    <w:p>
      <w:pPr>
        <w:spacing w:after="20"/>
      </w:pPr>
    </w:p>
    <w:p>
      <w:pPr>
        <w:pStyle w:val="Heading1"/>
        <w:keepNext/>
      </w:pPr>
      <w:r>
        <w:rPr>
          <w:rFonts w:ascii="Aptos" w:hAnsi="Aptos"/>
          <w:b/>
          <w:color w:val="12384A"/>
          <w:sz w:val="36"/>
        </w:rPr>
        <w:t>3. Support model and ownership</w:t>
      </w:r>
    </w:p>
    <w:p>
      <w:pPr>
        <w:spacing w:after="100" w:line="259" w:lineRule="auto"/>
      </w:pPr>
      <w:r>
        <w:rPr>
          <w:rFonts w:ascii="Aptos" w:hAnsi="Aptos"/>
          <w:i w:val="0"/>
          <w:color w:val="243038"/>
          <w:sz w:val="19"/>
        </w:rPr>
        <w:t>Support is organized into four functional tiers. A ticket may move between tiers without losing its original incident number, evidence or user impact statement.</w:t>
      </w:r>
    </w:p>
    <w:tbl>
      <w:tblPr>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10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Tier</w:t>
            </w:r>
          </w:p>
        </w:tc>
        <w:tc>
          <w:tcPr>
            <w:tcW w:type="dxa" w:w="201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Owner</w:t>
            </w:r>
          </w:p>
        </w:tc>
        <w:tc>
          <w:tcPr>
            <w:tcW w:type="dxa" w:w="381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Responsibilities</w:t>
            </w:r>
          </w:p>
        </w:tc>
        <w:tc>
          <w:tcPr>
            <w:tcW w:type="dxa" w:w="230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Escalate when</w:t>
            </w:r>
          </w:p>
        </w:tc>
      </w:tr>
      <w:tr>
        <w:tc>
          <w:tcPr>
            <w:tcW w:type="dxa" w:w="10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Tier 1</w:t>
            </w:r>
          </w:p>
        </w:tc>
        <w:tc>
          <w:tcPr>
            <w:tcW w:type="dxa" w:w="201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Local administrator / help desk</w:t>
            </w:r>
          </w:p>
        </w:tc>
        <w:tc>
          <w:tcPr>
            <w:tcW w:type="dxa" w:w="381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Receive reports, confirm user and device, capture screenshots, reproduce basic steps, check service banner and record priority.</w:t>
            </w:r>
          </w:p>
        </w:tc>
        <w:tc>
          <w:tcPr>
            <w:tcW w:type="dxa" w:w="230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More than one user is affected, data is at risk, or the basic checklist does not restore service.</w:t>
            </w:r>
          </w:p>
        </w:tc>
      </w:tr>
      <w:tr>
        <w:tc>
          <w:tcPr>
            <w:tcW w:type="dxa" w:w="10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Tier 2</w:t>
            </w:r>
          </w:p>
        </w:tc>
        <w:tc>
          <w:tcPr>
            <w:tcW w:type="dxa" w:w="201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Application support</w:t>
            </w:r>
          </w:p>
        </w:tc>
        <w:tc>
          <w:tcPr>
            <w:tcW w:type="dxa" w:w="381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Inspect roles, API responses, drafts, offline queue state, attachments, browser/device behavior and recent releases.</w:t>
            </w:r>
          </w:p>
        </w:tc>
        <w:tc>
          <w:tcPr>
            <w:tcW w:type="dxa" w:w="230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A code, schema, deployment or security change is required.</w:t>
            </w:r>
          </w:p>
        </w:tc>
      </w:tr>
      <w:tr>
        <w:tc>
          <w:tcPr>
            <w:tcW w:type="dxa" w:w="10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Tier 3</w:t>
            </w:r>
          </w:p>
        </w:tc>
        <w:tc>
          <w:tcPr>
            <w:tcW w:type="dxa" w:w="201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Engineering / database support</w:t>
            </w:r>
          </w:p>
        </w:tc>
        <w:tc>
          <w:tcPr>
            <w:tcW w:type="dxa" w:w="381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Analyze logs, source code, migrations, Supabase policies, performance, synchronization conflicts and recovery procedures.</w:t>
            </w:r>
          </w:p>
        </w:tc>
        <w:tc>
          <w:tcPr>
            <w:tcW w:type="dxa" w:w="230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The issue requires production change, data repair, provider escalation or security response.</w:t>
            </w:r>
          </w:p>
        </w:tc>
      </w:tr>
      <w:tr>
        <w:tc>
          <w:tcPr>
            <w:tcW w:type="dxa" w:w="10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Service owner</w:t>
            </w:r>
          </w:p>
        </w:tc>
        <w:tc>
          <w:tcPr>
            <w:tcW w:type="dxa" w:w="201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System owner / incident lead</w:t>
            </w:r>
          </w:p>
        </w:tc>
        <w:tc>
          <w:tcPr>
            <w:tcW w:type="dxa" w:w="381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Set business priority, approve emergency changes, coordinate responders, communicate status and authorize closure.</w:t>
            </w:r>
          </w:p>
        </w:tc>
        <w:tc>
          <w:tcPr>
            <w:tcW w:type="dxa" w:w="230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The incident affects response operations, confidentiality, integrity or agreed service targets.</w:t>
            </w:r>
          </w:p>
        </w:tc>
      </w:tr>
    </w:tbl>
    <w:p>
      <w:pPr>
        <w:spacing w:after="20"/>
      </w:pPr>
    </w:p>
    <w:p>
      <w:pPr>
        <w:spacing w:after="100" w:line="259" w:lineRule="auto"/>
      </w:pPr>
      <w:r>
        <w:rPr>
          <w:rFonts w:ascii="Aptos" w:hAnsi="Aptos"/>
          <w:i w:val="0"/>
          <w:color w:val="243038"/>
          <w:sz w:val="19"/>
        </w:rPr>
        <w:t>Minimum ticket fields: reporter, organization/unit, date and time, affected account/role, device and browser or app version, incident/casualty reference if applicable, exact steps, expected result, actual result, screenshots or logs, data-safety concern and current business impact.</w:t>
      </w:r>
    </w:p>
    <w:p>
      <w:pPr>
        <w:pStyle w:val="Heading1"/>
        <w:keepNext/>
      </w:pPr>
      <w:r>
        <w:rPr>
          <w:rFonts w:ascii="Aptos" w:hAnsi="Aptos"/>
          <w:b/>
          <w:color w:val="12384A"/>
          <w:sz w:val="36"/>
        </w:rPr>
        <w:t>4. Service levels and priority handling</w:t>
      </w:r>
    </w:p>
    <w:p>
      <w:pPr>
        <w:spacing w:after="100" w:line="259" w:lineRule="auto"/>
      </w:pPr>
      <w:r>
        <w:rPr>
          <w:rFonts w:ascii="Aptos" w:hAnsi="Aptos"/>
          <w:i w:val="0"/>
          <w:color w:val="243038"/>
          <w:sz w:val="19"/>
        </w:rPr>
        <w:t>Priorities are assigned by operational impact, not by the order in which tickets arrive. The service owner may raise a priority when a disaster response, casualty record or security concern is involved.</w:t>
      </w:r>
    </w:p>
    <w:tbl>
      <w:tblPr>
        <w:tblW w:type="auto" w:w="0"/>
        <w:tblLayout w:type="fixed"/>
        <w:tblLook w:firstColumn="1" w:firstRow="1" w:lastColumn="0" w:lastRow="0" w:noHBand="0" w:noVBand="1" w:val="04A0"/>
      </w:tblPr>
      <w:tblGrid>
        <w:gridCol w:w="2016"/>
        <w:gridCol w:w="2016"/>
        <w:gridCol w:w="2016"/>
        <w:gridCol w:w="2016"/>
        <w:gridCol w:w="2016"/>
      </w:tblGrid>
      <w:tr>
        <w:trPr>
          <w:tblHeader w:val="true"/>
        </w:trPr>
        <w:tc>
          <w:tcPr>
            <w:tcW w:type="dxa" w:w="10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Priority</w:t>
            </w:r>
          </w:p>
        </w:tc>
        <w:tc>
          <w:tcPr>
            <w:tcW w:type="dxa" w:w="32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Definition</w:t>
            </w:r>
          </w:p>
        </w:tc>
        <w:tc>
          <w:tcPr>
            <w:tcW w:type="dxa" w:w="151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Initial response target</w:t>
            </w:r>
          </w:p>
        </w:tc>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Update target</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Target workaround or recovery</w:t>
            </w:r>
          </w:p>
        </w:tc>
      </w:tr>
      <w:tr>
        <w:tc>
          <w:tcPr>
            <w:tcW w:type="dxa" w:w="10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P1 Critical</w:t>
            </w:r>
          </w:p>
        </w:tc>
        <w:tc>
          <w:tcPr>
            <w:tcW w:type="dxa" w:w="32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System unavailable for response operations; widespread authentication failure; suspected data loss, exposure or corruption.</w:t>
            </w:r>
          </w:p>
        </w:tc>
        <w:tc>
          <w:tcPr>
            <w:tcW w:type="dxa" w:w="151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15 minutes during support hours; immediate on-call escalation.</w:t>
            </w:r>
          </w:p>
        </w:tc>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Every 30 minutes.</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4 hours, subject to approved recovery procedure.</w:t>
            </w:r>
          </w:p>
        </w:tc>
      </w:tr>
      <w:tr>
        <w:tc>
          <w:tcPr>
            <w:tcW w:type="dxa" w:w="10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P2 High</w:t>
            </w:r>
          </w:p>
        </w:tc>
        <w:tc>
          <w:tcPr>
            <w:tcW w:type="dxa" w:w="32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Major feature unavailable for a unit; synchronization, verification, incident closure or reporting is blocked for multiple users.</w:t>
            </w:r>
          </w:p>
        </w:tc>
        <w:tc>
          <w:tcPr>
            <w:tcW w:type="dxa" w:w="151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1 business hour.</w:t>
            </w:r>
          </w:p>
        </w:tc>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Every 4 hours.</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1 business day or documented workaround.</w:t>
            </w:r>
          </w:p>
        </w:tc>
      </w:tr>
      <w:tr>
        <w:tc>
          <w:tcPr>
            <w:tcW w:type="dxa" w:w="10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P3 Medium</w:t>
            </w:r>
          </w:p>
        </w:tc>
        <w:tc>
          <w:tcPr>
            <w:tcW w:type="dxa" w:w="32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Single-user issue, degraded workflow or non-critical defect with an available workaround.</w:t>
            </w:r>
          </w:p>
        </w:tc>
        <w:tc>
          <w:tcPr>
            <w:tcW w:type="dxa" w:w="151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4 business hours.</w:t>
            </w:r>
          </w:p>
        </w:tc>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Each business day.</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5 business days or next planned release.</w:t>
            </w:r>
          </w:p>
        </w:tc>
      </w:tr>
      <w:tr>
        <w:tc>
          <w:tcPr>
            <w:tcW w:type="dxa" w:w="10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P4 Low</w:t>
            </w:r>
          </w:p>
        </w:tc>
        <w:tc>
          <w:tcPr>
            <w:tcW w:type="dxa" w:w="32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Question, cosmetic issue, documentation request or improvement suggestion.</w:t>
            </w:r>
          </w:p>
        </w:tc>
        <w:tc>
          <w:tcPr>
            <w:tcW w:type="dxa" w:w="151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2 business days.</w:t>
            </w:r>
          </w:p>
        </w:tc>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Weekly or at milestone.</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Planned backlog delivery.</w:t>
            </w:r>
          </w:p>
        </w:tc>
      </w:tr>
    </w:tbl>
    <w:p>
      <w:pPr>
        <w:spacing w:after="20"/>
      </w:pPr>
    </w:p>
    <w:tbl>
      <w:tblPr>
        <w:tblW w:type="auto" w:w="0"/>
        <w:tblLook w:firstColumn="1" w:firstRow="1" w:lastColumn="0" w:lastRow="0" w:noHBand="0" w:noVBand="1" w:val="04A0"/>
      </w:tblPr>
      <w:tblGrid>
        <w:gridCol w:w="10080"/>
      </w:tblGrid>
      <w:tr>
        <w:tc>
          <w:tcPr>
            <w:tcW w:type="dxa" w:w="10080"/>
            <w:shd w:fill="FDEDED"/>
            <w:tcBorders>
              <w:top w:val="single" w:sz="10" w:color="B44343"/>
              <w:left w:val="single" w:sz="10" w:color="B44343"/>
              <w:bottom w:val="single" w:sz="10" w:color="B44343"/>
              <w:right w:val="single" w:sz="10" w:color="B44343"/>
            </w:tcBorders>
            <w:tcMar>
              <w:top w:w="110" w:type="dxa"/>
              <w:start w:w="130" w:type="dxa"/>
              <w:bottom w:w="110" w:type="dxa"/>
              <w:end w:w="130" w:type="dxa"/>
            </w:tcMar>
          </w:tcPr>
          <w:p>
            <w:pPr>
              <w:spacing w:after="0"/>
            </w:pPr>
            <w:r>
              <w:rPr>
                <w:rFonts w:ascii="Aptos" w:hAnsi="Aptos"/>
                <w:b/>
                <w:color w:val="B44343"/>
                <w:sz w:val="18"/>
              </w:rPr>
              <w:t xml:space="preserve">Security rule: </w:t>
            </w:r>
            <w:r>
              <w:rPr>
                <w:rFonts w:ascii="Aptos" w:hAnsi="Aptos"/>
                <w:color w:val="243038"/>
                <w:sz w:val="18"/>
              </w:rPr>
              <w:t>Any suspected credential exposure, unauthorized access, privacy breach or unexpected record visibility is immediately treated as P1 for containment, even if only one account is known to be affected.</w:t>
            </w:r>
          </w:p>
        </w:tc>
      </w:tr>
    </w:tbl>
    <w:p>
      <w:pPr>
        <w:spacing w:after="20"/>
      </w:pPr>
    </w:p>
    <w:p>
      <w:pPr>
        <w:pStyle w:val="Heading1"/>
        <w:keepNext/>
      </w:pPr>
      <w:r>
        <w:rPr>
          <w:rFonts w:ascii="Aptos" w:hAnsi="Aptos"/>
          <w:b/>
          <w:color w:val="12384A"/>
          <w:sz w:val="36"/>
        </w:rPr>
        <w:t>5. Preventive maintenance schedule</w:t>
      </w:r>
    </w:p>
    <w:tbl>
      <w:tblPr>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Cadence</w:t>
            </w:r>
          </w:p>
        </w:tc>
        <w:tc>
          <w:tcPr>
            <w:tcW w:type="dxa" w:w="43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Activities</w:t>
            </w:r>
          </w:p>
        </w:tc>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Evidence / output</w:t>
            </w:r>
          </w:p>
        </w:tc>
        <w:tc>
          <w:tcPr>
            <w:tcW w:type="dxa" w:w="12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Owner</w:t>
            </w:r>
          </w:p>
        </w:tc>
      </w:tr>
      <w:t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Each support day</w:t>
            </w:r>
          </w:p>
        </w:tc>
        <w:tc>
          <w:tcPr>
            <w:tcW w:type="dxa" w:w="43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Review service status, authentication errors, API health, pending alerts, failed uploads and synchronization backlog.</w:t>
            </w:r>
          </w:p>
        </w:tc>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Support checklist and open-ticket review.</w:t>
            </w:r>
          </w:p>
        </w:tc>
        <w:tc>
          <w:tcPr>
            <w:tcW w:type="dxa" w:w="12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Tier 1 / Tier 2</w:t>
            </w:r>
          </w:p>
        </w:tc>
      </w:tr>
      <w:t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Before each release</w:t>
            </w:r>
          </w:p>
        </w:tc>
        <w:tc>
          <w:tcPr>
            <w:tcW w:type="dxa" w:w="43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Run typecheck, production build, analytics tests, triage tests, mobile web export, syntax checks and repository whitespace check.</w:t>
            </w:r>
          </w:p>
        </w:tc>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output/verification/verification-latest.log and .json.</w:t>
            </w:r>
          </w:p>
        </w:tc>
        <w:tc>
          <w:tcPr>
            <w:tcW w:type="dxa" w:w="12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Engineering</w:t>
            </w:r>
          </w:p>
        </w:tc>
      </w:tr>
      <w:t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Weekly</w:t>
            </w:r>
          </w:p>
        </w:tc>
        <w:tc>
          <w:tcPr>
            <w:tcW w:type="dxa" w:w="43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Review failed jobs, large or orphaned storage objects, draft growth, audit log anomalies, inactive accounts and unresolved P2/P3 tickets.</w:t>
            </w:r>
          </w:p>
        </w:tc>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Weekly operations report.</w:t>
            </w:r>
          </w:p>
        </w:tc>
        <w:tc>
          <w:tcPr>
            <w:tcW w:type="dxa" w:w="12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Tier 2 / Service owner</w:t>
            </w:r>
          </w:p>
        </w:tc>
      </w:tr>
      <w:t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Monthly</w:t>
            </w:r>
          </w:p>
        </w:tc>
        <w:tc>
          <w:tcPr>
            <w:tcW w:type="dxa" w:w="43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Review dependency notices, Supabase usage, database indexes and slow requests, access assignments, backup availability and offline conflict cases.</w:t>
            </w:r>
          </w:p>
        </w:tc>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Monthly maintenance record and action list.</w:t>
            </w:r>
          </w:p>
        </w:tc>
        <w:tc>
          <w:tcPr>
            <w:tcW w:type="dxa" w:w="12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Engineering / Database support</w:t>
            </w:r>
          </w:p>
        </w:tc>
      </w:tr>
      <w:t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Quarterly</w:t>
            </w:r>
          </w:p>
        </w:tc>
        <w:tc>
          <w:tcPr>
            <w:tcW w:type="dxa" w:w="43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Test restore procedure, review RPO/RTO assumptions, rotate operational credentials where required, validate disaster contacts, review training and archive evidence.</w:t>
            </w:r>
          </w:p>
        </w:tc>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Quarterly service review.</w:t>
            </w:r>
          </w:p>
        </w:tc>
        <w:tc>
          <w:tcPr>
            <w:tcW w:type="dxa" w:w="12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Service owner / Engineering</w:t>
            </w:r>
          </w:p>
        </w:tc>
      </w:tr>
      <w:t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After major incident</w:t>
            </w:r>
          </w:p>
        </w:tc>
        <w:tc>
          <w:tcPr>
            <w:tcW w:type="dxa" w:w="43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Complete root-cause review, preserve logs, identify corrective actions, update runbooks and communicate lessons learned.</w:t>
            </w:r>
          </w:p>
        </w:tc>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Incident report and tracked actions.</w:t>
            </w:r>
          </w:p>
        </w:tc>
        <w:tc>
          <w:tcPr>
            <w:tcW w:type="dxa" w:w="12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Incident lead</w:t>
            </w:r>
          </w:p>
        </w:tc>
      </w:tr>
    </w:tbl>
    <w:p>
      <w:pPr>
        <w:spacing w:after="20"/>
      </w:pPr>
    </w:p>
    <w:p>
      <w:pPr>
        <w:pStyle w:val="Heading1"/>
        <w:keepNext/>
      </w:pPr>
      <w:r>
        <w:rPr>
          <w:rFonts w:ascii="Aptos" w:hAnsi="Aptos"/>
          <w:b/>
          <w:color w:val="12384A"/>
          <w:sz w:val="36"/>
        </w:rPr>
        <w:t>6. Monitoring and health checks</w:t>
      </w:r>
    </w:p>
    <w:p>
      <w:pPr>
        <w:spacing w:after="100" w:line="259" w:lineRule="auto"/>
      </w:pPr>
      <w:r>
        <w:rPr>
          <w:rFonts w:ascii="Aptos" w:hAnsi="Aptos"/>
          <w:i w:val="0"/>
          <w:color w:val="243038"/>
          <w:sz w:val="19"/>
        </w:rPr>
        <w:t>Monitoring should combine automated checks with a small amount of human verification. A green build does not prove that a user can authenticate, upload evidence or complete an offline resynchronization.</w:t>
      </w:r>
    </w:p>
    <w:p>
      <w:pPr>
        <w:pStyle w:val="Heading2"/>
        <w:keepNext/>
      </w:pPr>
      <w:r>
        <w:rPr>
          <w:rFonts w:ascii="Aptos" w:hAnsi="Aptos"/>
          <w:b/>
          <w:color w:val="12384A"/>
          <w:sz w:val="26"/>
        </w:rPr>
        <w:t>6.1 Repeatable verification command</w:t>
      </w:r>
    </w:p>
    <w:p>
      <w:pPr>
        <w:spacing w:after="100" w:line="259" w:lineRule="auto"/>
      </w:pPr>
      <w:r>
        <w:rPr>
          <w:rFonts w:ascii="Aptos" w:hAnsi="Aptos"/>
          <w:i w:val="0"/>
          <w:color w:val="243038"/>
          <w:sz w:val="19"/>
        </w:rPr>
        <w:t>From the repository root, run the compact verification script before releases and after infrastructure changes:</w:t>
      </w:r>
    </w:p>
    <w:tbl>
      <w:tblPr>
        <w:tblW w:type="auto" w:w="0"/>
        <w:tblLook w:firstColumn="1" w:firstRow="1" w:lastColumn="0" w:lastRow="0" w:noHBand="0" w:noVBand="1" w:val="04A0"/>
      </w:tblPr>
      <w:tblGrid>
        <w:gridCol w:w="10080"/>
      </w:tblGrid>
      <w:tr>
        <w:tc>
          <w:tcPr>
            <w:tcW w:type="dxa" w:w="10080"/>
            <w:shd w:fill="F3F5F6"/>
            <w:tcBorders>
              <w:top w:val="single" w:sz="6" w:color="B8C6CE"/>
              <w:left w:val="single" w:sz="6" w:color="B8C6CE"/>
              <w:bottom w:val="single" w:sz="6" w:color="B8C6CE"/>
              <w:right w:val="single" w:sz="6" w:color="B8C6CE"/>
            </w:tcBorders>
            <w:tcMar>
              <w:top w:w="100" w:type="dxa"/>
              <w:start w:w="130" w:type="dxa"/>
              <w:bottom w:w="100" w:type="dxa"/>
              <w:end w:w="130" w:type="dxa"/>
            </w:tcMar>
          </w:tcPr>
          <w:p>
            <w:pPr>
              <w:spacing w:after="0"/>
            </w:pPr>
            <w:r>
              <w:rPr>
                <w:rFonts w:ascii="Consolas" w:hAnsi="Consolas"/>
                <w:color w:val="243038"/>
                <w:sz w:val="17"/>
              </w:rPr>
              <w:t>cd disaster-casualty-system</w:t>
              <w:br/>
              <w:t>powershell.exe -NoProfile -ExecutionPolicy Bypass -File .\tools\run-verification.ps1</w:t>
            </w:r>
          </w:p>
        </w:tc>
      </w:tr>
    </w:tbl>
    <w:p>
      <w:pPr>
        <w:spacing w:after="20"/>
      </w:pPr>
    </w:p>
    <w:p>
      <w:pPr>
        <w:spacing w:after="100" w:line="259" w:lineRule="auto"/>
      </w:pPr>
      <w:r>
        <w:rPr>
          <w:rFonts w:ascii="Aptos" w:hAnsi="Aptos"/>
          <w:i w:val="0"/>
          <w:color w:val="243038"/>
          <w:sz w:val="19"/>
        </w:rPr>
        <w:t>The script reports each check as a loading/running state followed by a green check mark for PASS or a red failure mark for FAIL. It writes the full log and machine-readable summary to output/verification/. Retain the log with the release or incident record.</w:t>
      </w:r>
    </w:p>
    <w:p>
      <w:pPr>
        <w:pStyle w:val="Heading2"/>
        <w:keepNext/>
      </w:pPr>
      <w:r>
        <w:rPr>
          <w:rFonts w:ascii="Aptos" w:hAnsi="Aptos"/>
          <w:b/>
          <w:color w:val="12384A"/>
          <w:sz w:val="26"/>
        </w:rPr>
        <w:t>6.2 Operational health checks</w:t>
      </w:r>
    </w:p>
    <w:p>
      <w:pPr>
        <w:pStyle w:val="ListBullet"/>
        <w:spacing w:after="40"/>
      </w:pPr>
      <w:r>
        <w:rPr>
          <w:rFonts w:ascii="Aptos" w:hAnsi="Aptos"/>
          <w:color w:val="243038"/>
          <w:sz w:val="18"/>
        </w:rPr>
        <w:t>Authentication: sign in with a permitted test account for each supported role and confirm that restricted navigation remains hidden.</w:t>
      </w:r>
    </w:p>
    <w:p>
      <w:pPr>
        <w:pStyle w:val="ListBullet"/>
        <w:spacing w:after="40"/>
      </w:pPr>
      <w:r>
        <w:rPr>
          <w:rFonts w:ascii="Aptos" w:hAnsi="Aptos"/>
          <w:color w:val="243038"/>
          <w:sz w:val="18"/>
        </w:rPr>
        <w:t>API: confirm the health endpoint or a safe read-only request, check response latency and inspect recent error logs.</w:t>
      </w:r>
    </w:p>
    <w:p>
      <w:pPr>
        <w:pStyle w:val="ListBullet"/>
        <w:spacing w:after="40"/>
      </w:pPr>
      <w:r>
        <w:rPr>
          <w:rFonts w:ascii="Aptos" w:hAnsi="Aptos"/>
          <w:color w:val="243038"/>
          <w:sz w:val="18"/>
        </w:rPr>
        <w:t>Database: verify connectivity, expected migrations, recent write timestamps and absence of unexpected permission errors.</w:t>
      </w:r>
    </w:p>
    <w:p>
      <w:pPr>
        <w:pStyle w:val="ListBullet"/>
        <w:spacing w:after="40"/>
      </w:pPr>
      <w:r>
        <w:rPr>
          <w:rFonts w:ascii="Aptos" w:hAnsi="Aptos"/>
          <w:color w:val="243038"/>
          <w:sz w:val="18"/>
        </w:rPr>
        <w:t>Storage: upload and retrieve a non-sensitive test attachment, then confirm metadata and object cleanup behavior.</w:t>
      </w:r>
    </w:p>
    <w:p>
      <w:pPr>
        <w:pStyle w:val="ListBullet"/>
        <w:spacing w:after="40"/>
      </w:pPr>
      <w:r>
        <w:rPr>
          <w:rFonts w:ascii="Aptos" w:hAnsi="Aptos"/>
          <w:color w:val="243038"/>
          <w:sz w:val="18"/>
        </w:rPr>
        <w:t>Realtime: update a safe test record and confirm the intended dashboard refresh behavior.</w:t>
      </w:r>
    </w:p>
    <w:p>
      <w:pPr>
        <w:pStyle w:val="ListBullet"/>
        <w:spacing w:after="40"/>
      </w:pPr>
      <w:r>
        <w:rPr>
          <w:rFonts w:ascii="Aptos" w:hAnsi="Aptos"/>
          <w:color w:val="243038"/>
          <w:sz w:val="18"/>
        </w:rPr>
        <w:t>Mobile/PWA: open the app, create a draft offline, reconnect, resynchronize and confirm that duplicate records are not created.</w:t>
      </w:r>
    </w:p>
    <w:p>
      <w:pPr>
        <w:pStyle w:val="ListBullet"/>
        <w:spacing w:after="40"/>
      </w:pPr>
      <w:r>
        <w:rPr>
          <w:rFonts w:ascii="Aptos" w:hAnsi="Aptos"/>
          <w:color w:val="243038"/>
          <w:sz w:val="18"/>
        </w:rPr>
        <w:t>Exports and reports: generate one controlled CSV/PDF/SitRep artifact and verify that sensitive data is not written to an uncontrolled location.</w:t>
      </w:r>
    </w:p>
    <w:p>
      <w:pPr>
        <w:pStyle w:val="Heading1"/>
        <w:keepNext/>
      </w:pPr>
      <w:r>
        <w:rPr>
          <w:rFonts w:ascii="Aptos" w:hAnsi="Aptos"/>
          <w:b/>
          <w:color w:val="12384A"/>
          <w:sz w:val="36"/>
        </w:rPr>
        <w:t>7. Incident management and escalation</w:t>
      </w:r>
    </w:p>
    <w:p>
      <w:pPr>
        <w:pStyle w:val="ListNumber"/>
        <w:spacing w:after="40"/>
      </w:pPr>
      <w:r>
        <w:rPr>
          <w:rFonts w:ascii="Aptos" w:hAnsi="Aptos"/>
          <w:color w:val="243038"/>
          <w:sz w:val="18"/>
        </w:rPr>
        <w:t>Acknowledge the report and assign a priority using the impact table.</w:t>
      </w:r>
    </w:p>
    <w:p>
      <w:pPr>
        <w:pStyle w:val="ListNumber"/>
        <w:spacing w:after="40"/>
      </w:pPr>
      <w:r>
        <w:rPr>
          <w:rFonts w:ascii="Aptos" w:hAnsi="Aptos"/>
          <w:color w:val="243038"/>
          <w:sz w:val="18"/>
        </w:rPr>
        <w:t>Protect evidence: record timestamps, account role, device, URL or screen, incident/casualty reference and relevant logs before clearing local data.</w:t>
      </w:r>
    </w:p>
    <w:p>
      <w:pPr>
        <w:pStyle w:val="ListNumber"/>
        <w:spacing w:after="40"/>
      </w:pPr>
      <w:r>
        <w:rPr>
          <w:rFonts w:ascii="Aptos" w:hAnsi="Aptos"/>
          <w:color w:val="243038"/>
          <w:sz w:val="18"/>
        </w:rPr>
        <w:t>Contain the issue. For security concerns, disable or reset the affected account, preserve audit evidence and restrict further access while the incident lead is notified.</w:t>
      </w:r>
    </w:p>
    <w:p>
      <w:pPr>
        <w:pStyle w:val="ListNumber"/>
        <w:spacing w:after="40"/>
      </w:pPr>
      <w:r>
        <w:rPr>
          <w:rFonts w:ascii="Aptos" w:hAnsi="Aptos"/>
          <w:color w:val="243038"/>
          <w:sz w:val="18"/>
        </w:rPr>
        <w:t>Assess scope across web, mobile/PWA, API, database, storage and realtime services. Identify whether the issue is availability, integrity, confidentiality or usability.</w:t>
      </w:r>
    </w:p>
    <w:p>
      <w:pPr>
        <w:pStyle w:val="ListNumber"/>
        <w:spacing w:after="40"/>
      </w:pPr>
      <w:r>
        <w:rPr>
          <w:rFonts w:ascii="Aptos" w:hAnsi="Aptos"/>
          <w:color w:val="243038"/>
          <w:sz w:val="18"/>
        </w:rPr>
        <w:t>Apply the lowest-risk recovery or workaround. Emergency production changes require service-owner approval and a rollback plan.</w:t>
      </w:r>
    </w:p>
    <w:p>
      <w:pPr>
        <w:pStyle w:val="ListNumber"/>
        <w:spacing w:after="40"/>
      </w:pPr>
      <w:r>
        <w:rPr>
          <w:rFonts w:ascii="Aptos" w:hAnsi="Aptos"/>
          <w:color w:val="243038"/>
          <w:sz w:val="18"/>
        </w:rPr>
        <w:t>Communicate status at the target interval, document decisions and confirm recovery with the affected role or operational unit.</w:t>
      </w:r>
    </w:p>
    <w:p>
      <w:pPr>
        <w:pStyle w:val="ListNumber"/>
        <w:spacing w:after="40"/>
      </w:pPr>
      <w:r>
        <w:rPr>
          <w:rFonts w:ascii="Aptos" w:hAnsi="Aptos"/>
          <w:color w:val="243038"/>
          <w:sz w:val="18"/>
        </w:rPr>
        <w:t>Close only after validation, user confirmation where practical, evidence attachment and assignment of any follow-up corrective action.</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208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Failure signal</w:t>
            </w:r>
          </w:p>
        </w:tc>
        <w:tc>
          <w:tcPr>
            <w:tcW w:type="dxa" w:w="446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First checks</w:t>
            </w:r>
          </w:p>
        </w:tc>
        <w:tc>
          <w:tcPr>
            <w:tcW w:type="dxa" w:w="266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Escalation path</w:t>
            </w:r>
          </w:p>
        </w:tc>
      </w:tr>
      <w:tr>
        <w:tc>
          <w:tcPr>
            <w:tcW w:type="dxa" w:w="208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Users cannot sign in</w:t>
            </w:r>
          </w:p>
        </w:tc>
        <w:tc>
          <w:tcPr>
            <w:tcW w:type="dxa" w:w="446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Supabase Auth status, environment variables, token expiry, account status, browser/device time.</w:t>
            </w:r>
          </w:p>
        </w:tc>
        <w:tc>
          <w:tcPr>
            <w:tcW w:type="dxa" w:w="266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Tier 1 to Tier 2; P1 if multiple roles or all users are affected.</w:t>
            </w:r>
          </w:p>
        </w:tc>
      </w:tr>
      <w:tr>
        <w:tc>
          <w:tcPr>
            <w:tcW w:type="dxa" w:w="208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API returns 401/403</w:t>
            </w:r>
          </w:p>
        </w:tc>
        <w:tc>
          <w:tcPr>
            <w:tcW w:type="dxa" w:w="446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Bearer token, role, admin scope, route guard, account activity and recent access-policy changes.</w:t>
            </w:r>
          </w:p>
        </w:tc>
        <w:tc>
          <w:tcPr>
            <w:tcW w:type="dxa" w:w="266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Tier 2 to Engineering; security escalation if access is broader than intended.</w:t>
            </w:r>
          </w:p>
        </w:tc>
      </w:tr>
      <w:tr>
        <w:tc>
          <w:tcPr>
            <w:tcW w:type="dxa" w:w="208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Records save but do not appear</w:t>
            </w:r>
          </w:p>
        </w:tc>
        <w:tc>
          <w:tcPr>
            <w:tcW w:type="dxa" w:w="446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API response, database write, filters, incident scope, realtime subscription and soft-delete state.</w:t>
            </w:r>
          </w:p>
        </w:tc>
        <w:tc>
          <w:tcPr>
            <w:tcW w:type="dxa" w:w="266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Tier 2 to Database support; preserve record IDs.</w:t>
            </w:r>
          </w:p>
        </w:tc>
      </w:tr>
      <w:tr>
        <w:tc>
          <w:tcPr>
            <w:tcW w:type="dxa" w:w="208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Attachment upload fails</w:t>
            </w:r>
          </w:p>
        </w:tc>
        <w:tc>
          <w:tcPr>
            <w:tcW w:type="dxa" w:w="446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File type/size, storage bucket, signed URL, network and local permissions.</w:t>
            </w:r>
          </w:p>
        </w:tc>
        <w:tc>
          <w:tcPr>
            <w:tcW w:type="dxa" w:w="266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Tier 2 to Storage/Engineering; P2 if evidence workflow is blocked.</w:t>
            </w:r>
          </w:p>
        </w:tc>
      </w:tr>
      <w:tr>
        <w:tc>
          <w:tcPr>
            <w:tcW w:type="dxa" w:w="208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Offline records duplicate or remain queued</w:t>
            </w:r>
          </w:p>
        </w:tc>
        <w:tc>
          <w:tcPr>
            <w:tcW w:type="dxa" w:w="446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Queue contents, client version, timestamps, retry response and idempotency/reference IDs.</w:t>
            </w:r>
          </w:p>
        </w:tc>
        <w:tc>
          <w:tcPr>
            <w:tcW w:type="dxa" w:w="266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Tier 2 to Engineering; do not delete the queue before evidence is captured.</w:t>
            </w:r>
          </w:p>
        </w:tc>
      </w:tr>
    </w:tbl>
    <w:p>
      <w:pPr>
        <w:spacing w:after="20"/>
      </w:pPr>
    </w:p>
    <w:p>
      <w:pPr>
        <w:pStyle w:val="Heading1"/>
        <w:keepNext/>
      </w:pPr>
      <w:r>
        <w:rPr>
          <w:rFonts w:ascii="Aptos" w:hAnsi="Aptos"/>
          <w:b/>
          <w:color w:val="12384A"/>
          <w:sz w:val="36"/>
        </w:rPr>
        <w:t>8. Backup, recovery and continuity</w:t>
      </w:r>
    </w:p>
    <w:p>
      <w:pPr>
        <w:spacing w:after="100" w:line="259" w:lineRule="auto"/>
      </w:pPr>
      <w:r>
        <w:rPr>
          <w:rFonts w:ascii="Aptos" w:hAnsi="Aptos"/>
          <w:i w:val="0"/>
          <w:color w:val="243038"/>
          <w:sz w:val="19"/>
        </w:rPr>
        <w:t>Backups must cover relational data, storage objects, configuration references and operational evidence. Export files are not a substitute for a tested database restore.</w:t>
      </w:r>
    </w:p>
    <w:tbl>
      <w:tblPr>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16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Asset</w:t>
            </w:r>
          </w:p>
        </w:tc>
        <w:tc>
          <w:tcPr>
            <w:tcW w:type="dxa" w:w="33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Protection method</w:t>
            </w:r>
          </w:p>
        </w:tc>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Recommended baseline</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Restore validation</w:t>
            </w:r>
          </w:p>
        </w:tc>
      </w:tr>
      <w:tr>
        <w:tc>
          <w:tcPr>
            <w:tcW w:type="dxa" w:w="16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PostgreSQL data</w:t>
            </w:r>
          </w:p>
        </w:tc>
        <w:tc>
          <w:tcPr>
            <w:tcW w:type="dxa" w:w="33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Supabase managed backups plus scheduled administrative export where approved.</w:t>
            </w:r>
          </w:p>
        </w:tc>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Daily availability review; retain according to institutional policy.</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Restore to an isolated project and run read-only integrity checks.</w:t>
            </w:r>
          </w:p>
        </w:tc>
      </w:tr>
      <w:tr>
        <w:tc>
          <w:tcPr>
            <w:tcW w:type="dxa" w:w="16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Storage attachments</w:t>
            </w:r>
          </w:p>
        </w:tc>
        <w:tc>
          <w:tcPr>
            <w:tcW w:type="dxa" w:w="33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Provider backup/versioning where available plus controlled inventory of storage paths.</w:t>
            </w:r>
          </w:p>
        </w:tc>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Review failed or orphaned objects monthly.</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Retrieve representative files and confirm metadata-to-object mapping.</w:t>
            </w:r>
          </w:p>
        </w:tc>
      </w:tr>
      <w:tr>
        <w:tc>
          <w:tcPr>
            <w:tcW w:type="dxa" w:w="16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Configuration</w:t>
            </w:r>
          </w:p>
        </w:tc>
        <w:tc>
          <w:tcPr>
            <w:tcW w:type="dxa" w:w="33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Protected environment-variable inventory and deployment configuration record.</w:t>
            </w:r>
          </w:p>
        </w:tc>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Update after every approved environment change.</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Deploy to a non-production environment using the recorded values.</w:t>
            </w:r>
          </w:p>
        </w:tc>
      </w:tr>
      <w:tr>
        <w:tc>
          <w:tcPr>
            <w:tcW w:type="dxa" w:w="16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Source and migrations</w:t>
            </w:r>
          </w:p>
        </w:tc>
        <w:tc>
          <w:tcPr>
            <w:tcW w:type="dxa" w:w="33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Version-controlled repository and tagged release commits.</w:t>
            </w:r>
          </w:p>
        </w:tc>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Tag every release and emergency patch.</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Build from the tag and run verification before promotion.</w:t>
            </w:r>
          </w:p>
        </w:tc>
      </w:tr>
      <w:tr>
        <w:tc>
          <w:tcPr>
            <w:tcW w:type="dxa" w:w="16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Evidence and logs</w:t>
            </w:r>
          </w:p>
        </w:tc>
        <w:tc>
          <w:tcPr>
            <w:tcW w:type="dxa" w:w="338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Retain verification logs, incident records, audit exports and release notes.</w:t>
            </w:r>
          </w:p>
        </w:tc>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Retain according to records policy; restrict access.</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Open a sample log and confirm timestamp, version and result fields.</w:t>
            </w:r>
          </w:p>
        </w:tc>
      </w:tr>
    </w:tbl>
    <w:p>
      <w:pPr>
        <w:spacing w:after="20"/>
      </w:pPr>
    </w:p>
    <w:tbl>
      <w:tblPr>
        <w:tblW w:type="auto" w:w="0"/>
        <w:tblLook w:firstColumn="1" w:firstRow="1" w:lastColumn="0" w:lastRow="0" w:noHBand="0" w:noVBand="1" w:val="04A0"/>
      </w:tblPr>
      <w:tblGrid>
        <w:gridCol w:w="10080"/>
      </w:tblGrid>
      <w:tr>
        <w:tc>
          <w:tcPr>
            <w:tcW w:type="dxa" w:w="10080"/>
            <w:shd w:fill="FFF6E8"/>
            <w:tcBorders>
              <w:top w:val="single" w:sz="10" w:color="E69A3A"/>
              <w:left w:val="single" w:sz="10" w:color="E69A3A"/>
              <w:bottom w:val="single" w:sz="10" w:color="E69A3A"/>
              <w:right w:val="single" w:sz="10" w:color="E69A3A"/>
            </w:tcBorders>
            <w:tcMar>
              <w:top w:w="110" w:type="dxa"/>
              <w:start w:w="130" w:type="dxa"/>
              <w:bottom w:w="110" w:type="dxa"/>
              <w:end w:w="130" w:type="dxa"/>
            </w:tcMar>
          </w:tcPr>
          <w:p>
            <w:pPr>
              <w:spacing w:after="0"/>
            </w:pPr>
            <w:r>
              <w:rPr>
                <w:rFonts w:ascii="Aptos" w:hAnsi="Aptos"/>
                <w:b/>
                <w:color w:val="E69A3A"/>
                <w:sz w:val="18"/>
              </w:rPr>
              <w:t xml:space="preserve">Recovery baseline: </w:t>
            </w:r>
            <w:r>
              <w:rPr>
                <w:rFonts w:ascii="Aptos" w:hAnsi="Aptos"/>
                <w:color w:val="243038"/>
                <w:sz w:val="18"/>
              </w:rPr>
              <w:t>Proposed starting targets are RPO of 24 hours and RTO of 4 hours for ordinary service recovery. The service owner must approve final targets after confirming Supabase plan limits, connectivity and response requirements.</w:t>
            </w:r>
          </w:p>
        </w:tc>
      </w:tr>
    </w:tbl>
    <w:p>
      <w:pPr>
        <w:spacing w:after="20"/>
      </w:pPr>
    </w:p>
    <w:p>
      <w:pPr>
        <w:pStyle w:val="Heading1"/>
        <w:keepNext/>
      </w:pPr>
      <w:r>
        <w:rPr>
          <w:rFonts w:ascii="Aptos" w:hAnsi="Aptos"/>
          <w:b/>
          <w:color w:val="12384A"/>
          <w:sz w:val="36"/>
        </w:rPr>
        <w:t>9. Security and access management</w:t>
      </w:r>
    </w:p>
    <w:p>
      <w:pPr>
        <w:pStyle w:val="ListBullet"/>
        <w:spacing w:after="40"/>
      </w:pPr>
      <w:r>
        <w:rPr>
          <w:rFonts w:ascii="Aptos" w:hAnsi="Aptos"/>
          <w:color w:val="243038"/>
          <w:sz w:val="18"/>
        </w:rPr>
        <w:t>Use named accounts. Shared administrator credentials are prohibited except for a documented emergency account controlled by the service owner.</w:t>
      </w:r>
    </w:p>
    <w:p>
      <w:pPr>
        <w:pStyle w:val="ListBullet"/>
        <w:spacing w:after="40"/>
      </w:pPr>
      <w:r>
        <w:rPr>
          <w:rFonts w:ascii="Aptos" w:hAnsi="Aptos"/>
          <w:color w:val="243038"/>
          <w:sz w:val="18"/>
        </w:rPr>
        <w:t>Review account role, active status, assigned municipality/barangay and reporting context at least monthly and immediately after staff movement.</w:t>
      </w:r>
    </w:p>
    <w:p>
      <w:pPr>
        <w:pStyle w:val="ListBullet"/>
        <w:spacing w:after="40"/>
      </w:pPr>
      <w:r>
        <w:rPr>
          <w:rFonts w:ascii="Aptos" w:hAnsi="Aptos"/>
          <w:color w:val="243038"/>
          <w:sz w:val="18"/>
        </w:rPr>
        <w:t>Apply least privilege to web administrator, responder, documenter, encoder and viewer roles. Test both allowed and denied actions after role-policy changes.</w:t>
      </w:r>
    </w:p>
    <w:p>
      <w:pPr>
        <w:pStyle w:val="ListBullet"/>
        <w:spacing w:after="40"/>
      </w:pPr>
      <w:r>
        <w:rPr>
          <w:rFonts w:ascii="Aptos" w:hAnsi="Aptos"/>
          <w:color w:val="243038"/>
          <w:sz w:val="18"/>
        </w:rPr>
        <w:t>Keep Supabase keys, API URLs, service-role credentials and deployment secrets out of source control, screenshots and user manuals.</w:t>
      </w:r>
    </w:p>
    <w:p>
      <w:pPr>
        <w:pStyle w:val="ListBullet"/>
        <w:spacing w:after="40"/>
      </w:pPr>
      <w:r>
        <w:rPr>
          <w:rFonts w:ascii="Aptos" w:hAnsi="Aptos"/>
          <w:color w:val="243038"/>
          <w:sz w:val="18"/>
        </w:rPr>
        <w:t>Rotate credentials after suspected exposure, staff departure, environment transfer or emergency access. Record the rotation without recording the secret value.</w:t>
      </w:r>
    </w:p>
    <w:p>
      <w:pPr>
        <w:pStyle w:val="ListBullet"/>
        <w:spacing w:after="40"/>
      </w:pPr>
      <w:r>
        <w:rPr>
          <w:rFonts w:ascii="Aptos" w:hAnsi="Aptos"/>
          <w:color w:val="243038"/>
          <w:sz w:val="18"/>
        </w:rPr>
        <w:t>Treat casualty data and attachments as sensitive. Use approved devices, protected storage and controlled exports; delete local test data after validation.</w:t>
      </w:r>
    </w:p>
    <w:p>
      <w:pPr>
        <w:pStyle w:val="ListBullet"/>
        <w:spacing w:after="40"/>
      </w:pPr>
      <w:r>
        <w:rPr>
          <w:rFonts w:ascii="Aptos" w:hAnsi="Aptos"/>
          <w:color w:val="243038"/>
          <w:sz w:val="18"/>
        </w:rPr>
        <w:t>Review audit/action logs for unusual login, export, delete, match, reopen and permission-change activity.</w:t>
      </w:r>
    </w:p>
    <w:p>
      <w:pPr>
        <w:pStyle w:val="Heading1"/>
        <w:keepNext/>
      </w:pPr>
      <w:r>
        <w:rPr>
          <w:rFonts w:ascii="Aptos" w:hAnsi="Aptos"/>
          <w:b/>
          <w:color w:val="12384A"/>
          <w:sz w:val="36"/>
        </w:rPr>
        <w:t>10. Release and change management</w:t>
      </w:r>
    </w:p>
    <w:p>
      <w:pPr>
        <w:spacing w:after="100" w:line="259" w:lineRule="auto"/>
      </w:pPr>
      <w:r>
        <w:rPr>
          <w:rFonts w:ascii="Aptos" w:hAnsi="Aptos"/>
          <w:i w:val="0"/>
          <w:color w:val="243038"/>
          <w:sz w:val="19"/>
        </w:rPr>
        <w:t>Every release should be traceable to a version, change record, verification evidence and rollback decision. Database changes require special care because a client may be offline or an older app version may remain in use.</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Stage</w:t>
            </w:r>
          </w:p>
        </w:tc>
        <w:tc>
          <w:tcPr>
            <w:tcW w:type="dxa" w:w="52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Required activity</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Approval / evidence</w:t>
            </w:r>
          </w:p>
        </w:tc>
      </w:tr>
      <w:t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Request</w:t>
            </w:r>
          </w:p>
        </w:tc>
        <w:tc>
          <w:tcPr>
            <w:tcW w:type="dxa" w:w="52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Describe the change, reason, affected components, risk, data impact and rollback approach.</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Change record with owner and priority.</w:t>
            </w:r>
          </w:p>
        </w:tc>
      </w:tr>
      <w:t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Prepare</w:t>
            </w:r>
          </w:p>
        </w:tc>
        <w:tc>
          <w:tcPr>
            <w:tcW w:type="dxa" w:w="52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Update source, migration, configuration and documentation in a branch or tagged work item.</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Code review and migration review.</w:t>
            </w:r>
          </w:p>
        </w:tc>
      </w:tr>
      <w:t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Verify</w:t>
            </w:r>
          </w:p>
        </w:tc>
        <w:tc>
          <w:tcPr>
            <w:tcW w:type="dxa" w:w="52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Run tools/run-verification.ps1, targeted tests, access-control checks and manual workflow checks.</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Verification log, screenshots or test output.</w:t>
            </w:r>
          </w:p>
        </w:tc>
      </w:tr>
      <w:t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Deploy</w:t>
            </w:r>
          </w:p>
        </w:tc>
        <w:tc>
          <w:tcPr>
            <w:tcW w:type="dxa" w:w="52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Announce window, back up or snapshot where appropriate, apply migration before dependent client behavior, monitor logs.</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Deployment record and start/end timestamps.</w:t>
            </w:r>
          </w:p>
        </w:tc>
      </w:tr>
      <w:t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Validate</w:t>
            </w:r>
          </w:p>
        </w:tc>
        <w:tc>
          <w:tcPr>
            <w:tcW w:type="dxa" w:w="52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Perform smoke tests for login, read/write, attachments, offline queue and role restrictions.</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Release acceptance checklist.</w:t>
            </w:r>
          </w:p>
        </w:tc>
      </w:tr>
      <w:tr>
        <w:tc>
          <w:tcPr>
            <w:tcW w:type="dxa" w:w="144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Close</w:t>
            </w:r>
          </w:p>
        </w:tc>
        <w:tc>
          <w:tcPr>
            <w:tcW w:type="dxa" w:w="525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Record result, unresolved issues, rollback decision and documentation updates.</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Release note and linked support ticket.</w:t>
            </w:r>
          </w:p>
        </w:tc>
      </w:tr>
    </w:tbl>
    <w:p>
      <w:pPr>
        <w:spacing w:after="20"/>
      </w:pPr>
    </w:p>
    <w:tbl>
      <w:tblPr>
        <w:tblW w:type="auto" w:w="0"/>
        <w:tblLook w:firstColumn="1" w:firstRow="1" w:lastColumn="0" w:lastRow="0" w:noHBand="0" w:noVBand="1" w:val="04A0"/>
      </w:tblPr>
      <w:tblGrid>
        <w:gridCol w:w="10080"/>
      </w:tblGrid>
      <w:tr>
        <w:tc>
          <w:tcPr>
            <w:tcW w:type="dxa" w:w="10080"/>
            <w:shd w:fill="EAF6F7"/>
            <w:tcBorders>
              <w:top w:val="single" w:sz="10" w:color="008C9E"/>
              <w:left w:val="single" w:sz="10" w:color="008C9E"/>
              <w:bottom w:val="single" w:sz="10" w:color="008C9E"/>
              <w:right w:val="single" w:sz="10" w:color="008C9E"/>
            </w:tcBorders>
            <w:tcMar>
              <w:top w:w="110" w:type="dxa"/>
              <w:start w:w="130" w:type="dxa"/>
              <w:bottom w:w="110" w:type="dxa"/>
              <w:end w:w="130" w:type="dxa"/>
            </w:tcMar>
          </w:tcPr>
          <w:p>
            <w:pPr>
              <w:spacing w:after="0"/>
            </w:pPr>
            <w:r>
              <w:rPr>
                <w:rFonts w:ascii="Aptos" w:hAnsi="Aptos"/>
                <w:b/>
                <w:color w:val="008C9E"/>
                <w:sz w:val="18"/>
              </w:rPr>
              <w:t xml:space="preserve">Rollback rule: </w:t>
            </w:r>
            <w:r>
              <w:rPr>
                <w:rFonts w:ascii="Aptos" w:hAnsi="Aptos"/>
                <w:color w:val="243038"/>
                <w:sz w:val="18"/>
              </w:rPr>
              <w:t>Do not roll back a client independently of a database migration unless compatibility has been verified. Prefer additive schema changes, dual-read/dual-write transitions and a documented cleanup step.</w:t>
            </w:r>
          </w:p>
        </w:tc>
      </w:tr>
    </w:tbl>
    <w:p>
      <w:pPr>
        <w:spacing w:after="20"/>
      </w:pPr>
    </w:p>
    <w:p>
      <w:pPr>
        <w:pStyle w:val="Heading1"/>
        <w:keepNext/>
      </w:pPr>
      <w:r>
        <w:rPr>
          <w:rFonts w:ascii="Aptos" w:hAnsi="Aptos"/>
          <w:b/>
          <w:color w:val="12384A"/>
          <w:sz w:val="36"/>
        </w:rPr>
        <w:t>11. Data quality and records stewardship</w:t>
      </w:r>
    </w:p>
    <w:p>
      <w:pPr>
        <w:pStyle w:val="ListBullet"/>
        <w:spacing w:after="40"/>
      </w:pPr>
      <w:r>
        <w:rPr>
          <w:rFonts w:ascii="Aptos" w:hAnsi="Aptos"/>
          <w:color w:val="243038"/>
          <w:sz w:val="18"/>
        </w:rPr>
        <w:t>Use the incident code and casualty case identifier as the primary references in support tickets and exports.</w:t>
      </w:r>
    </w:p>
    <w:p>
      <w:pPr>
        <w:pStyle w:val="ListBullet"/>
        <w:spacing w:after="40"/>
      </w:pPr>
      <w:r>
        <w:rPr>
          <w:rFonts w:ascii="Aptos" w:hAnsi="Aptos"/>
          <w:color w:val="243038"/>
          <w:sz w:val="18"/>
        </w:rPr>
        <w:t>Do not overwrite source records to make a match look cleaner. Use Match Casing and preserve role-specific records and verification history.</w:t>
      </w:r>
    </w:p>
    <w:p>
      <w:pPr>
        <w:pStyle w:val="ListBullet"/>
        <w:spacing w:after="40"/>
      </w:pPr>
      <w:r>
        <w:rPr>
          <w:rFonts w:ascii="Aptos" w:hAnsi="Aptos"/>
          <w:color w:val="243038"/>
          <w:sz w:val="18"/>
        </w:rPr>
        <w:t>Review unidentified, partially identified, rejected and pending records during scheduled verification queues.</w:t>
      </w:r>
    </w:p>
    <w:p>
      <w:pPr>
        <w:pStyle w:val="ListBullet"/>
        <w:spacing w:after="40"/>
      </w:pPr>
      <w:r>
        <w:rPr>
          <w:rFonts w:ascii="Aptos" w:hAnsi="Aptos"/>
          <w:color w:val="243038"/>
          <w:sz w:val="18"/>
        </w:rPr>
        <w:t>Check for duplicate incident codes, repeated casualty links, stale drafts, orphaned attachments and records stuck in an intermediate status.</w:t>
      </w:r>
    </w:p>
    <w:p>
      <w:pPr>
        <w:pStyle w:val="ListBullet"/>
        <w:spacing w:after="40"/>
      </w:pPr>
      <w:r>
        <w:rPr>
          <w:rFonts w:ascii="Aptos" w:hAnsi="Aptos"/>
          <w:color w:val="243038"/>
          <w:sz w:val="18"/>
        </w:rPr>
        <w:t>Treat deleted_at and audit history as retention controls. Physical deletion requires authorization and a recorded reason.</w:t>
      </w:r>
    </w:p>
    <w:p>
      <w:pPr>
        <w:pStyle w:val="ListBullet"/>
        <w:spacing w:after="40"/>
      </w:pPr>
      <w:r>
        <w:rPr>
          <w:rFonts w:ascii="Aptos" w:hAnsi="Aptos"/>
          <w:color w:val="243038"/>
          <w:sz w:val="18"/>
        </w:rPr>
        <w:t>When correcting data, record who approved the correction, what changed, why it changed and which source evidence supports it.</w:t>
      </w:r>
    </w:p>
    <w:p>
      <w:pPr>
        <w:pStyle w:val="Heading1"/>
        <w:keepNext/>
      </w:pPr>
      <w:r>
        <w:rPr>
          <w:rFonts w:ascii="Aptos" w:hAnsi="Aptos"/>
          <w:b/>
          <w:color w:val="12384A"/>
          <w:sz w:val="36"/>
        </w:rPr>
        <w:t>12. Offline queue, synchronization and device support</w:t>
      </w:r>
    </w:p>
    <w:p>
      <w:pPr>
        <w:spacing w:after="100" w:line="259" w:lineRule="auto"/>
      </w:pPr>
      <w:r>
        <w:rPr>
          <w:rFonts w:ascii="Aptos" w:hAnsi="Aptos"/>
          <w:i w:val="0"/>
          <w:color w:val="243038"/>
          <w:sz w:val="19"/>
        </w:rPr>
        <w:t>Offline operation is a core field requirement. Support must assume that a device can hold drafts, queued submissions and local evidence while the network is unavailable.</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180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Situation</w:t>
            </w:r>
          </w:p>
        </w:tc>
        <w:tc>
          <w:tcPr>
            <w:tcW w:type="dxa" w:w="453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Support action</w:t>
            </w:r>
          </w:p>
        </w:tc>
        <w:tc>
          <w:tcPr>
            <w:tcW w:type="dxa" w:w="28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Do not do</w:t>
            </w:r>
          </w:p>
        </w:tc>
      </w:tr>
      <w:tr>
        <w:tc>
          <w:tcPr>
            <w:tcW w:type="dxa" w:w="180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No network</w:t>
            </w:r>
          </w:p>
        </w:tc>
        <w:tc>
          <w:tcPr>
            <w:tcW w:type="dxa" w:w="453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Keep the device powered, confirm the record is saved as a draft or queued item, record local time and wait for approved connectivity.</w:t>
            </w:r>
          </w:p>
        </w:tc>
        <w:tc>
          <w:tcPr>
            <w:tcW w:type="dxa" w:w="28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Do not uninstall the app, clear storage or log out before the queue is captured.</w:t>
            </w:r>
          </w:p>
        </w:tc>
      </w:tr>
      <w:tr>
        <w:tc>
          <w:tcPr>
            <w:tcW w:type="dxa" w:w="180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Queue is retrying</w:t>
            </w:r>
          </w:p>
        </w:tc>
        <w:tc>
          <w:tcPr>
            <w:tcW w:type="dxa" w:w="453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Check network, API availability, authentication and the queue item’s last error. Retry once after the cause is understood.</w:t>
            </w:r>
          </w:p>
        </w:tc>
        <w:tc>
          <w:tcPr>
            <w:tcW w:type="dxa" w:w="28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Do not press submit repeatedly or create a second record to bypass the queue.</w:t>
            </w:r>
          </w:p>
        </w:tc>
      </w:tr>
      <w:tr>
        <w:tc>
          <w:tcPr>
            <w:tcW w:type="dxa" w:w="180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Conflict or duplicate warning</w:t>
            </w:r>
          </w:p>
        </w:tc>
        <w:tc>
          <w:tcPr>
            <w:tcW w:type="dxa" w:w="453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Stop edits, capture IDs and timestamps, compare server and local versions, then escalate to Tier 2.</w:t>
            </w:r>
          </w:p>
        </w:tc>
        <w:tc>
          <w:tcPr>
            <w:tcW w:type="dxa" w:w="28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Do not manually delete either copy without an approved data-repair decision.</w:t>
            </w:r>
          </w:p>
        </w:tc>
      </w:tr>
      <w:tr>
        <w:tc>
          <w:tcPr>
            <w:tcW w:type="dxa" w:w="180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Lost or replaced device</w:t>
            </w:r>
          </w:p>
        </w:tc>
        <w:tc>
          <w:tcPr>
            <w:tcW w:type="dxa" w:w="453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Revoke sessions, reset credentials if needed, document whether local casualty data may have been exposed and issue a managed replacement.</w:t>
            </w:r>
          </w:p>
        </w:tc>
        <w:tc>
          <w:tcPr>
            <w:tcW w:type="dxa" w:w="28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Do not assume logout is possible or that local files were encrypted unless verified.</w:t>
            </w:r>
          </w:p>
        </w:tc>
      </w:tr>
      <w:tr>
        <w:tc>
          <w:tcPr>
            <w:tcW w:type="dxa" w:w="180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App/PWA update</w:t>
            </w:r>
          </w:p>
        </w:tc>
        <w:tc>
          <w:tcPr>
            <w:tcW w:type="dxa" w:w="4536"/>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Confirm the client version, service-worker refresh and migration compatibility before resuming queued submissions.</w:t>
            </w:r>
          </w:p>
        </w:tc>
        <w:tc>
          <w:tcPr>
            <w:tcW w:type="dxa" w:w="288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Do not purge local storage as a routine update step.</w:t>
            </w:r>
          </w:p>
        </w:tc>
      </w:tr>
    </w:tbl>
    <w:p>
      <w:pPr>
        <w:spacing w:after="20"/>
      </w:pPr>
    </w:p>
    <w:p>
      <w:pPr>
        <w:pStyle w:val="Heading1"/>
        <w:keepNext/>
      </w:pPr>
      <w:r>
        <w:rPr>
          <w:rFonts w:ascii="Aptos" w:hAnsi="Aptos"/>
          <w:b/>
          <w:color w:val="12384A"/>
          <w:sz w:val="36"/>
        </w:rPr>
        <w:t>13. Documentation, training and knowledge management</w:t>
      </w:r>
    </w:p>
    <w:p>
      <w:pPr>
        <w:spacing w:after="100" w:line="259" w:lineRule="auto"/>
      </w:pPr>
      <w:r>
        <w:rPr>
          <w:rFonts w:ascii="Aptos" w:hAnsi="Aptos"/>
          <w:i w:val="0"/>
          <w:color w:val="243038"/>
          <w:sz w:val="19"/>
        </w:rPr>
        <w:t>Support quality depends on current documentation. The technical documentation, user manual and training materials should be versioned with releases and reviewed whenever a workflow, role, data field or support procedure changes.</w:t>
      </w:r>
    </w:p>
    <w:p>
      <w:pPr>
        <w:pStyle w:val="ListBullet"/>
        <w:spacing w:after="40"/>
      </w:pPr>
      <w:r>
        <w:rPr>
          <w:rFonts w:ascii="Aptos" w:hAnsi="Aptos"/>
          <w:color w:val="243038"/>
          <w:sz w:val="18"/>
        </w:rPr>
        <w:t>Maintain a system architecture and database schema reference, including migration notes and deletion behavior.</w:t>
      </w:r>
    </w:p>
    <w:p>
      <w:pPr>
        <w:pStyle w:val="ListBullet"/>
        <w:spacing w:after="40"/>
      </w:pPr>
      <w:r>
        <w:rPr>
          <w:rFonts w:ascii="Aptos" w:hAnsi="Aptos"/>
          <w:color w:val="243038"/>
          <w:sz w:val="18"/>
        </w:rPr>
        <w:t>Maintain role-based user procedures for administrators, Field Responders, AMP responders, HCFD users and documenters.</w:t>
      </w:r>
    </w:p>
    <w:p>
      <w:pPr>
        <w:pStyle w:val="ListBullet"/>
        <w:spacing w:after="40"/>
      </w:pPr>
      <w:r>
        <w:rPr>
          <w:rFonts w:ascii="Aptos" w:hAnsi="Aptos"/>
          <w:color w:val="243038"/>
          <w:sz w:val="18"/>
        </w:rPr>
        <w:t>Keep short runbooks for login failure, API outage, storage failure, offline queue recovery, verification backlog, incident closure and emergency account control.</w:t>
      </w:r>
    </w:p>
    <w:p>
      <w:pPr>
        <w:pStyle w:val="ListBullet"/>
        <w:spacing w:after="40"/>
      </w:pPr>
      <w:r>
        <w:rPr>
          <w:rFonts w:ascii="Aptos" w:hAnsi="Aptos"/>
          <w:color w:val="243038"/>
          <w:sz w:val="18"/>
        </w:rPr>
        <w:t>Use sanitized screenshots and synthetic records in training. Never include real casualty data in example materials.</w:t>
      </w:r>
    </w:p>
    <w:p>
      <w:pPr>
        <w:pStyle w:val="ListBullet"/>
        <w:spacing w:after="40"/>
      </w:pPr>
      <w:r>
        <w:rPr>
          <w:rFonts w:ascii="Aptos" w:hAnsi="Aptos"/>
          <w:color w:val="243038"/>
          <w:sz w:val="18"/>
        </w:rPr>
        <w:t>Record recurring questions and resolved incidents in a searchable support knowledge base; link each article to the affected version.</w:t>
      </w:r>
    </w:p>
    <w:p>
      <w:pPr>
        <w:pStyle w:val="ListBullet"/>
        <w:spacing w:after="40"/>
      </w:pPr>
      <w:r>
        <w:rPr>
          <w:rFonts w:ascii="Aptos" w:hAnsi="Aptos"/>
          <w:color w:val="243038"/>
          <w:sz w:val="18"/>
        </w:rPr>
        <w:t>Review onboarding materials at least quarterly and after major UI or role changes.</w:t>
      </w:r>
    </w:p>
    <w:p>
      <w:pPr>
        <w:pStyle w:val="Heading1"/>
        <w:keepNext/>
      </w:pPr>
      <w:r>
        <w:rPr>
          <w:rFonts w:ascii="Aptos" w:hAnsi="Aptos"/>
          <w:b/>
          <w:color w:val="12384A"/>
          <w:sz w:val="36"/>
        </w:rPr>
        <w:t>14. Service reporting and continual improvement</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Metric</w:t>
            </w:r>
          </w:p>
        </w:tc>
        <w:tc>
          <w:tcPr>
            <w:tcW w:type="dxa" w:w="48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Definition</w:t>
            </w:r>
          </w:p>
        </w:tc>
        <w:tc>
          <w:tcPr>
            <w:tcW w:type="dxa" w:w="244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Review use</w:t>
            </w:r>
          </w:p>
        </w:tc>
      </w:tr>
      <w:tr>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Availability</w:t>
            </w:r>
          </w:p>
        </w:tc>
        <w:tc>
          <w:tcPr>
            <w:tcW w:type="dxa" w:w="48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Time the service is usable for supported workflows, excluding approved maintenance.</w:t>
            </w:r>
          </w:p>
        </w:tc>
        <w:tc>
          <w:tcPr>
            <w:tcW w:type="dxa" w:w="244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Identify reliability trend and maintenance-window impact.</w:t>
            </w:r>
          </w:p>
        </w:tc>
      </w:tr>
      <w:tr>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First response time</w:t>
            </w:r>
          </w:p>
        </w:tc>
        <w:tc>
          <w:tcPr>
            <w:tcW w:type="dxa" w:w="48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Time from ticket creation to human acknowledgement.</w:t>
            </w:r>
          </w:p>
        </w:tc>
        <w:tc>
          <w:tcPr>
            <w:tcW w:type="dxa" w:w="244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Check support staffing and priority compliance.</w:t>
            </w:r>
          </w:p>
        </w:tc>
      </w:tr>
      <w:tr>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Time to restore</w:t>
            </w:r>
          </w:p>
        </w:tc>
        <w:tc>
          <w:tcPr>
            <w:tcW w:type="dxa" w:w="48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Time from incident acknowledgement to safe workaround or recovery.</w:t>
            </w:r>
          </w:p>
        </w:tc>
        <w:tc>
          <w:tcPr>
            <w:tcW w:type="dxa" w:w="244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Improve runbooks and escalation paths.</w:t>
            </w:r>
          </w:p>
        </w:tc>
      </w:tr>
      <w:tr>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Verification pass rate</w:t>
            </w:r>
          </w:p>
        </w:tc>
        <w:tc>
          <w:tcPr>
            <w:tcW w:type="dxa" w:w="48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Passed checks divided by total checks in the verification runner.</w:t>
            </w:r>
          </w:p>
        </w:tc>
        <w:tc>
          <w:tcPr>
            <w:tcW w:type="dxa" w:w="244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Gate releases and detect regression.</w:t>
            </w:r>
          </w:p>
        </w:tc>
      </w:tr>
      <w:tr>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Offline queue success</w:t>
            </w:r>
          </w:p>
        </w:tc>
        <w:tc>
          <w:tcPr>
            <w:tcW w:type="dxa" w:w="48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Queued records successfully synchronized without duplicate or manual repair.</w:t>
            </w:r>
          </w:p>
        </w:tc>
        <w:tc>
          <w:tcPr>
            <w:tcW w:type="dxa" w:w="244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Improve field reliability and idempotency.</w:t>
            </w:r>
          </w:p>
        </w:tc>
      </w:tr>
      <w:tr>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Data-quality backlog</w:t>
            </w:r>
          </w:p>
        </w:tc>
        <w:tc>
          <w:tcPr>
            <w:tcW w:type="dxa" w:w="48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Open duplicate, stale, rejected, incomplete or unmatched records requiring action.</w:t>
            </w:r>
          </w:p>
        </w:tc>
        <w:tc>
          <w:tcPr>
            <w:tcW w:type="dxa" w:w="244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Plan review capacity and training.</w:t>
            </w:r>
          </w:p>
        </w:tc>
      </w:tr>
      <w:tr>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Security events</w:t>
            </w:r>
          </w:p>
        </w:tc>
        <w:tc>
          <w:tcPr>
            <w:tcW w:type="dxa" w:w="48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Count and severity of access, privacy, credential and policy incidents.</w:t>
            </w:r>
          </w:p>
        </w:tc>
        <w:tc>
          <w:tcPr>
            <w:tcW w:type="dxa" w:w="2448"/>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Prioritize controls, training and access review.</w:t>
            </w:r>
          </w:p>
        </w:tc>
      </w:tr>
    </w:tbl>
    <w:p>
      <w:pPr>
        <w:spacing w:after="20"/>
      </w:pPr>
    </w:p>
    <w:p>
      <w:pPr>
        <w:spacing w:after="100" w:line="259" w:lineRule="auto"/>
      </w:pPr>
      <w:r>
        <w:rPr>
          <w:rFonts w:ascii="Aptos" w:hAnsi="Aptos"/>
          <w:i w:val="0"/>
          <w:color w:val="243038"/>
          <w:sz w:val="19"/>
        </w:rPr>
        <w:t>The service owner should review these metrics monthly, publish a short action list and carry unresolved risks into the next quarterly review. Improvement work should be prioritized by safety, data integrity, operational impact and recurring support effort.</w:t>
      </w:r>
    </w:p>
    <w:p>
      <w:r>
        <w:br w:type="page"/>
      </w:r>
    </w:p>
    <w:p>
      <w:pPr>
        <w:pStyle w:val="Heading1"/>
        <w:keepNext/>
      </w:pPr>
      <w:r>
        <w:rPr>
          <w:rFonts w:ascii="Aptos" w:hAnsi="Aptos"/>
          <w:b/>
          <w:color w:val="12384A"/>
          <w:sz w:val="36"/>
        </w:rPr>
        <w:t>Appendix A. Operational checklists</w:t>
      </w:r>
    </w:p>
    <w:p>
      <w:pPr>
        <w:pStyle w:val="Heading2"/>
        <w:keepNext/>
      </w:pPr>
      <w:r>
        <w:rPr>
          <w:rFonts w:ascii="Aptos" w:hAnsi="Aptos"/>
          <w:b/>
          <w:color w:val="12384A"/>
          <w:sz w:val="26"/>
        </w:rPr>
        <w:t>A.1 Daily support checklist</w:t>
      </w:r>
    </w:p>
    <w:p>
      <w:pPr>
        <w:pStyle w:val="ListBullet"/>
        <w:spacing w:after="40"/>
      </w:pPr>
      <w:r>
        <w:rPr>
          <w:rFonts w:ascii="Aptos" w:hAnsi="Aptos"/>
          <w:color w:val="243038"/>
          <w:sz w:val="18"/>
        </w:rPr>
        <w:t>Review open P1/P2 tickets and confirm owners and next update times.</w:t>
      </w:r>
    </w:p>
    <w:p>
      <w:pPr>
        <w:pStyle w:val="ListBullet"/>
        <w:spacing w:after="40"/>
      </w:pPr>
      <w:r>
        <w:rPr>
          <w:rFonts w:ascii="Aptos" w:hAnsi="Aptos"/>
          <w:color w:val="243038"/>
          <w:sz w:val="18"/>
        </w:rPr>
        <w:t>Check authentication, API, database, storage and realtime status.</w:t>
      </w:r>
    </w:p>
    <w:p>
      <w:pPr>
        <w:pStyle w:val="ListBullet"/>
        <w:spacing w:after="40"/>
      </w:pPr>
      <w:r>
        <w:rPr>
          <w:rFonts w:ascii="Aptos" w:hAnsi="Aptos"/>
          <w:color w:val="243038"/>
          <w:sz w:val="18"/>
        </w:rPr>
        <w:t>Review failed attachment uploads, stuck offline queues and unusual error spikes.</w:t>
      </w:r>
    </w:p>
    <w:p>
      <w:pPr>
        <w:pStyle w:val="ListBullet"/>
        <w:spacing w:after="40"/>
      </w:pPr>
      <w:r>
        <w:rPr>
          <w:rFonts w:ascii="Aptos" w:hAnsi="Aptos"/>
          <w:color w:val="243038"/>
          <w:sz w:val="18"/>
        </w:rPr>
        <w:t>Confirm that no emergency credentials or sensitive exports are present in support channels.</w:t>
      </w:r>
    </w:p>
    <w:p>
      <w:pPr>
        <w:pStyle w:val="ListBullet"/>
        <w:spacing w:after="40"/>
      </w:pPr>
      <w:r>
        <w:rPr>
          <w:rFonts w:ascii="Aptos" w:hAnsi="Aptos"/>
          <w:color w:val="243038"/>
          <w:sz w:val="18"/>
        </w:rPr>
        <w:t>Record exceptions and escalate any issue that affects response operations.</w:t>
      </w:r>
    </w:p>
    <w:p>
      <w:pPr>
        <w:pStyle w:val="Heading2"/>
        <w:keepNext/>
      </w:pPr>
      <w:r>
        <w:rPr>
          <w:rFonts w:ascii="Aptos" w:hAnsi="Aptos"/>
          <w:b/>
          <w:color w:val="12384A"/>
          <w:sz w:val="26"/>
        </w:rPr>
        <w:t>A.2 Release checklist</w:t>
      </w:r>
    </w:p>
    <w:p>
      <w:pPr>
        <w:pStyle w:val="ListBullet"/>
        <w:spacing w:after="40"/>
      </w:pPr>
      <w:r>
        <w:rPr>
          <w:rFonts w:ascii="Aptos" w:hAnsi="Aptos"/>
          <w:color w:val="243038"/>
          <w:sz w:val="18"/>
        </w:rPr>
        <w:t>Change record, scope, risk and rollback plan approved.</w:t>
      </w:r>
    </w:p>
    <w:p>
      <w:pPr>
        <w:pStyle w:val="ListBullet"/>
        <w:spacing w:after="40"/>
      </w:pPr>
      <w:r>
        <w:rPr>
          <w:rFonts w:ascii="Aptos" w:hAnsi="Aptos"/>
          <w:color w:val="243038"/>
          <w:sz w:val="18"/>
        </w:rPr>
        <w:t>Database migration reviewed for backward compatibility and deletion behavior.</w:t>
      </w:r>
    </w:p>
    <w:p>
      <w:pPr>
        <w:pStyle w:val="ListBullet"/>
        <w:spacing w:after="40"/>
      </w:pPr>
      <w:r>
        <w:rPr>
          <w:rFonts w:ascii="Aptos" w:hAnsi="Aptos"/>
          <w:color w:val="243038"/>
          <w:sz w:val="18"/>
        </w:rPr>
        <w:t>Verification runner passes and the log is attached to the release.</w:t>
      </w:r>
    </w:p>
    <w:p>
      <w:pPr>
        <w:pStyle w:val="ListBullet"/>
        <w:spacing w:after="40"/>
      </w:pPr>
      <w:r>
        <w:rPr>
          <w:rFonts w:ascii="Aptos" w:hAnsi="Aptos"/>
          <w:color w:val="243038"/>
          <w:sz w:val="18"/>
        </w:rPr>
        <w:t>Role restrictions, offline queue, attachments, exports and responsive screens manually checked.</w:t>
      </w:r>
    </w:p>
    <w:p>
      <w:pPr>
        <w:pStyle w:val="ListBullet"/>
        <w:spacing w:after="40"/>
      </w:pPr>
      <w:r>
        <w:rPr>
          <w:rFonts w:ascii="Aptos" w:hAnsi="Aptos"/>
          <w:color w:val="243038"/>
          <w:sz w:val="18"/>
        </w:rPr>
        <w:t>Backup or snapshot confirmed where required.</w:t>
      </w:r>
    </w:p>
    <w:p>
      <w:pPr>
        <w:pStyle w:val="ListBullet"/>
        <w:spacing w:after="40"/>
      </w:pPr>
      <w:r>
        <w:rPr>
          <w:rFonts w:ascii="Aptos" w:hAnsi="Aptos"/>
          <w:color w:val="243038"/>
          <w:sz w:val="18"/>
        </w:rPr>
        <w:t>Deployment window communicated; smoke test and post-release monitoring owner assigned.</w:t>
      </w:r>
    </w:p>
    <w:p>
      <w:pPr>
        <w:pStyle w:val="Heading2"/>
        <w:keepNext/>
      </w:pPr>
      <w:r>
        <w:rPr>
          <w:rFonts w:ascii="Aptos" w:hAnsi="Aptos"/>
          <w:b/>
          <w:color w:val="12384A"/>
          <w:sz w:val="26"/>
        </w:rPr>
        <w:t>A.3 Quarterly review checklist</w:t>
      </w:r>
    </w:p>
    <w:p>
      <w:pPr>
        <w:pStyle w:val="ListBullet"/>
        <w:spacing w:after="40"/>
      </w:pPr>
      <w:r>
        <w:rPr>
          <w:rFonts w:ascii="Aptos" w:hAnsi="Aptos"/>
          <w:color w:val="243038"/>
          <w:sz w:val="18"/>
        </w:rPr>
        <w:t>Review account inventory, role assignments, inactive users and emergency access.</w:t>
      </w:r>
    </w:p>
    <w:p>
      <w:pPr>
        <w:pStyle w:val="ListBullet"/>
        <w:spacing w:after="40"/>
      </w:pPr>
      <w:r>
        <w:rPr>
          <w:rFonts w:ascii="Aptos" w:hAnsi="Aptos"/>
          <w:color w:val="243038"/>
          <w:sz w:val="18"/>
        </w:rPr>
        <w:t>Test restore procedure and confirm RPO/RTO assumptions.</w:t>
      </w:r>
    </w:p>
    <w:p>
      <w:pPr>
        <w:pStyle w:val="ListBullet"/>
        <w:spacing w:after="40"/>
      </w:pPr>
      <w:r>
        <w:rPr>
          <w:rFonts w:ascii="Aptos" w:hAnsi="Aptos"/>
          <w:color w:val="243038"/>
          <w:sz w:val="18"/>
        </w:rPr>
        <w:t>Review dependency updates, environment secrets, storage usage and database performance.</w:t>
      </w:r>
    </w:p>
    <w:p>
      <w:pPr>
        <w:pStyle w:val="ListBullet"/>
        <w:spacing w:after="40"/>
      </w:pPr>
      <w:r>
        <w:rPr>
          <w:rFonts w:ascii="Aptos" w:hAnsi="Aptos"/>
          <w:color w:val="243038"/>
          <w:sz w:val="18"/>
        </w:rPr>
        <w:t>Review P1/P2 incidents, recurring P3/P4 issues and corrective-action status.</w:t>
      </w:r>
    </w:p>
    <w:p>
      <w:pPr>
        <w:pStyle w:val="ListBullet"/>
        <w:spacing w:after="40"/>
      </w:pPr>
      <w:r>
        <w:rPr>
          <w:rFonts w:ascii="Aptos" w:hAnsi="Aptos"/>
          <w:color w:val="243038"/>
          <w:sz w:val="18"/>
        </w:rPr>
        <w:t>Validate technical documentation, user manual, training materials and support contacts.</w:t>
      </w:r>
    </w:p>
    <w:p>
      <w:pPr>
        <w:pStyle w:val="Heading1"/>
        <w:keepNext/>
      </w:pPr>
      <w:r>
        <w:rPr>
          <w:rFonts w:ascii="Aptos" w:hAnsi="Aptos"/>
          <w:b/>
          <w:color w:val="12384A"/>
          <w:sz w:val="36"/>
        </w:rPr>
        <w:t>Appendix B. Incident record template</w:t>
      </w:r>
    </w:p>
    <w:tbl>
      <w:tblPr>
        <w:tblW w:type="auto" w:w="0"/>
        <w:tblLayout w:type="fixed"/>
        <w:tblLook w:firstColumn="1" w:firstRow="1" w:lastColumn="0" w:lastRow="0" w:noHBand="0" w:noVBand="1" w:val="04A0"/>
      </w:tblPr>
      <w:tblGrid>
        <w:gridCol w:w="5040"/>
        <w:gridCol w:w="5040"/>
      </w:tblGrid>
      <w:tr>
        <w:trPr>
          <w:tblHeader w:val="true"/>
        </w:trP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Field</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Entry</w:t>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Incident number</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Date/time detected and timezone</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Reporter and contact</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Affected role/unit/device</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Priority and rationale</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Affected component(s)</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Web / Mobile-PWA / API / Auth / Database / Storage / Realtime / Other</w:t>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Incident or casualty reference</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Observed behavior and exact steps</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Data confidentiality/integrity concern</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Containment and workaround</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Evidence attached</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Screenshots / logs / verification output / request IDs</w:t>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Escalated to and time</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Recovery validation</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Root cause and corrective action</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r>
          </w:p>
        </w:tc>
      </w:tr>
      <w:tr>
        <w:tc>
          <w:tcPr>
            <w:tcW w:type="dxa" w:w="302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Closure approval and date</w:t>
            </w:r>
          </w:p>
        </w:tc>
        <w:tc>
          <w:tcPr>
            <w:tcW w:type="dxa" w:w="619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r>
          </w:p>
        </w:tc>
      </w:tr>
    </w:tbl>
    <w:p>
      <w:pPr>
        <w:spacing w:after="20"/>
      </w:pPr>
    </w:p>
    <w:p>
      <w:pPr>
        <w:pStyle w:val="Heading1"/>
        <w:keepNext/>
      </w:pPr>
      <w:r>
        <w:rPr>
          <w:rFonts w:ascii="Aptos" w:hAnsi="Aptos"/>
          <w:b/>
          <w:color w:val="12384A"/>
          <w:sz w:val="36"/>
        </w:rPr>
        <w:t>Appendix C. Support contact matrix</w:t>
      </w:r>
    </w:p>
    <w:p>
      <w:pPr>
        <w:spacing w:after="100" w:line="259" w:lineRule="auto"/>
      </w:pPr>
      <w:r>
        <w:rPr>
          <w:rFonts w:ascii="Aptos" w:hAnsi="Aptos"/>
          <w:i w:val="0"/>
          <w:color w:val="243038"/>
          <w:sz w:val="19"/>
        </w:rPr>
        <w:t>Complete the named contacts before production adoption. Keep this matrix in the approved operational repository and review it after staff changes.</w:t>
      </w:r>
    </w:p>
    <w:tbl>
      <w:tblPr>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Function</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Primary contact</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Backup</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12384A"/>
          </w:tcPr>
          <w:p>
            <w:pPr>
              <w:spacing w:after="0" w:before="0"/>
            </w:pPr>
            <w:r>
              <w:rPr>
                <w:rFonts w:ascii="Aptos" w:hAnsi="Aptos"/>
                <w:b/>
                <w:color w:val="FFFFFF"/>
                <w:sz w:val="17"/>
              </w:rPr>
              <w:t>Availability / channel</w:t>
            </w:r>
          </w:p>
        </w:tc>
      </w:tr>
      <w:t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Service owner</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Name / role / contact</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Name / role / contact</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Business hours and emergency path</w:t>
            </w:r>
          </w:p>
        </w:tc>
      </w:tr>
      <w:t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Tier 1 administrator</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Name / role / contact</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Name / role / contact</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Support queue / phone</w:t>
            </w:r>
          </w:p>
        </w:tc>
      </w:tr>
      <w:t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Application engineering</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Name / role / contact</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Name / role / contact</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On-call / ticket</w:t>
            </w:r>
          </w:p>
        </w:tc>
      </w:tr>
      <w:t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Database and Supabase support</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Name / role / contact</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Name / role / contact</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Provider console / escalation</w:t>
            </w:r>
          </w:p>
        </w:tc>
      </w:tr>
      <w:t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Security and privacy</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Name / role / contact</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Name / role / contact</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tcPr>
          <w:p>
            <w:pPr>
              <w:spacing w:after="0" w:before="0"/>
            </w:pPr>
            <w:r>
              <w:rPr>
                <w:rFonts w:ascii="Aptos" w:hAnsi="Aptos"/>
                <w:b w:val="0"/>
                <w:color w:val="243038"/>
                <w:sz w:val="17"/>
              </w:rPr>
              <w:t>Incident response channel</w:t>
            </w:r>
          </w:p>
        </w:tc>
      </w:tr>
      <w:tr>
        <w:tc>
          <w:tcPr>
            <w:tcW w:type="dxa" w:w="2232"/>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Disaster-response operations</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Name / role / contact</w:t>
            </w:r>
          </w:p>
        </w:tc>
        <w:tc>
          <w:tcPr>
            <w:tcW w:type="dxa" w:w="2520"/>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Name / role / contact</w:t>
            </w:r>
          </w:p>
        </w:tc>
        <w:tc>
          <w:tcPr>
            <w:tcW w:type="dxa" w:w="1944"/>
            <w:vAlign w:val="center"/>
            <w:tcMar>
              <w:top w:w="80" w:type="dxa"/>
              <w:start w:w="100" w:type="dxa"/>
              <w:bottom w:w="80" w:type="dxa"/>
              <w:end w:w="100" w:type="dxa"/>
            </w:tcMar>
            <w:tcBorders>
              <w:top w:val="single" w:sz="5" w:color="D9E3EA"/>
              <w:left w:val="single" w:sz="5" w:color="D9E3EA"/>
              <w:bottom w:val="single" w:sz="5" w:color="D9E3EA"/>
              <w:right w:val="single" w:sz="5" w:color="D9E3EA"/>
            </w:tcBorders>
            <w:shd w:fill="EEF4F7"/>
          </w:tcPr>
          <w:p>
            <w:pPr>
              <w:spacing w:after="0" w:before="0"/>
            </w:pPr>
            <w:r>
              <w:rPr>
                <w:rFonts w:ascii="Aptos" w:hAnsi="Aptos"/>
                <w:b w:val="0"/>
                <w:color w:val="243038"/>
                <w:sz w:val="17"/>
              </w:rPr>
              <w:t>Command center / escalation</w:t>
            </w:r>
          </w:p>
        </w:tc>
      </w:tr>
    </w:tbl>
    <w:p>
      <w:pPr>
        <w:spacing w:after="20"/>
      </w:pP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D6370"/>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4D6370"/>
        <w:sz w:val="16"/>
      </w:rPr>
      <w:t>medSort | Maintenance and Support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0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384A"/>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2384A"/>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2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medSort Maintenance and Support Plan</dc:title>
  <dc:subject>Operational maintenance, support, recovery and service management</dc:subject>
  <dc:creator>python-docx</dc:creator>
  <cp:keywords>medSort, maintenance, support, operations, incident management, recovery</cp:keywords>
  <dc:description/>
  <cp:lastModifiedBy/>
  <cp:revision>1</cp:revision>
  <dcterms:created xsi:type="dcterms:W3CDTF">2013-12-23T23:15:00Z</dcterms:created>
  <dcterms:modified xsi:type="dcterms:W3CDTF">2013-12-23T23:15:00Z</dcterms:modified>
  <cp:category/>
</cp:coreProperties>
</file>