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vAlign w:val="center"/>
          </w:tcPr>
          <w:p>
            <w:pPr>
              <w:spacing w:after="80"/>
            </w:pPr>
            <w:r>
              <w:rPr>
                <w:rFonts w:ascii="Arial" w:cs="Arial" w:eastAsia="Arial" w:hAnsi="Arial"/>
                <w:b/>
                <w:bCs/>
                <w:color w:val="2B5F8C"/>
                <w:sz w:val="44"/>
                <w:szCs w:val="44"/>
              </w:rPr>
              <w:t xml:space="preserve">Jan Hölter</w:t>
            </w:r>
          </w:p>
          <w:p>
            <w:pPr>
              <w:spacing w:after="120"/>
            </w:pPr>
            <w:r>
              <w:rPr>
                <w:rFonts w:ascii="Arial" w:cs="Arial" w:eastAsia="Arial" w:hAnsi="Arial"/>
                <w:color w:val="666666"/>
                <w:sz w:val="22"/>
                <w:szCs w:val="22"/>
              </w:rPr>
              <w:t xml:space="preserve">Head of Product | Aufbau wirksamer Produktorganisationen mit Fokus auf Klarheit und Entscheidungsfähigkeit</w:t>
            </w:r>
          </w:p>
          <w:p>
            <w:pPr>
              <w:spacing w:after="40"/>
            </w:pPr>
            <w:r>
              <w:rPr>
                <w:rFonts w:ascii="Arial" w:cs="Arial" w:eastAsia="Arial" w:hAnsi="Arial"/>
                <w:color w:val="333333"/>
                <w:sz w:val="20"/>
                <w:szCs w:val="20"/>
              </w:rPr>
              <w:t xml:space="preserve">Köln, Nordrhein-Westfalen</w:t>
            </w:r>
          </w:p>
          <w:p>
            <w:pPr>
              <w:spacing w:after="40"/>
            </w:pPr>
            <w:r>
              <w:rPr>
                <w:rFonts w:ascii="Arial" w:cs="Arial" w:eastAsia="Arial" w:hAnsi="Arial"/>
                <w:color w:val="333333"/>
                <w:sz w:val="20"/>
                <w:szCs w:val="20"/>
              </w:rPr>
              <w:t xml:space="preserve">derjanmu@gmail.com</w:t>
            </w:r>
          </w:p>
          <w:p>
            <w:pPr>
              <w:spacing w:after="40"/>
            </w:pPr>
            <w:r>
              <w:rPr>
                <w:rFonts w:ascii="Arial" w:cs="Arial" w:eastAsia="Arial" w:hAnsi="Arial"/>
                <w:color w:val="333333"/>
                <w:sz w:val="20"/>
                <w:szCs w:val="20"/>
              </w:rPr>
              <w:t xml:space="preserve">+49 173 5448963</w:t>
            </w:r>
          </w:p>
          <w:p>
            <w:hyperlink w:history="1" r:id="rIdbuz5e266-iwz1bcy1qpe-">
              <w:r>
                <w:rPr>
                  <w:rFonts w:ascii="Arial" w:cs="Arial" w:eastAsia="Arial" w:hAnsi="Arial"/>
                  <w:color w:val="2B5F8C"/>
                  <w:sz w:val="20"/>
                  <w:szCs w:val="20"/>
                  <w:u w:val="single"/>
                </w:rPr>
                <w:t xml:space="preserve">LinkedIn Profil</w:t>
              </w:r>
            </w:hyperlink>
          </w:p>
        </w:tc>
        <w:tc>
          <w:tcPr>
            <w:tcW w:type="dxa" w:w="2560"/>
            <w:tcBorders>
              <w:top w:val="none" w:color="FFFFFF" w:sz="0"/>
              <w:left w:val="none" w:color="FFFFFF" w:sz="0"/>
              <w:bottom w:val="none" w:color="FFFFFF" w:sz="0"/>
              <w:right w:val="none" w:color="FFFFFF" w:sz="0"/>
            </w:tcBorders>
            <w:vAlign w:val="top"/>
          </w:tcPr>
          <w:p>
            <w:pPr>
              <w:jc w:val="right"/>
            </w:pPr>
            <w:r>
              <w:drawing>
                <wp:inline distT="0" distB="0" distL="0" distR="0">
                  <wp:extent cx="1143000" cy="1409700"/>
                  <wp:effectExtent t="0" r="0" b="0" l="0"/>
                  <wp:docPr id="1" name="photo" descr="Profilfoto" title="Jan Hö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1409700"/>
                          </a:xfrm>
                          <a:prstGeom prst="rect">
                            <a:avLst/>
                          </a:prstGeom>
                        </pic:spPr>
                      </pic:pic>
                    </a:graphicData>
                  </a:graphic>
                </wp:inline>
              </w:drawing>
            </w:r>
          </w:p>
        </w:tc>
      </w:tr>
    </w:tbl>
    <w:p>
      <w:pPr>
        <w:spacing w:before="200"/>
      </w:pPr>
    </w:p>
    <w:p>
      <w:pPr>
        <w:pBdr>
          <w:bottom w:val="single" w:color="2B5F8C" w:sz="6"/>
        </w:pBdr>
        <w:spacing w:before="300" w:after="100"/>
      </w:pPr>
      <w:r>
        <w:rPr>
          <w:rFonts w:ascii="Arial" w:cs="Arial" w:eastAsia="Arial" w:hAnsi="Arial"/>
          <w:b/>
          <w:bCs/>
          <w:color w:val="2B5F8C"/>
          <w:sz w:val="24"/>
          <w:szCs w:val="24"/>
        </w:rPr>
        <w:t xml:space="preserve">Profil</w:t>
      </w:r>
    </w:p>
    <w:p>
      <w:pPr>
        <w:spacing w:before="100" w:after="100"/>
      </w:pPr>
      <w:r>
        <w:rPr>
          <w:rFonts w:ascii="Arial" w:cs="Arial" w:eastAsia="Arial" w:hAnsi="Arial"/>
          <w:color w:val="333333"/>
          <w:sz w:val="20"/>
          <w:szCs w:val="20"/>
        </w:rPr>
        <w:t xml:space="preserve">Führungspersönlichkeit im Produktkontext mit Schwerpunkt auf dem Aufbau wirksamer Produktorganisationen in technologiegetriebenen Kontexten. Erfahrung an der Schnittstelle von Produkt, Technologie und Business mit Fokus auf Ergebnisverantwortung, Priorisierung und bewusste Entscheidungsfindung unter Unsicherheit. Besonderer Schwerpunkt auf Aufbauarbeit, Klarheit in Rollen und Entscheidungslogiken sowie der Weiterentwicklung von Produktmanagement-Strukturen in wachsenden Organisationen.</w:t>
      </w:r>
    </w:p>
    <w:p>
      <w:pPr>
        <w:pBdr>
          <w:bottom w:val="single" w:color="2B5F8C" w:sz="6"/>
        </w:pBdr>
        <w:spacing w:before="300" w:after="100"/>
      </w:pPr>
      <w:r>
        <w:rPr>
          <w:rFonts w:ascii="Arial" w:cs="Arial" w:eastAsia="Arial" w:hAnsi="Arial"/>
          <w:b/>
          <w:bCs/>
          <w:color w:val="2B5F8C"/>
          <w:sz w:val="24"/>
          <w:szCs w:val="24"/>
        </w:rPr>
        <w:t xml:space="preserve">Kernkompetenzen</w:t>
      </w:r>
    </w:p>
    <w:p>
      <w:pPr>
        <w:pStyle w:val="ListParagraph"/>
        <w:numPr>
          <w:ilvl w:val="0"/>
          <w:numId w:val="2"/>
        </w:numPr>
        <w:spacing w:before="40" w:after="40"/>
      </w:pPr>
      <w:r>
        <w:rPr>
          <w:rFonts w:ascii="Arial" w:cs="Arial" w:eastAsia="Arial" w:hAnsi="Arial"/>
          <w:color w:val="333333"/>
          <w:sz w:val="20"/>
          <w:szCs w:val="20"/>
        </w:rPr>
        <w:t xml:space="preserve">Produktstrategie &amp; Produktorganisation</w:t>
      </w:r>
    </w:p>
    <w:p>
      <w:pPr>
        <w:pStyle w:val="ListParagraph"/>
        <w:numPr>
          <w:ilvl w:val="0"/>
          <w:numId w:val="2"/>
        </w:numPr>
        <w:spacing w:before="40" w:after="40"/>
      </w:pPr>
      <w:r>
        <w:rPr>
          <w:rFonts w:ascii="Arial" w:cs="Arial" w:eastAsia="Arial" w:hAnsi="Arial"/>
          <w:color w:val="333333"/>
          <w:sz w:val="20"/>
          <w:szCs w:val="20"/>
        </w:rPr>
        <w:t xml:space="preserve">Aufbau und Führung von Product Teams</w:t>
      </w:r>
    </w:p>
    <w:p>
      <w:pPr>
        <w:pStyle w:val="ListParagraph"/>
        <w:numPr>
          <w:ilvl w:val="0"/>
          <w:numId w:val="2"/>
        </w:numPr>
        <w:spacing w:before="40" w:after="40"/>
      </w:pPr>
      <w:r>
        <w:rPr>
          <w:rFonts w:ascii="Arial" w:cs="Arial" w:eastAsia="Arial" w:hAnsi="Arial"/>
          <w:color w:val="333333"/>
          <w:sz w:val="20"/>
          <w:szCs w:val="20"/>
        </w:rPr>
        <w:t xml:space="preserve">Ergebnisverantwortung &amp; Priorisierung</w:t>
      </w:r>
    </w:p>
    <w:p>
      <w:pPr>
        <w:pStyle w:val="ListParagraph"/>
        <w:numPr>
          <w:ilvl w:val="0"/>
          <w:numId w:val="2"/>
        </w:numPr>
        <w:spacing w:before="40" w:after="40"/>
      </w:pPr>
      <w:r>
        <w:rPr>
          <w:rFonts w:ascii="Arial" w:cs="Arial" w:eastAsia="Arial" w:hAnsi="Arial"/>
          <w:color w:val="333333"/>
          <w:sz w:val="20"/>
          <w:szCs w:val="20"/>
        </w:rPr>
        <w:t xml:space="preserve">Evidenzbasierte Entscheidungsfindung (qualitativ &amp; quantitativ)</w:t>
      </w:r>
    </w:p>
    <w:p>
      <w:pPr>
        <w:pStyle w:val="ListParagraph"/>
        <w:numPr>
          <w:ilvl w:val="0"/>
          <w:numId w:val="2"/>
        </w:numPr>
        <w:spacing w:before="40" w:after="40"/>
      </w:pPr>
      <w:r>
        <w:rPr>
          <w:rFonts w:ascii="Arial" w:cs="Arial" w:eastAsia="Arial" w:hAnsi="Arial"/>
          <w:color w:val="333333"/>
          <w:sz w:val="20"/>
          <w:szCs w:val="20"/>
        </w:rPr>
        <w:t xml:space="preserve">Stakeholder- &amp; C-Level-Zusammenarbeit</w:t>
      </w:r>
    </w:p>
    <w:p>
      <w:pPr>
        <w:pStyle w:val="ListParagraph"/>
        <w:numPr>
          <w:ilvl w:val="0"/>
          <w:numId w:val="2"/>
        </w:numPr>
        <w:spacing w:before="40" w:after="40"/>
      </w:pPr>
      <w:r>
        <w:rPr>
          <w:rFonts w:ascii="Arial" w:cs="Arial" w:eastAsia="Arial" w:hAnsi="Arial"/>
          <w:color w:val="333333"/>
          <w:sz w:val="20"/>
          <w:szCs w:val="20"/>
        </w:rPr>
        <w:t xml:space="preserve">Organisations- und Rollendesign im Produktkontext</w:t>
      </w:r>
    </w:p>
    <w:p>
      <w:pPr>
        <w:pBdr>
          <w:bottom w:val="single" w:color="2B5F8C" w:sz="6"/>
        </w:pBdr>
        <w:spacing w:before="300" w:after="100"/>
      </w:pPr>
      <w:r>
        <w:rPr>
          <w:rFonts w:ascii="Arial" w:cs="Arial" w:eastAsia="Arial" w:hAnsi="Arial"/>
          <w:b/>
          <w:bCs/>
          <w:color w:val="2B5F8C"/>
          <w:sz w:val="24"/>
          <w:szCs w:val="24"/>
        </w:rPr>
        <w:t xml:space="preserve">Berufserfahrung</w:t>
      </w:r>
    </w:p>
    <w:p>
      <w:pPr>
        <w:spacing w:before="200" w:after="0"/>
      </w:pPr>
      <w:r>
        <w:rPr>
          <w:rFonts w:ascii="Arial" w:cs="Arial" w:eastAsia="Arial" w:hAnsi="Arial"/>
          <w:b/>
          <w:bCs/>
          <w:color w:val="333333"/>
          <w:sz w:val="22"/>
          <w:szCs w:val="22"/>
        </w:rPr>
        <w:t xml:space="preserve">ABS Safety GmbH</w:t>
      </w:r>
      <w:r>
        <w:rPr>
          <w:rFonts w:ascii="Arial" w:cs="Arial" w:eastAsia="Arial" w:hAnsi="Arial"/>
          <w:color w:val="666666"/>
          <w:sz w:val="22"/>
          <w:szCs w:val="22"/>
        </w:rPr>
        <w:t xml:space="preserve"> – Essen</w:t>
      </w:r>
    </w:p>
    <w:p>
      <w:pPr>
        <w:spacing w:before="40" w:after="80"/>
      </w:pPr>
      <w:r>
        <w:rPr>
          <w:rFonts w:ascii="Arial" w:cs="Arial" w:eastAsia="Arial" w:hAnsi="Arial"/>
          <w:b/>
          <w:bCs/>
          <w:color w:val="333333"/>
          <w:sz w:val="20"/>
          <w:szCs w:val="20"/>
        </w:rPr>
        <w:t xml:space="preserve">Head of Digital Products</w:t>
      </w:r>
      <w:r>
        <w:rPr>
          <w:rFonts w:ascii="Arial" w:cs="Arial" w:eastAsia="Arial" w:hAnsi="Arial"/>
          <w:color w:val="666666"/>
          <w:sz w:val="20"/>
          <w:szCs w:val="20"/>
        </w:rPr>
        <w:t xml:space="preserve"> | seit Januar 2021</w:t>
      </w:r>
    </w:p>
    <w:p>
      <w:pPr>
        <w:pStyle w:val="ListParagraph"/>
        <w:numPr>
          <w:ilvl w:val="0"/>
          <w:numId w:val="2"/>
        </w:numPr>
        <w:spacing w:before="40" w:after="40"/>
      </w:pPr>
      <w:r>
        <w:rPr>
          <w:rFonts w:ascii="Arial" w:cs="Arial" w:eastAsia="Arial" w:hAnsi="Arial"/>
          <w:color w:val="333333"/>
          <w:sz w:val="20"/>
          <w:szCs w:val="20"/>
        </w:rPr>
        <w:t xml:space="preserve">Aufbau und Weiterentwicklung einer digitalen Produktorganisation in einem mittelständischen Industrieunternehmen mit starkem Kerngeschäft.</w:t>
      </w:r>
    </w:p>
    <w:p>
      <w:pPr>
        <w:pStyle w:val="ListParagraph"/>
        <w:numPr>
          <w:ilvl w:val="0"/>
          <w:numId w:val="2"/>
        </w:numPr>
        <w:spacing w:before="40" w:after="40"/>
      </w:pPr>
      <w:r>
        <w:rPr>
          <w:rFonts w:ascii="Arial" w:cs="Arial" w:eastAsia="Arial" w:hAnsi="Arial"/>
          <w:color w:val="333333"/>
          <w:sz w:val="20"/>
          <w:szCs w:val="20"/>
        </w:rPr>
        <w:t xml:space="preserve">Verantwortung für die Rahmenbedingungen, unter denen cross-funktionale Teams digitale Produkte entwickeln, die bestehende Geschäftsmodelle ergänzen und weiterentwickeln.</w:t>
      </w:r>
    </w:p>
    <w:p>
      <w:pPr>
        <w:pStyle w:val="ListParagraph"/>
        <w:numPr>
          <w:ilvl w:val="0"/>
          <w:numId w:val="2"/>
        </w:numPr>
        <w:spacing w:before="40" w:after="40"/>
      </w:pPr>
      <w:r>
        <w:rPr>
          <w:rFonts w:ascii="Arial" w:cs="Arial" w:eastAsia="Arial" w:hAnsi="Arial"/>
          <w:color w:val="333333"/>
          <w:sz w:val="20"/>
          <w:szCs w:val="20"/>
        </w:rPr>
        <w:t xml:space="preserve">Etablierung klarer Ergebnisverantwortung, Teamautonomie sowie expliziter Annahmen und Trade-offs in Entscheidungsprozessen.</w:t>
      </w:r>
    </w:p>
    <w:p>
      <w:pPr>
        <w:pStyle w:val="ListParagraph"/>
        <w:numPr>
          <w:ilvl w:val="0"/>
          <w:numId w:val="2"/>
        </w:numPr>
        <w:spacing w:before="40" w:after="40"/>
      </w:pPr>
      <w:r>
        <w:rPr>
          <w:rFonts w:ascii="Arial" w:cs="Arial" w:eastAsia="Arial" w:hAnsi="Arial"/>
          <w:color w:val="333333"/>
          <w:sz w:val="20"/>
          <w:szCs w:val="20"/>
        </w:rPr>
        <w:t xml:space="preserve">Arbeit an der Schnittstelle von Produkt, Technologie und Business mit Fokus auf Struktur, Priorisierung und Wirkung.</w:t>
      </w:r>
    </w:p>
    <w:p>
      <w:pPr>
        <w:pStyle w:val="ListParagraph"/>
        <w:numPr>
          <w:ilvl w:val="0"/>
          <w:numId w:val="2"/>
        </w:numPr>
        <w:spacing w:before="40" w:after="40"/>
      </w:pPr>
      <w:r>
        <w:rPr>
          <w:rFonts w:ascii="Arial" w:cs="Arial" w:eastAsia="Arial" w:hAnsi="Arial"/>
          <w:color w:val="333333"/>
          <w:sz w:val="20"/>
          <w:szCs w:val="20"/>
        </w:rPr>
        <w:t xml:space="preserve">Führung interdisziplinärer Produktteams sowie enge Zusammenarbeit mit Geschäftsführung und zentralen Stakeholdern.</w:t>
      </w:r>
    </w:p>
    <w:p>
      <w:pPr>
        <w:spacing w:before="200" w:after="0"/>
      </w:pPr>
      <w:r>
        <w:rPr>
          <w:rFonts w:ascii="Arial" w:cs="Arial" w:eastAsia="Arial" w:hAnsi="Arial"/>
          <w:b/>
          <w:bCs/>
          <w:color w:val="333333"/>
          <w:sz w:val="22"/>
          <w:szCs w:val="22"/>
        </w:rPr>
        <w:t xml:space="preserve">ABS Safety GmbH</w:t>
      </w:r>
      <w:r>
        <w:rPr>
          <w:rFonts w:ascii="Arial" w:cs="Arial" w:eastAsia="Arial" w:hAnsi="Arial"/>
          <w:color w:val="666666"/>
          <w:sz w:val="22"/>
          <w:szCs w:val="22"/>
        </w:rPr>
        <w:t xml:space="preserve"> – Essen</w:t>
      </w:r>
    </w:p>
    <w:p>
      <w:pPr>
        <w:spacing w:before="40" w:after="80"/>
      </w:pPr>
      <w:r>
        <w:rPr>
          <w:rFonts w:ascii="Arial" w:cs="Arial" w:eastAsia="Arial" w:hAnsi="Arial"/>
          <w:b/>
          <w:bCs/>
          <w:color w:val="333333"/>
          <w:sz w:val="20"/>
          <w:szCs w:val="20"/>
        </w:rPr>
        <w:t xml:space="preserve">Branch Manager Digital Products</w:t>
      </w:r>
      <w:r>
        <w:rPr>
          <w:rFonts w:ascii="Arial" w:cs="Arial" w:eastAsia="Arial" w:hAnsi="Arial"/>
          <w:color w:val="666666"/>
          <w:sz w:val="20"/>
          <w:szCs w:val="20"/>
        </w:rPr>
        <w:t xml:space="preserve"> | Juli 2020 – Januar 2021</w:t>
      </w:r>
    </w:p>
    <w:p>
      <w:pPr>
        <w:pStyle w:val="ListParagraph"/>
        <w:numPr>
          <w:ilvl w:val="0"/>
          <w:numId w:val="2"/>
        </w:numPr>
        <w:spacing w:before="40" w:after="40"/>
      </w:pPr>
      <w:r>
        <w:rPr>
          <w:rFonts w:ascii="Arial" w:cs="Arial" w:eastAsia="Arial" w:hAnsi="Arial"/>
          <w:color w:val="333333"/>
          <w:sz w:val="20"/>
          <w:szCs w:val="20"/>
        </w:rPr>
        <w:t xml:space="preserve">Aufbau und Leitung des Standorts für digitale Produktentwicklung.</w:t>
      </w:r>
    </w:p>
    <w:p>
      <w:pPr>
        <w:pStyle w:val="ListParagraph"/>
        <w:numPr>
          <w:ilvl w:val="0"/>
          <w:numId w:val="2"/>
        </w:numPr>
        <w:spacing w:before="40" w:after="40"/>
      </w:pPr>
      <w:r>
        <w:rPr>
          <w:rFonts w:ascii="Arial" w:cs="Arial" w:eastAsia="Arial" w:hAnsi="Arial"/>
          <w:color w:val="333333"/>
          <w:sz w:val="20"/>
          <w:szCs w:val="20"/>
        </w:rPr>
        <w:t xml:space="preserve">Führung und Koordination mehrerer Produkt- und Entwicklungsteams.</w:t>
      </w:r>
    </w:p>
    <w:p>
      <w:pPr>
        <w:spacing w:before="200" w:after="0"/>
      </w:pPr>
      <w:r>
        <w:rPr>
          <w:rFonts w:ascii="Arial" w:cs="Arial" w:eastAsia="Arial" w:hAnsi="Arial"/>
          <w:b/>
          <w:bCs/>
          <w:color w:val="333333"/>
          <w:sz w:val="22"/>
          <w:szCs w:val="22"/>
        </w:rPr>
        <w:t xml:space="preserve">codecentric AG</w:t>
      </w:r>
      <w:r>
        <w:rPr>
          <w:rFonts w:ascii="Arial" w:cs="Arial" w:eastAsia="Arial" w:hAnsi="Arial"/>
          <w:color w:val="666666"/>
          <w:sz w:val="22"/>
          <w:szCs w:val="22"/>
        </w:rPr>
        <w:t xml:space="preserve"> – Solingen</w:t>
      </w:r>
    </w:p>
    <w:p>
      <w:pPr>
        <w:spacing w:before="40" w:after="80"/>
      </w:pPr>
      <w:r>
        <w:rPr>
          <w:rFonts w:ascii="Arial" w:cs="Arial" w:eastAsia="Arial" w:hAnsi="Arial"/>
          <w:b/>
          <w:bCs/>
          <w:color w:val="333333"/>
          <w:sz w:val="20"/>
          <w:szCs w:val="20"/>
        </w:rPr>
        <w:t xml:space="preserve">Head of Digitization Labs</w:t>
      </w:r>
      <w:r>
        <w:rPr>
          <w:rFonts w:ascii="Arial" w:cs="Arial" w:eastAsia="Arial" w:hAnsi="Arial"/>
          <w:color w:val="666666"/>
          <w:sz w:val="20"/>
          <w:szCs w:val="20"/>
        </w:rPr>
        <w:t xml:space="preserve"> | Mai 2019 – Juni 2020</w:t>
      </w:r>
    </w:p>
    <w:p>
      <w:pPr>
        <w:pStyle w:val="ListParagraph"/>
        <w:numPr>
          <w:ilvl w:val="0"/>
          <w:numId w:val="2"/>
        </w:numPr>
        <w:spacing w:before="40" w:after="40"/>
      </w:pPr>
      <w:r>
        <w:rPr>
          <w:rFonts w:ascii="Arial" w:cs="Arial" w:eastAsia="Arial" w:hAnsi="Arial"/>
          <w:color w:val="333333"/>
          <w:sz w:val="20"/>
          <w:szCs w:val="20"/>
        </w:rPr>
        <w:t xml:space="preserve">Leitung von drei interdisziplinären Teams im Bereich Product Discovery as a Service.</w:t>
      </w:r>
    </w:p>
    <w:p>
      <w:pPr>
        <w:pStyle w:val="ListParagraph"/>
        <w:numPr>
          <w:ilvl w:val="0"/>
          <w:numId w:val="2"/>
        </w:numPr>
        <w:spacing w:before="40" w:after="40"/>
      </w:pPr>
      <w:r>
        <w:rPr>
          <w:rFonts w:ascii="Arial" w:cs="Arial" w:eastAsia="Arial" w:hAnsi="Arial"/>
          <w:color w:val="333333"/>
          <w:sz w:val="20"/>
          <w:szCs w:val="20"/>
        </w:rPr>
        <w:t xml:space="preserve">Konzeption und Durchführung strukturierter Discovery-Formate für Kunden aus unterschiedlichen Branchen.</w:t>
      </w:r>
    </w:p>
    <w:p>
      <w:pPr>
        <w:pStyle w:val="ListParagraph"/>
        <w:numPr>
          <w:ilvl w:val="0"/>
          <w:numId w:val="2"/>
        </w:numPr>
        <w:spacing w:before="40" w:after="40"/>
      </w:pPr>
      <w:r>
        <w:rPr>
          <w:rFonts w:ascii="Arial" w:cs="Arial" w:eastAsia="Arial" w:hAnsi="Arial"/>
          <w:color w:val="333333"/>
          <w:sz w:val="20"/>
          <w:szCs w:val="20"/>
        </w:rPr>
        <w:t xml:space="preserve">Übersetzung komplexer Problemräume in strategische Handlungsoptionen und erste Produktkonzepte.</w:t>
      </w:r>
    </w:p>
    <w:p>
      <w:pPr>
        <w:pStyle w:val="ListParagraph"/>
        <w:numPr>
          <w:ilvl w:val="0"/>
          <w:numId w:val="2"/>
        </w:numPr>
        <w:spacing w:before="40" w:after="40"/>
      </w:pPr>
      <w:r>
        <w:rPr>
          <w:rFonts w:ascii="Arial" w:cs="Arial" w:eastAsia="Arial" w:hAnsi="Arial"/>
          <w:color w:val="333333"/>
          <w:sz w:val="20"/>
          <w:szCs w:val="20"/>
        </w:rPr>
        <w:t xml:space="preserve">Enge Zusammenarbeit mit Kunden auf Management- und C-Level-Ebene.</w:t>
      </w:r>
    </w:p>
    <w:p>
      <w:pPr>
        <w:spacing w:before="200" w:after="0"/>
      </w:pPr>
      <w:r>
        <w:rPr>
          <w:rFonts w:ascii="Arial" w:cs="Arial" w:eastAsia="Arial" w:hAnsi="Arial"/>
          <w:b/>
          <w:bCs/>
          <w:color w:val="333333"/>
          <w:sz w:val="22"/>
          <w:szCs w:val="22"/>
        </w:rPr>
        <w:t xml:space="preserve">the black frame (codecentric AG)</w:t>
      </w:r>
      <w:r>
        <w:rPr>
          <w:rFonts w:ascii="Arial" w:cs="Arial" w:eastAsia="Arial" w:hAnsi="Arial"/>
          <w:color w:val="666666"/>
          <w:sz w:val="22"/>
          <w:szCs w:val="22"/>
        </w:rPr>
        <w:t xml:space="preserve"> – Dortmund</w:t>
      </w:r>
    </w:p>
    <w:p>
      <w:pPr>
        <w:spacing w:before="40" w:after="80"/>
      </w:pPr>
      <w:r>
        <w:rPr>
          <w:rFonts w:ascii="Arial" w:cs="Arial" w:eastAsia="Arial" w:hAnsi="Arial"/>
          <w:b/>
          <w:bCs/>
          <w:color w:val="333333"/>
          <w:sz w:val="20"/>
          <w:szCs w:val="20"/>
        </w:rPr>
        <w:t xml:space="preserve">Innovation Strategist</w:t>
      </w:r>
      <w:r>
        <w:rPr>
          <w:rFonts w:ascii="Arial" w:cs="Arial" w:eastAsia="Arial" w:hAnsi="Arial"/>
          <w:color w:val="666666"/>
          <w:sz w:val="20"/>
          <w:szCs w:val="20"/>
        </w:rPr>
        <w:t xml:space="preserve"> | Juli 2017 – April 2019</w:t>
      </w:r>
    </w:p>
    <w:p>
      <w:pPr>
        <w:pStyle w:val="ListParagraph"/>
        <w:numPr>
          <w:ilvl w:val="0"/>
          <w:numId w:val="2"/>
        </w:numPr>
        <w:spacing w:before="40" w:after="40"/>
      </w:pPr>
      <w:r>
        <w:rPr>
          <w:rFonts w:ascii="Arial" w:cs="Arial" w:eastAsia="Arial" w:hAnsi="Arial"/>
          <w:color w:val="333333"/>
          <w:sz w:val="20"/>
          <w:szCs w:val="20"/>
        </w:rPr>
        <w:t xml:space="preserve">Arbeit an frühen Innovations- und Strategiethemen in einem unternehmensinternen Think Tank.</w:t>
      </w:r>
    </w:p>
    <w:p>
      <w:pPr>
        <w:pStyle w:val="ListParagraph"/>
        <w:numPr>
          <w:ilvl w:val="0"/>
          <w:numId w:val="2"/>
        </w:numPr>
        <w:spacing w:before="40" w:after="40"/>
      </w:pPr>
      <w:r>
        <w:rPr>
          <w:rFonts w:ascii="Arial" w:cs="Arial" w:eastAsia="Arial" w:hAnsi="Arial"/>
          <w:color w:val="333333"/>
          <w:sz w:val="20"/>
          <w:szCs w:val="20"/>
        </w:rPr>
        <w:t xml:space="preserve">Konzeption und Moderation von Workshops zu Trends, Kundenbedürfnissen und Opportunity Spaces.</w:t>
      </w:r>
    </w:p>
    <w:p>
      <w:pPr>
        <w:pStyle w:val="ListParagraph"/>
        <w:numPr>
          <w:ilvl w:val="0"/>
          <w:numId w:val="2"/>
        </w:numPr>
        <w:spacing w:before="40" w:after="40"/>
      </w:pPr>
      <w:r>
        <w:rPr>
          <w:rFonts w:ascii="Arial" w:cs="Arial" w:eastAsia="Arial" w:hAnsi="Arial"/>
          <w:color w:val="333333"/>
          <w:sz w:val="20"/>
          <w:szCs w:val="20"/>
        </w:rPr>
        <w:t xml:space="preserve">Begleitung einer Corporate-Venture-Initiative eines großen deutschen Versicherungsunternehmens.</w:t>
      </w:r>
    </w:p>
    <w:p>
      <w:pPr>
        <w:spacing w:before="200" w:after="0"/>
      </w:pPr>
      <w:r>
        <w:rPr>
          <w:rFonts w:ascii="Arial" w:cs="Arial" w:eastAsia="Arial" w:hAnsi="Arial"/>
          <w:b/>
          <w:bCs/>
          <w:color w:val="333333"/>
          <w:sz w:val="22"/>
          <w:szCs w:val="22"/>
        </w:rPr>
        <w:t xml:space="preserve">codecentric AG</w:t>
      </w:r>
      <w:r>
        <w:rPr>
          <w:rFonts w:ascii="Arial" w:cs="Arial" w:eastAsia="Arial" w:hAnsi="Arial"/>
          <w:color w:val="666666"/>
          <w:sz w:val="22"/>
          <w:szCs w:val="22"/>
        </w:rPr>
        <w:t xml:space="preserve"> – Solingen</w:t>
      </w:r>
    </w:p>
    <w:p>
      <w:pPr>
        <w:spacing w:before="40" w:after="80"/>
      </w:pPr>
      <w:r>
        <w:rPr>
          <w:rFonts w:ascii="Arial" w:cs="Arial" w:eastAsia="Arial" w:hAnsi="Arial"/>
          <w:b/>
          <w:bCs/>
          <w:color w:val="333333"/>
          <w:sz w:val="20"/>
          <w:szCs w:val="20"/>
        </w:rPr>
        <w:t xml:space="preserve">IT Consultant</w:t>
      </w:r>
      <w:r>
        <w:rPr>
          <w:rFonts w:ascii="Arial" w:cs="Arial" w:eastAsia="Arial" w:hAnsi="Arial"/>
          <w:color w:val="666666"/>
          <w:sz w:val="20"/>
          <w:szCs w:val="20"/>
        </w:rPr>
        <w:t xml:space="preserve"> | April 2013 – Juni 2017</w:t>
      </w:r>
    </w:p>
    <w:p>
      <w:pPr>
        <w:pStyle w:val="ListParagraph"/>
        <w:numPr>
          <w:ilvl w:val="0"/>
          <w:numId w:val="2"/>
        </w:numPr>
        <w:spacing w:before="40" w:after="40"/>
      </w:pPr>
      <w:r>
        <w:rPr>
          <w:rFonts w:ascii="Arial" w:cs="Arial" w:eastAsia="Arial" w:hAnsi="Arial"/>
          <w:color w:val="333333"/>
          <w:sz w:val="20"/>
          <w:szCs w:val="20"/>
        </w:rPr>
        <w:t xml:space="preserve">Tätigkeit als IT-Consultant mit Fokus auf Frontend- und Backend-Entwicklung.</w:t>
      </w:r>
    </w:p>
    <w:p>
      <w:pPr>
        <w:pStyle w:val="ListParagraph"/>
        <w:numPr>
          <w:ilvl w:val="0"/>
          <w:numId w:val="2"/>
        </w:numPr>
        <w:spacing w:before="40" w:after="40"/>
      </w:pPr>
      <w:r>
        <w:rPr>
          <w:rFonts w:ascii="Arial" w:cs="Arial" w:eastAsia="Arial" w:hAnsi="Arial"/>
          <w:color w:val="333333"/>
          <w:sz w:val="20"/>
          <w:szCs w:val="20"/>
        </w:rPr>
        <w:t xml:space="preserve">Mitarbeit in Kundenprojekten, insbesondere in der Versicherungs- und Handelsbranche.</w:t>
      </w:r>
    </w:p>
    <w:p>
      <w:pPr>
        <w:pStyle w:val="ListParagraph"/>
        <w:numPr>
          <w:ilvl w:val="0"/>
          <w:numId w:val="2"/>
        </w:numPr>
        <w:spacing w:before="40" w:after="40"/>
      </w:pPr>
      <w:r>
        <w:rPr>
          <w:rFonts w:ascii="Arial" w:cs="Arial" w:eastAsia="Arial" w:hAnsi="Arial"/>
          <w:color w:val="333333"/>
          <w:sz w:val="20"/>
          <w:szCs w:val="20"/>
        </w:rPr>
        <w:t xml:space="preserve">Zunehmende Fokussierung auf agile Arbeitsweisen und die Verbindung von Technik, Produkt und Business.</w:t>
      </w:r>
    </w:p>
    <w:p>
      <w:pPr>
        <w:spacing w:before="200" w:after="0"/>
      </w:pPr>
      <w:r>
        <w:rPr>
          <w:rFonts w:ascii="Arial" w:cs="Arial" w:eastAsia="Arial" w:hAnsi="Arial"/>
          <w:b/>
          <w:bCs/>
          <w:color w:val="333333"/>
          <w:sz w:val="22"/>
          <w:szCs w:val="22"/>
        </w:rPr>
        <w:t xml:space="preserve">CRON Systems-Automation GmbH</w:t>
      </w:r>
      <w:r>
        <w:t xml:space="preserve"/>
      </w:r>
    </w:p>
    <w:p>
      <w:pPr>
        <w:spacing w:before="40" w:after="80"/>
      </w:pPr>
      <w:r>
        <w:rPr>
          <w:rFonts w:ascii="Arial" w:cs="Arial" w:eastAsia="Arial" w:hAnsi="Arial"/>
          <w:b/>
          <w:bCs/>
          <w:color w:val="333333"/>
          <w:sz w:val="20"/>
          <w:szCs w:val="20"/>
        </w:rPr>
        <w:t xml:space="preserve">Software Engineer</w:t>
      </w:r>
      <w:r>
        <w:rPr>
          <w:rFonts w:ascii="Arial" w:cs="Arial" w:eastAsia="Arial" w:hAnsi="Arial"/>
          <w:color w:val="666666"/>
          <w:sz w:val="20"/>
          <w:szCs w:val="20"/>
        </w:rPr>
        <w:t xml:space="preserve"> | Februar 2010 – März 2013</w:t>
      </w:r>
    </w:p>
    <w:p>
      <w:pPr>
        <w:pStyle w:val="ListParagraph"/>
        <w:numPr>
          <w:ilvl w:val="0"/>
          <w:numId w:val="2"/>
        </w:numPr>
        <w:spacing w:before="40" w:after="40"/>
      </w:pPr>
      <w:r>
        <w:rPr>
          <w:rFonts w:ascii="Arial" w:cs="Arial" w:eastAsia="Arial" w:hAnsi="Arial"/>
          <w:color w:val="333333"/>
          <w:sz w:val="20"/>
          <w:szCs w:val="20"/>
        </w:rPr>
        <w:t xml:space="preserve">Entwicklung von Softwarelösungen im industriellen Umfeld.</w:t>
      </w:r>
    </w:p>
    <w:p>
      <w:pPr>
        <w:pStyle w:val="ListParagraph"/>
        <w:numPr>
          <w:ilvl w:val="0"/>
          <w:numId w:val="2"/>
        </w:numPr>
        <w:spacing w:before="40" w:after="40"/>
      </w:pPr>
      <w:r>
        <w:rPr>
          <w:rFonts w:ascii="Arial" w:cs="Arial" w:eastAsia="Arial" w:hAnsi="Arial"/>
          <w:color w:val="333333"/>
          <w:sz w:val="20"/>
          <w:szCs w:val="20"/>
        </w:rPr>
        <w:t xml:space="preserve">Aufbau eines soliden technischen Fundaments in Softwareentwicklung und Systemverständnis.</w:t>
      </w:r>
    </w:p>
    <w:p>
      <w:pPr>
        <w:pBdr>
          <w:bottom w:val="single" w:color="2B5F8C" w:sz="6"/>
        </w:pBdr>
        <w:spacing w:before="300" w:after="100"/>
      </w:pPr>
      <w:r>
        <w:rPr>
          <w:rFonts w:ascii="Arial" w:cs="Arial" w:eastAsia="Arial" w:hAnsi="Arial"/>
          <w:b/>
          <w:bCs/>
          <w:color w:val="2B5F8C"/>
          <w:sz w:val="24"/>
          <w:szCs w:val="24"/>
        </w:rPr>
        <w:t xml:space="preserve">Ausbildung</w:t>
      </w:r>
    </w:p>
    <w:p>
      <w:pPr>
        <w:spacing w:before="100" w:after="40"/>
      </w:pPr>
      <w:r>
        <w:rPr>
          <w:rFonts w:ascii="Arial" w:cs="Arial" w:eastAsia="Arial" w:hAnsi="Arial"/>
          <w:b/>
          <w:bCs/>
          <w:color w:val="333333"/>
          <w:sz w:val="22"/>
          <w:szCs w:val="22"/>
        </w:rPr>
        <w:t xml:space="preserve">Ruhr-Universität Bochum</w:t>
      </w:r>
    </w:p>
    <w:p>
      <w:pPr>
        <w:spacing w:before="0" w:after="100"/>
      </w:pPr>
      <w:r>
        <w:rPr>
          <w:rFonts w:ascii="Arial" w:cs="Arial" w:eastAsia="Arial" w:hAnsi="Arial"/>
          <w:color w:val="666666"/>
          <w:sz w:val="20"/>
          <w:szCs w:val="20"/>
        </w:rPr>
        <w:t xml:space="preserve">Bachelor of Science (B.Sc.) Informatik | 2006 – 2010</w:t>
      </w:r>
    </w:p>
    <w:p>
      <w:pPr>
        <w:pBdr>
          <w:bottom w:val="single" w:color="2B5F8C" w:sz="6"/>
        </w:pBdr>
        <w:spacing w:before="300" w:after="100"/>
      </w:pPr>
      <w:r>
        <w:rPr>
          <w:rFonts w:ascii="Arial" w:cs="Arial" w:eastAsia="Arial" w:hAnsi="Arial"/>
          <w:b/>
          <w:bCs/>
          <w:color w:val="2B5F8C"/>
          <w:sz w:val="24"/>
          <w:szCs w:val="24"/>
        </w:rPr>
        <w:t xml:space="preserve">Sprachen</w:t>
      </w:r>
    </w:p>
    <w:p>
      <w:pPr>
        <w:pStyle w:val="ListParagraph"/>
        <w:numPr>
          <w:ilvl w:val="0"/>
          <w:numId w:val="2"/>
        </w:numPr>
        <w:spacing w:before="40" w:after="40"/>
      </w:pPr>
      <w:r>
        <w:rPr>
          <w:rFonts w:ascii="Arial" w:cs="Arial" w:eastAsia="Arial" w:hAnsi="Arial"/>
          <w:color w:val="333333"/>
          <w:sz w:val="20"/>
          <w:szCs w:val="20"/>
        </w:rPr>
        <w:t xml:space="preserve">Deutsch (Muttersprache)</w:t>
      </w:r>
    </w:p>
    <w:p>
      <w:pPr>
        <w:pStyle w:val="ListParagraph"/>
        <w:numPr>
          <w:ilvl w:val="0"/>
          <w:numId w:val="2"/>
        </w:numPr>
        <w:spacing w:before="40" w:after="40"/>
      </w:pPr>
      <w:r>
        <w:rPr>
          <w:rFonts w:ascii="Arial" w:cs="Arial" w:eastAsia="Arial" w:hAnsi="Arial"/>
          <w:color w:val="333333"/>
          <w:sz w:val="20"/>
          <w:szCs w:val="20"/>
        </w:rPr>
        <w:t xml:space="preserve">Englisch (fließend)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uz5e266-iwz1bcy1qpe-" Type="http://schemas.openxmlformats.org/officeDocument/2006/relationships/hyperlink" Target="https://www.linkedin.com/in/jan-h&#246;lter-89b538109" TargetMode="External"/><Relationship Id="rId6" Type="http://schemas.openxmlformats.org/officeDocument/2006/relationships/image" Target="media/6d6ed6952762f6311a4f072e87a2495f5e59f3e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2026-01-23T15:07:19.840Z</dcterms:created>
  <dcterms:modified xsi:type="dcterms:W3CDTF">2026-01-23T15:07:19.841Z</dcterms:modified>
</cp:coreProperties>
</file>

<file path=docProps/custom.xml><?xml version="1.0" encoding="utf-8"?>
<Properties xmlns="http://schemas.openxmlformats.org/officeDocument/2006/custom-properties" xmlns:vt="http://schemas.openxmlformats.org/officeDocument/2006/docPropsVTypes"/>
</file>