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7BE21C35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D33077">
        <w:rPr>
          <w:rFonts w:ascii="Times New Roman" w:hAnsi="Times New Roman" w:cs="Times New Roman"/>
          <w:b/>
          <w:noProof/>
        </w:rPr>
        <w:t>4/7/2020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29BB78B8" w14:textId="70C3B7DD" w:rsidR="00623B71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1F718376" w14:textId="77777777" w:rsidR="00D33077" w:rsidRPr="00B90E4A" w:rsidRDefault="00D33077" w:rsidP="00C17C0B">
      <w:pPr>
        <w:rPr>
          <w:rFonts w:ascii="Times New Roman" w:hAnsi="Times New Roman" w:cs="Times New Roman"/>
          <w:b/>
          <w:u w:val="single"/>
        </w:rPr>
      </w:pPr>
    </w:p>
    <w:p w14:paraId="21C9E504" w14:textId="60CD082D" w:rsidR="00D33077" w:rsidRDefault="00216738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, Reed-Tsochas F, Koehly L, and Marcum CS. </w:t>
      </w:r>
      <w:r w:rsidR="00925F56">
        <w:rPr>
          <w:rFonts w:ascii="Times New Roman" w:hAnsi="Times New Roman" w:cs="Times New Roman"/>
        </w:rPr>
        <w:t xml:space="preserve">2019. </w:t>
      </w:r>
      <w:r w:rsidRPr="00EE22D7">
        <w:rPr>
          <w:rFonts w:ascii="Times New Roman" w:hAnsi="Times New Roman" w:cs="Times New Roman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</w:rPr>
        <w:t xml:space="preserve">. </w:t>
      </w:r>
      <w:r w:rsidR="00D33077" w:rsidRPr="00D33077">
        <w:rPr>
          <w:rFonts w:ascii="Times New Roman" w:hAnsi="Times New Roman" w:cs="Times New Roman"/>
        </w:rPr>
        <w:t>2019 IEEE International Conference on Big Data (Big Data), Los Angeles, CA, USA, 2019, pp. 2756-2762.</w:t>
      </w:r>
    </w:p>
    <w:p w14:paraId="34BF9D09" w14:textId="77777777" w:rsidR="00D33077" w:rsidRPr="00D33077" w:rsidRDefault="00D33077" w:rsidP="00D33077">
      <w:pPr>
        <w:rPr>
          <w:rFonts w:ascii="Times New Roman" w:hAnsi="Times New Roman" w:cs="Times New Roman"/>
        </w:rPr>
      </w:pPr>
    </w:p>
    <w:p w14:paraId="68E0D10A" w14:textId="25E6C96B" w:rsidR="00655CD0" w:rsidRPr="00CE2EC6" w:rsidRDefault="00655CD0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 w:rsidR="00CE2EC6">
        <w:rPr>
          <w:rFonts w:ascii="Times New Roman" w:hAnsi="Times New Roman" w:cs="Times New Roman"/>
        </w:rPr>
        <w:t xml:space="preserve"> 2019</w:t>
      </w:r>
      <w:r w:rsidR="00CE0D0B">
        <w:rPr>
          <w:rFonts w:ascii="Times New Roman" w:hAnsi="Times New Roman" w:cs="Times New Roman"/>
        </w:rPr>
        <w:t>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="00CE2EC6" w:rsidRPr="00D33077">
        <w:rPr>
          <w:rFonts w:ascii="Times New Roman" w:hAnsi="Times New Roman" w:cs="Times New Roman"/>
        </w:rPr>
        <w:t>American Journal of Health Promotion,</w:t>
      </w:r>
      <w:r w:rsidR="00CE2EC6" w:rsidRPr="00CE2EC6">
        <w:rPr>
          <w:rFonts w:ascii="Times New Roman" w:hAnsi="Times New Roman" w:cs="Times New Roman"/>
        </w:rPr>
        <w:t xml:space="preserve"> 0890117119892776.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507FABD7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4CF04A92" w14:textId="53232AF3" w:rsidR="00925F56" w:rsidRPr="00925F56" w:rsidRDefault="00925F56" w:rsidP="00E05B8E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Changolkar S, </w:t>
      </w:r>
      <w:r>
        <w:rPr>
          <w:rFonts w:ascii="Times New Roman" w:hAnsi="Times New Roman" w:cs="Times New Roman"/>
          <w:sz w:val="24"/>
          <w:szCs w:val="24"/>
        </w:rPr>
        <w:t>Rewley J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Balachandran M, Rareshide CAL, Snider CK, Day SC, and Patel MS. Phenotyping Physician Practice </w:t>
      </w:r>
      <w:r w:rsidR="00D33077">
        <w:rPr>
          <w:rFonts w:ascii="Times New Roman" w:hAnsi="Times New Roman" w:cs="Times New Roman"/>
          <w:b w:val="0"/>
          <w:bCs w:val="0"/>
          <w:sz w:val="24"/>
          <w:szCs w:val="24"/>
        </w:rPr>
        <w:t>Patterns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Associations with Response to a Nudge in the Electronic Health Record for Influenza Vaccination: A Quasi-Experimental Study.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PLOS ONE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1A41A583" w14:textId="5CB6ED75" w:rsidR="00216738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918A260" w14:textId="6E21CFF0" w:rsidR="00794495" w:rsidRDefault="00794495" w:rsidP="000C4F0A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>.</w:t>
      </w:r>
    </w:p>
    <w:p w14:paraId="22330CF2" w14:textId="3DE9EC2D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0733806D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rFonts w:ascii="Times New Roman" w:hAnsi="Times New Roman" w:cs="Times New Roman"/>
          <w:kern w:val="36"/>
        </w:rPr>
      </w:pPr>
      <w:r w:rsidRPr="00D33077">
        <w:rPr>
          <w:rFonts w:ascii="Times New Roman" w:hAnsi="Times New Roman" w:cs="Times New Roman"/>
          <w:kern w:val="36"/>
        </w:rPr>
        <w:t>2020</w:t>
      </w:r>
      <w:r w:rsidRPr="00D33077">
        <w:rPr>
          <w:rFonts w:ascii="Times New Roman" w:hAnsi="Times New Roman" w:cs="Times New Roman"/>
          <w:kern w:val="36"/>
        </w:rPr>
        <w:tab/>
      </w:r>
      <w:proofErr w:type="spellStart"/>
      <w:r w:rsidRPr="00D33077">
        <w:rPr>
          <w:rFonts w:ascii="Times New Roman" w:hAnsi="Times New Roman" w:cs="Times New Roman"/>
          <w:kern w:val="36"/>
        </w:rPr>
        <w:t>Tyroler</w:t>
      </w:r>
      <w:proofErr w:type="spellEnd"/>
      <w:r w:rsidRPr="00D33077">
        <w:rPr>
          <w:rFonts w:ascii="Times New Roman" w:hAnsi="Times New Roman" w:cs="Times New Roman"/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lastRenderedPageBreak/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711CB69D" w14:textId="155E513C" w:rsidR="00D33077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5E5F399F" w14:textId="063265E7" w:rsidR="00D33077" w:rsidRDefault="00D33077" w:rsidP="00C17C0B">
      <w:pPr>
        <w:rPr>
          <w:rFonts w:ascii="Times New Roman" w:hAnsi="Times New Roman" w:cs="Times New Roman"/>
          <w:b/>
        </w:rPr>
      </w:pPr>
    </w:p>
    <w:p w14:paraId="5AE175A8" w14:textId="28A7540A" w:rsidR="00D33077" w:rsidRPr="00D33077" w:rsidRDefault="00D33077" w:rsidP="00C17C0B">
      <w:pPr>
        <w:rPr>
          <w:rFonts w:ascii="Times New Roman" w:hAnsi="Times New Roman" w:cs="Times New Roman"/>
          <w:bCs/>
        </w:rPr>
      </w:pPr>
      <w:r w:rsidRPr="00D33077">
        <w:rPr>
          <w:rFonts w:ascii="Times New Roman" w:hAnsi="Times New Roman" w:cs="Times New Roman"/>
          <w:bCs/>
        </w:rPr>
        <w:t>2020, Value Institute, Christiana Health Care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60C64EB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 xml:space="preserve">“Constructing </w:t>
      </w:r>
      <w:r w:rsidR="00D33077">
        <w:rPr>
          <w:rFonts w:ascii="Times New Roman" w:hAnsi="Times New Roman" w:cs="Times New Roman"/>
        </w:rPr>
        <w:t>N</w:t>
      </w:r>
      <w:r w:rsidRPr="00596D4C">
        <w:rPr>
          <w:rFonts w:ascii="Times New Roman" w:hAnsi="Times New Roman" w:cs="Times New Roman"/>
        </w:rPr>
        <w:t>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lastRenderedPageBreak/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9F3153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</w:t>
      </w:r>
      <w:bookmarkStart w:id="0" w:name="_GoBack"/>
      <w:bookmarkEnd w:id="0"/>
      <w:r>
        <w:rPr>
          <w:rFonts w:ascii="Times New Roman" w:hAnsi="Times New Roman" w:cs="Times New Roman"/>
        </w:rPr>
        <w:t>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5C88D5C9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F1CCF" w14:textId="77777777" w:rsidR="009F3153" w:rsidRDefault="009F3153" w:rsidP="005A1D48">
      <w:r>
        <w:separator/>
      </w:r>
    </w:p>
  </w:endnote>
  <w:endnote w:type="continuationSeparator" w:id="0">
    <w:p w14:paraId="25CD883B" w14:textId="77777777" w:rsidR="009F3153" w:rsidRDefault="009F3153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C4F5D" w14:textId="77777777" w:rsidR="009F3153" w:rsidRDefault="009F3153" w:rsidP="005A1D48">
      <w:r>
        <w:separator/>
      </w:r>
    </w:p>
  </w:footnote>
  <w:footnote w:type="continuationSeparator" w:id="0">
    <w:p w14:paraId="6D39C81B" w14:textId="77777777" w:rsidR="009F3153" w:rsidRDefault="009F3153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77A2A"/>
    <w:rsid w:val="00081E2E"/>
    <w:rsid w:val="0008398A"/>
    <w:rsid w:val="00086A74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16738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36B"/>
    <w:rsid w:val="00F71FA7"/>
    <w:rsid w:val="00F7511C"/>
    <w:rsid w:val="00F7778B"/>
    <w:rsid w:val="00F821B0"/>
    <w:rsid w:val="00F97D84"/>
    <w:rsid w:val="00FA046B"/>
    <w:rsid w:val="00FA6DEC"/>
    <w:rsid w:val="00FB4FEA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9888</TotalTime>
  <Pages>8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55</cp:revision>
  <cp:lastPrinted>2017-06-05T18:28:00Z</cp:lastPrinted>
  <dcterms:created xsi:type="dcterms:W3CDTF">2017-09-22T18:53:00Z</dcterms:created>
  <dcterms:modified xsi:type="dcterms:W3CDTF">2020-04-07T18:12:00Z</dcterms:modified>
</cp:coreProperties>
</file>