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18935" w14:textId="62D9964F" w:rsidR="006540D6" w:rsidRPr="00676A7A" w:rsidRDefault="006540D6" w:rsidP="00851D39">
      <w:pPr>
        <w:rPr>
          <w:b/>
          <w:bCs/>
          <w:sz w:val="22"/>
          <w:szCs w:val="20"/>
          <w:u w:val="single"/>
        </w:rPr>
      </w:pPr>
      <w:r w:rsidRPr="00676A7A">
        <w:rPr>
          <w:b/>
          <w:bCs/>
          <w:sz w:val="22"/>
          <w:szCs w:val="20"/>
          <w:u w:val="single"/>
        </w:rPr>
        <w:t>Computational modelling of GUM4 data</w:t>
      </w:r>
    </w:p>
    <w:p w14:paraId="5E75D92C" w14:textId="0FADED33" w:rsidR="00851D39" w:rsidRPr="00676A7A" w:rsidRDefault="00851D39" w:rsidP="00851D39">
      <w:pPr>
        <w:rPr>
          <w:rFonts w:asciiTheme="majorHAnsi" w:hAnsiTheme="majorHAnsi"/>
          <w:szCs w:val="18"/>
        </w:rPr>
      </w:pPr>
      <w:r w:rsidRPr="00676A7A">
        <w:rPr>
          <w:rFonts w:asciiTheme="majorHAnsi" w:hAnsiTheme="majorHAnsi"/>
          <w:szCs w:val="18"/>
        </w:rPr>
        <w:t xml:space="preserve">I ran two computational models in Stan – the Value plus Sequential Exploration model (see </w:t>
      </w:r>
      <w:hyperlink r:id="rId8" w:history="1">
        <w:r w:rsidRPr="00676A7A">
          <w:rPr>
            <w:rStyle w:val="Hyperlink"/>
            <w:rFonts w:asciiTheme="majorHAnsi" w:hAnsiTheme="majorHAnsi"/>
            <w:szCs w:val="18"/>
          </w:rPr>
          <w:t>Ligneul, 2019</w:t>
        </w:r>
      </w:hyperlink>
      <w:r w:rsidRPr="00676A7A">
        <w:rPr>
          <w:rFonts w:asciiTheme="majorHAnsi" w:hAnsiTheme="majorHAnsi"/>
          <w:szCs w:val="18"/>
        </w:rPr>
        <w:t xml:space="preserve">) and the Prospect Valence Learning-Delta model (see </w:t>
      </w:r>
      <w:hyperlink r:id="rId9" w:history="1">
        <w:proofErr w:type="spellStart"/>
        <w:r w:rsidRPr="00676A7A">
          <w:rPr>
            <w:rStyle w:val="Hyperlink"/>
            <w:rFonts w:asciiTheme="majorHAnsi" w:hAnsiTheme="majorHAnsi"/>
            <w:szCs w:val="18"/>
          </w:rPr>
          <w:t>Steingroever</w:t>
        </w:r>
        <w:proofErr w:type="spellEnd"/>
        <w:r w:rsidRPr="00676A7A">
          <w:rPr>
            <w:rStyle w:val="Hyperlink"/>
            <w:rFonts w:asciiTheme="majorHAnsi" w:hAnsiTheme="majorHAnsi"/>
            <w:szCs w:val="18"/>
          </w:rPr>
          <w:t xml:space="preserve"> et al., 2013</w:t>
        </w:r>
      </w:hyperlink>
      <w:r w:rsidRPr="00676A7A">
        <w:rPr>
          <w:rFonts w:asciiTheme="majorHAnsi" w:hAnsiTheme="majorHAnsi"/>
          <w:szCs w:val="18"/>
        </w:rPr>
        <w:t xml:space="preserve">). </w:t>
      </w:r>
      <w:r w:rsidRPr="00676A7A">
        <w:rPr>
          <w:rFonts w:asciiTheme="majorHAnsi" w:hAnsiTheme="majorHAnsi"/>
          <w:b/>
          <w:bCs/>
          <w:szCs w:val="18"/>
        </w:rPr>
        <w:t>Model comparison metrics show the VSE model is the better fit of the GUM4 data by quite a large margin</w:t>
      </w:r>
      <w:r w:rsidRPr="00676A7A">
        <w:rPr>
          <w:rFonts w:asciiTheme="majorHAnsi" w:hAnsiTheme="majorHAnsi"/>
          <w:szCs w:val="18"/>
        </w:rPr>
        <w:t xml:space="preserve">. Participants who had 62 trials due to the task-crashing bug were still included, as we can still approximate latent parameter values given a 62-trial choice pattern. </w:t>
      </w:r>
    </w:p>
    <w:p w14:paraId="6F26828D" w14:textId="4D6CBA9B" w:rsidR="006540D6" w:rsidRPr="00676A7A" w:rsidRDefault="006540D6" w:rsidP="00851D39">
      <w:pPr>
        <w:rPr>
          <w:rFonts w:asciiTheme="majorHAnsi" w:hAnsiTheme="majorHAnsi"/>
          <w:szCs w:val="18"/>
        </w:rPr>
      </w:pPr>
      <w:r w:rsidRPr="00676A7A">
        <w:rPr>
          <w:rFonts w:asciiTheme="majorHAnsi" w:hAnsiTheme="majorHAnsi"/>
          <w:szCs w:val="18"/>
        </w:rPr>
        <w:t>For your reference,</w:t>
      </w:r>
    </w:p>
    <w:p w14:paraId="1976CD33" w14:textId="162CB1E1" w:rsidR="006540D6" w:rsidRPr="00676A7A" w:rsidRDefault="006540D6" w:rsidP="006540D6">
      <w:pPr>
        <w:pStyle w:val="ListParagraph"/>
        <w:numPr>
          <w:ilvl w:val="0"/>
          <w:numId w:val="4"/>
        </w:numPr>
        <w:rPr>
          <w:rFonts w:asciiTheme="majorHAnsi" w:hAnsiTheme="majorHAnsi"/>
          <w:szCs w:val="18"/>
        </w:rPr>
      </w:pPr>
      <w:r w:rsidRPr="00676A7A">
        <w:rPr>
          <w:rFonts w:asciiTheme="majorHAnsi" w:hAnsiTheme="majorHAnsi"/>
          <w:szCs w:val="18"/>
        </w:rPr>
        <w:t xml:space="preserve">Pages 2-3: </w:t>
      </w:r>
      <w:r w:rsidR="00676A7A">
        <w:rPr>
          <w:rFonts w:asciiTheme="majorHAnsi" w:hAnsiTheme="majorHAnsi"/>
          <w:szCs w:val="18"/>
        </w:rPr>
        <w:t>VSE model functional form</w:t>
      </w:r>
      <w:r w:rsidRPr="00676A7A">
        <w:rPr>
          <w:rFonts w:asciiTheme="majorHAnsi" w:hAnsiTheme="majorHAnsi"/>
          <w:szCs w:val="18"/>
        </w:rPr>
        <w:t>.</w:t>
      </w:r>
    </w:p>
    <w:p w14:paraId="2F314FB8" w14:textId="4BB0BF08" w:rsidR="006540D6" w:rsidRPr="00676A7A" w:rsidRDefault="006540D6" w:rsidP="006540D6">
      <w:pPr>
        <w:pStyle w:val="ListParagraph"/>
        <w:numPr>
          <w:ilvl w:val="0"/>
          <w:numId w:val="4"/>
        </w:numPr>
        <w:rPr>
          <w:rFonts w:asciiTheme="majorHAnsi" w:hAnsiTheme="majorHAnsi"/>
          <w:szCs w:val="18"/>
        </w:rPr>
      </w:pPr>
      <w:r w:rsidRPr="00676A7A">
        <w:rPr>
          <w:rFonts w:asciiTheme="majorHAnsi" w:hAnsiTheme="majorHAnsi"/>
          <w:szCs w:val="18"/>
        </w:rPr>
        <w:t xml:space="preserve">Pages </w:t>
      </w:r>
      <w:r w:rsidR="00116481" w:rsidRPr="00676A7A">
        <w:rPr>
          <w:rFonts w:asciiTheme="majorHAnsi" w:hAnsiTheme="majorHAnsi"/>
          <w:szCs w:val="18"/>
        </w:rPr>
        <w:t>4-5</w:t>
      </w:r>
      <w:r w:rsidRPr="00676A7A">
        <w:rPr>
          <w:rFonts w:asciiTheme="majorHAnsi" w:hAnsiTheme="majorHAnsi"/>
          <w:szCs w:val="18"/>
        </w:rPr>
        <w:t>: Results of linear mixed models, with VSE parameter estimates as DVs in each model.</w:t>
      </w:r>
    </w:p>
    <w:p w14:paraId="4B7F6CFD" w14:textId="26C823FD" w:rsidR="006540D6" w:rsidRPr="00676A7A" w:rsidRDefault="006540D6" w:rsidP="006540D6">
      <w:pPr>
        <w:pStyle w:val="ListParagraph"/>
        <w:numPr>
          <w:ilvl w:val="0"/>
          <w:numId w:val="4"/>
        </w:numPr>
        <w:rPr>
          <w:rFonts w:asciiTheme="majorHAnsi" w:hAnsiTheme="majorHAnsi"/>
          <w:szCs w:val="18"/>
        </w:rPr>
      </w:pPr>
      <w:r w:rsidRPr="00676A7A">
        <w:rPr>
          <w:rFonts w:asciiTheme="majorHAnsi" w:hAnsiTheme="majorHAnsi"/>
          <w:szCs w:val="18"/>
        </w:rPr>
        <w:t xml:space="preserve">Page </w:t>
      </w:r>
      <w:r w:rsidR="00116481" w:rsidRPr="00676A7A">
        <w:rPr>
          <w:rFonts w:asciiTheme="majorHAnsi" w:hAnsiTheme="majorHAnsi"/>
          <w:szCs w:val="18"/>
        </w:rPr>
        <w:t>6-7</w:t>
      </w:r>
      <w:r w:rsidRPr="00676A7A">
        <w:rPr>
          <w:rFonts w:asciiTheme="majorHAnsi" w:hAnsiTheme="majorHAnsi"/>
          <w:szCs w:val="18"/>
        </w:rPr>
        <w:t>: Contrasts and figure illustration.</w:t>
      </w:r>
    </w:p>
    <w:p w14:paraId="2E81667F" w14:textId="6F50FE54" w:rsidR="00676A7A" w:rsidRPr="00676A7A" w:rsidRDefault="00676A7A" w:rsidP="00676A7A">
      <w:pPr>
        <w:rPr>
          <w:rFonts w:asciiTheme="majorHAnsi" w:hAnsiTheme="majorHAnsi"/>
          <w:szCs w:val="18"/>
        </w:rPr>
      </w:pPr>
      <w:r w:rsidRPr="00676A7A">
        <w:rPr>
          <w:rFonts w:asciiTheme="majorHAnsi" w:hAnsiTheme="majorHAnsi"/>
          <w:szCs w:val="18"/>
        </w:rPr>
        <w:t>Brief description of VSE model parameters:</w:t>
      </w:r>
    </w:p>
    <w:p w14:paraId="72935F12" w14:textId="0D066108" w:rsidR="00676A7A" w:rsidRPr="00676A7A" w:rsidRDefault="00676A7A" w:rsidP="00823C9A">
      <w:pPr>
        <w:pStyle w:val="ListParagraph"/>
        <w:numPr>
          <w:ilvl w:val="0"/>
          <w:numId w:val="6"/>
        </w:numPr>
        <w:rPr>
          <w:rFonts w:asciiTheme="majorHAnsi" w:hAnsiTheme="majorHAnsi"/>
          <w:szCs w:val="18"/>
        </w:rPr>
      </w:pPr>
      <w:r w:rsidRPr="00676A7A">
        <w:rPr>
          <w:rFonts w:asciiTheme="majorHAnsi" w:hAnsiTheme="majorHAnsi"/>
          <w:b/>
          <w:bCs/>
          <w:szCs w:val="18"/>
        </w:rPr>
        <w:t>Value Sensitivity:</w:t>
      </w:r>
      <w:r w:rsidRPr="00676A7A">
        <w:rPr>
          <w:rFonts w:asciiTheme="majorHAnsi" w:hAnsiTheme="majorHAnsi"/>
          <w:szCs w:val="18"/>
        </w:rPr>
        <w:t xml:space="preserve"> sensitivity to gain or loss amounts received on each trial. </w:t>
      </w:r>
      <w:r w:rsidRPr="00823C9A">
        <w:rPr>
          <w:rFonts w:asciiTheme="majorHAnsi" w:hAnsiTheme="majorHAnsi"/>
          <w:i/>
          <w:iCs/>
          <w:szCs w:val="18"/>
        </w:rPr>
        <w:t>Higher values = more sensitive</w:t>
      </w:r>
    </w:p>
    <w:p w14:paraId="4E473422" w14:textId="5AFAD4DC" w:rsidR="00676A7A" w:rsidRPr="00823C9A" w:rsidRDefault="00676A7A" w:rsidP="00823C9A">
      <w:pPr>
        <w:pStyle w:val="ListParagraph"/>
        <w:numPr>
          <w:ilvl w:val="0"/>
          <w:numId w:val="6"/>
        </w:numPr>
        <w:rPr>
          <w:rFonts w:asciiTheme="majorHAnsi" w:hAnsiTheme="majorHAnsi"/>
          <w:i/>
          <w:iCs/>
          <w:szCs w:val="18"/>
        </w:rPr>
      </w:pPr>
      <w:r w:rsidRPr="00676A7A">
        <w:rPr>
          <w:rFonts w:asciiTheme="majorHAnsi" w:hAnsiTheme="majorHAnsi"/>
          <w:b/>
          <w:bCs/>
          <w:szCs w:val="18"/>
        </w:rPr>
        <w:t>Decay Rate:</w:t>
      </w:r>
      <w:r w:rsidRPr="00676A7A">
        <w:rPr>
          <w:rFonts w:asciiTheme="majorHAnsi" w:hAnsiTheme="majorHAnsi"/>
          <w:szCs w:val="18"/>
        </w:rPr>
        <w:t xml:space="preserve"> retention of expected values associated with each deck over consecutive trials, like a working memory component. </w:t>
      </w:r>
      <w:r w:rsidRPr="00823C9A">
        <w:rPr>
          <w:rFonts w:asciiTheme="majorHAnsi" w:hAnsiTheme="majorHAnsi"/>
          <w:i/>
          <w:iCs/>
          <w:szCs w:val="18"/>
        </w:rPr>
        <w:t>Higher values = better retention</w:t>
      </w:r>
    </w:p>
    <w:p w14:paraId="1531BE82" w14:textId="5ABC9E85" w:rsidR="00676A7A" w:rsidRPr="00676A7A" w:rsidRDefault="00676A7A" w:rsidP="00823C9A">
      <w:pPr>
        <w:pStyle w:val="ListParagraph"/>
        <w:numPr>
          <w:ilvl w:val="0"/>
          <w:numId w:val="6"/>
        </w:numPr>
        <w:rPr>
          <w:rFonts w:asciiTheme="majorHAnsi" w:hAnsiTheme="majorHAnsi"/>
          <w:szCs w:val="18"/>
        </w:rPr>
      </w:pPr>
      <w:r w:rsidRPr="00676A7A">
        <w:rPr>
          <w:rFonts w:asciiTheme="majorHAnsi" w:hAnsiTheme="majorHAnsi"/>
          <w:b/>
          <w:bCs/>
          <w:szCs w:val="18"/>
        </w:rPr>
        <w:t>Exploration Bonus:</w:t>
      </w:r>
      <w:r w:rsidRPr="00676A7A">
        <w:rPr>
          <w:rFonts w:asciiTheme="majorHAnsi" w:hAnsiTheme="majorHAnsi"/>
          <w:szCs w:val="18"/>
        </w:rPr>
        <w:t xml:space="preserve"> the subject’s bias toward exploiting advantageous decks vs. exploring other decks. The VSE model seeks to capture “directed exploration”, i.e. exploring alternatives to seek information</w:t>
      </w:r>
      <w:r w:rsidR="00FF7FFE">
        <w:rPr>
          <w:rFonts w:asciiTheme="majorHAnsi" w:hAnsiTheme="majorHAnsi"/>
          <w:szCs w:val="18"/>
        </w:rPr>
        <w:t xml:space="preserve">, </w:t>
      </w:r>
      <w:r w:rsidRPr="00676A7A">
        <w:rPr>
          <w:rFonts w:asciiTheme="majorHAnsi" w:hAnsiTheme="majorHAnsi"/>
          <w:szCs w:val="18"/>
        </w:rPr>
        <w:t xml:space="preserve">independent of expected values. </w:t>
      </w:r>
      <w:r w:rsidRPr="00823C9A">
        <w:rPr>
          <w:rFonts w:asciiTheme="majorHAnsi" w:hAnsiTheme="majorHAnsi"/>
          <w:i/>
          <w:iCs/>
          <w:szCs w:val="18"/>
        </w:rPr>
        <w:t>Negative values = exploitative, Positive values = explorative.</w:t>
      </w:r>
    </w:p>
    <w:p w14:paraId="2A7E7943" w14:textId="21321F01" w:rsidR="00676A7A" w:rsidRPr="00823C9A" w:rsidRDefault="00676A7A" w:rsidP="00823C9A">
      <w:pPr>
        <w:pStyle w:val="ListParagraph"/>
        <w:numPr>
          <w:ilvl w:val="0"/>
          <w:numId w:val="6"/>
        </w:numPr>
        <w:rPr>
          <w:rFonts w:asciiTheme="majorHAnsi" w:hAnsiTheme="majorHAnsi"/>
          <w:i/>
          <w:iCs/>
          <w:szCs w:val="18"/>
        </w:rPr>
      </w:pPr>
      <w:r w:rsidRPr="00676A7A">
        <w:rPr>
          <w:rFonts w:asciiTheme="majorHAnsi" w:hAnsiTheme="majorHAnsi"/>
          <w:b/>
          <w:bCs/>
          <w:szCs w:val="18"/>
        </w:rPr>
        <w:t>Exploration Update:</w:t>
      </w:r>
      <w:r w:rsidRPr="00676A7A">
        <w:rPr>
          <w:rFonts w:asciiTheme="majorHAnsi" w:hAnsiTheme="majorHAnsi"/>
          <w:szCs w:val="18"/>
        </w:rPr>
        <w:t xml:space="preserve"> the rate at which the subject returns to the baseline </w:t>
      </w:r>
      <w:r w:rsidR="00823C9A">
        <w:rPr>
          <w:rFonts w:asciiTheme="majorHAnsi" w:hAnsiTheme="majorHAnsi"/>
          <w:szCs w:val="18"/>
        </w:rPr>
        <w:t>bias (i.e., Exploration Bonus)</w:t>
      </w:r>
      <w:r w:rsidRPr="00676A7A">
        <w:rPr>
          <w:rFonts w:asciiTheme="majorHAnsi" w:hAnsiTheme="majorHAnsi"/>
          <w:szCs w:val="18"/>
        </w:rPr>
        <w:t xml:space="preserve"> to explore alternative</w:t>
      </w:r>
      <w:r w:rsidR="00823C9A">
        <w:rPr>
          <w:rFonts w:asciiTheme="majorHAnsi" w:hAnsiTheme="majorHAnsi"/>
          <w:szCs w:val="18"/>
        </w:rPr>
        <w:t xml:space="preserve"> decks</w:t>
      </w:r>
      <w:r w:rsidRPr="00676A7A">
        <w:rPr>
          <w:rFonts w:asciiTheme="majorHAnsi" w:hAnsiTheme="majorHAnsi"/>
          <w:szCs w:val="18"/>
        </w:rPr>
        <w:t xml:space="preserve"> that have not been chosen in a while. </w:t>
      </w:r>
      <w:r w:rsidRPr="00823C9A">
        <w:rPr>
          <w:rFonts w:asciiTheme="majorHAnsi" w:hAnsiTheme="majorHAnsi"/>
          <w:i/>
          <w:iCs/>
          <w:szCs w:val="18"/>
        </w:rPr>
        <w:t>Higher values = faster rate of return.</w:t>
      </w:r>
    </w:p>
    <w:p w14:paraId="5757B79E" w14:textId="5C6BB79D" w:rsidR="00676A7A" w:rsidRPr="00676A7A" w:rsidRDefault="00676A7A" w:rsidP="00823C9A">
      <w:pPr>
        <w:pStyle w:val="ListParagraph"/>
        <w:numPr>
          <w:ilvl w:val="0"/>
          <w:numId w:val="6"/>
        </w:numPr>
        <w:rPr>
          <w:rFonts w:asciiTheme="majorHAnsi" w:hAnsiTheme="majorHAnsi"/>
          <w:szCs w:val="18"/>
        </w:rPr>
      </w:pPr>
      <w:r w:rsidRPr="00676A7A">
        <w:rPr>
          <w:rFonts w:asciiTheme="majorHAnsi" w:hAnsiTheme="majorHAnsi"/>
          <w:b/>
          <w:bCs/>
          <w:szCs w:val="18"/>
        </w:rPr>
        <w:t>Consistency:</w:t>
      </w:r>
      <w:r w:rsidRPr="00676A7A">
        <w:rPr>
          <w:rFonts w:asciiTheme="majorHAnsi" w:hAnsiTheme="majorHAnsi"/>
          <w:szCs w:val="18"/>
        </w:rPr>
        <w:t xml:space="preserve"> Choice stochasticity, </w:t>
      </w:r>
      <w:r w:rsidRPr="00823C9A">
        <w:rPr>
          <w:rFonts w:asciiTheme="majorHAnsi" w:hAnsiTheme="majorHAnsi"/>
          <w:i/>
          <w:iCs/>
          <w:szCs w:val="18"/>
        </w:rPr>
        <w:t>higher values = more deterministic choices, lower values = more random choices</w:t>
      </w:r>
      <w:r w:rsidRPr="00676A7A">
        <w:rPr>
          <w:rFonts w:asciiTheme="majorHAnsi" w:hAnsiTheme="majorHAnsi"/>
          <w:szCs w:val="18"/>
        </w:rPr>
        <w:t>. Because the VSE model</w:t>
      </w:r>
      <w:r w:rsidR="00ED76FA">
        <w:rPr>
          <w:rFonts w:asciiTheme="majorHAnsi" w:hAnsiTheme="majorHAnsi"/>
          <w:szCs w:val="18"/>
        </w:rPr>
        <w:t xml:space="preserve"> already</w:t>
      </w:r>
      <w:r w:rsidRPr="00676A7A">
        <w:rPr>
          <w:rFonts w:asciiTheme="majorHAnsi" w:hAnsiTheme="majorHAnsi"/>
          <w:szCs w:val="18"/>
        </w:rPr>
        <w:t xml:space="preserve"> has a directed exploration module, this may also </w:t>
      </w:r>
      <w:r w:rsidR="00ED76FA">
        <w:rPr>
          <w:rFonts w:asciiTheme="majorHAnsi" w:hAnsiTheme="majorHAnsi"/>
          <w:szCs w:val="18"/>
        </w:rPr>
        <w:t>capture</w:t>
      </w:r>
      <w:r w:rsidRPr="00676A7A">
        <w:rPr>
          <w:rFonts w:asciiTheme="majorHAnsi" w:hAnsiTheme="majorHAnsi"/>
          <w:szCs w:val="18"/>
        </w:rPr>
        <w:t xml:space="preserve"> </w:t>
      </w:r>
      <w:r w:rsidRPr="00676A7A">
        <w:rPr>
          <w:rFonts w:asciiTheme="majorHAnsi" w:hAnsiTheme="majorHAnsi"/>
          <w:i/>
          <w:iCs/>
          <w:szCs w:val="18"/>
        </w:rPr>
        <w:t>undirected</w:t>
      </w:r>
      <w:r w:rsidRPr="00676A7A">
        <w:rPr>
          <w:rFonts w:asciiTheme="majorHAnsi" w:hAnsiTheme="majorHAnsi"/>
          <w:szCs w:val="18"/>
        </w:rPr>
        <w:t xml:space="preserve"> exploration. </w:t>
      </w:r>
    </w:p>
    <w:p w14:paraId="2945C0ED" w14:textId="398EA05B" w:rsidR="006540D6" w:rsidRPr="00676A7A" w:rsidRDefault="006540D6" w:rsidP="006540D6">
      <w:pPr>
        <w:rPr>
          <w:rFonts w:asciiTheme="majorHAnsi" w:hAnsiTheme="majorHAnsi"/>
          <w:szCs w:val="18"/>
        </w:rPr>
      </w:pPr>
      <w:r w:rsidRPr="00676A7A">
        <w:rPr>
          <w:rFonts w:asciiTheme="majorHAnsi" w:hAnsiTheme="majorHAnsi"/>
          <w:szCs w:val="18"/>
        </w:rPr>
        <w:t>Results brief summary:</w:t>
      </w:r>
    </w:p>
    <w:p w14:paraId="61EC5DA3" w14:textId="5CBCA0C5" w:rsidR="00B358CE" w:rsidRPr="00676A7A" w:rsidRDefault="00C616A0" w:rsidP="006540D6">
      <w:pPr>
        <w:pStyle w:val="ListParagraph"/>
        <w:numPr>
          <w:ilvl w:val="0"/>
          <w:numId w:val="3"/>
        </w:numPr>
        <w:rPr>
          <w:rFonts w:asciiTheme="majorHAnsi" w:hAnsiTheme="majorHAnsi"/>
          <w:szCs w:val="18"/>
        </w:rPr>
      </w:pPr>
      <w:r w:rsidRPr="00676A7A">
        <w:rPr>
          <w:rFonts w:asciiTheme="majorHAnsi" w:hAnsiTheme="majorHAnsi"/>
          <w:szCs w:val="18"/>
        </w:rPr>
        <w:t xml:space="preserve">Re: effects of caffeine, results are in line with the original paper. </w:t>
      </w:r>
      <w:r w:rsidRPr="00676A7A">
        <w:rPr>
          <w:rFonts w:asciiTheme="majorHAnsi" w:hAnsiTheme="majorHAnsi"/>
          <w:b/>
          <w:bCs/>
          <w:szCs w:val="18"/>
        </w:rPr>
        <w:t xml:space="preserve">There </w:t>
      </w:r>
      <w:r w:rsidR="00D5632D" w:rsidRPr="00676A7A">
        <w:rPr>
          <w:rFonts w:asciiTheme="majorHAnsi" w:hAnsiTheme="majorHAnsi"/>
          <w:b/>
          <w:bCs/>
          <w:szCs w:val="18"/>
        </w:rPr>
        <w:t>are</w:t>
      </w:r>
      <w:r w:rsidRPr="00676A7A">
        <w:rPr>
          <w:rFonts w:asciiTheme="majorHAnsi" w:hAnsiTheme="majorHAnsi"/>
          <w:b/>
          <w:bCs/>
          <w:szCs w:val="18"/>
        </w:rPr>
        <w:t xml:space="preserve"> no significant effect</w:t>
      </w:r>
      <w:r w:rsidR="00D5632D" w:rsidRPr="00676A7A">
        <w:rPr>
          <w:rFonts w:asciiTheme="majorHAnsi" w:hAnsiTheme="majorHAnsi"/>
          <w:b/>
          <w:bCs/>
          <w:szCs w:val="18"/>
        </w:rPr>
        <w:t>s</w:t>
      </w:r>
      <w:r w:rsidRPr="00676A7A">
        <w:rPr>
          <w:rFonts w:asciiTheme="majorHAnsi" w:hAnsiTheme="majorHAnsi"/>
          <w:b/>
          <w:bCs/>
          <w:szCs w:val="18"/>
        </w:rPr>
        <w:t xml:space="preserve"> of drug on any of the VSE parameter </w:t>
      </w:r>
      <w:r w:rsidR="005E10DC" w:rsidRPr="00676A7A">
        <w:rPr>
          <w:rFonts w:asciiTheme="majorHAnsi" w:hAnsiTheme="majorHAnsi"/>
          <w:b/>
          <w:bCs/>
          <w:szCs w:val="18"/>
        </w:rPr>
        <w:t>estimates</w:t>
      </w:r>
      <w:r w:rsidRPr="00676A7A">
        <w:rPr>
          <w:rFonts w:asciiTheme="majorHAnsi" w:hAnsiTheme="majorHAnsi"/>
          <w:b/>
          <w:bCs/>
          <w:szCs w:val="18"/>
        </w:rPr>
        <w:t>, nor are there any significant interaction</w:t>
      </w:r>
      <w:r w:rsidR="00D5632D" w:rsidRPr="00676A7A">
        <w:rPr>
          <w:rFonts w:asciiTheme="majorHAnsi" w:hAnsiTheme="majorHAnsi"/>
          <w:b/>
          <w:bCs/>
          <w:szCs w:val="18"/>
        </w:rPr>
        <w:t>s</w:t>
      </w:r>
      <w:r w:rsidRPr="00676A7A">
        <w:rPr>
          <w:rFonts w:asciiTheme="majorHAnsi" w:hAnsiTheme="majorHAnsi"/>
          <w:b/>
          <w:bCs/>
          <w:szCs w:val="18"/>
        </w:rPr>
        <w:t>.</w:t>
      </w:r>
      <w:r w:rsidRPr="00676A7A">
        <w:rPr>
          <w:rFonts w:asciiTheme="majorHAnsi" w:hAnsiTheme="majorHAnsi"/>
          <w:szCs w:val="18"/>
        </w:rPr>
        <w:t xml:space="preserve"> The results presented</w:t>
      </w:r>
      <w:r w:rsidR="00676A7A">
        <w:rPr>
          <w:rFonts w:asciiTheme="majorHAnsi" w:hAnsiTheme="majorHAnsi"/>
          <w:szCs w:val="18"/>
        </w:rPr>
        <w:t xml:space="preserve"> here</w:t>
      </w:r>
      <w:r w:rsidRPr="00676A7A">
        <w:rPr>
          <w:rFonts w:asciiTheme="majorHAnsi" w:hAnsiTheme="majorHAnsi"/>
          <w:szCs w:val="18"/>
        </w:rPr>
        <w:t xml:space="preserve"> are of models </w:t>
      </w:r>
      <w:r w:rsidR="00676A7A">
        <w:rPr>
          <w:rFonts w:asciiTheme="majorHAnsi" w:hAnsiTheme="majorHAnsi"/>
          <w:szCs w:val="18"/>
        </w:rPr>
        <w:t>dropping the</w:t>
      </w:r>
      <w:r w:rsidRPr="00676A7A">
        <w:rPr>
          <w:rFonts w:asciiTheme="majorHAnsi" w:hAnsiTheme="majorHAnsi"/>
          <w:szCs w:val="18"/>
        </w:rPr>
        <w:t xml:space="preserve"> </w:t>
      </w:r>
      <w:r w:rsidRPr="00676A7A">
        <w:rPr>
          <w:rFonts w:asciiTheme="majorHAnsi" w:hAnsiTheme="majorHAnsi"/>
          <w:i/>
          <w:iCs/>
          <w:szCs w:val="18"/>
        </w:rPr>
        <w:t xml:space="preserve">session </w:t>
      </w:r>
      <w:r w:rsidRPr="00676A7A">
        <w:rPr>
          <w:rFonts w:asciiTheme="majorHAnsi" w:hAnsiTheme="majorHAnsi"/>
          <w:szCs w:val="18"/>
        </w:rPr>
        <w:t>x</w:t>
      </w:r>
      <w:r w:rsidRPr="00676A7A">
        <w:rPr>
          <w:rFonts w:asciiTheme="majorHAnsi" w:hAnsiTheme="majorHAnsi"/>
          <w:i/>
          <w:iCs/>
          <w:szCs w:val="18"/>
        </w:rPr>
        <w:t xml:space="preserve"> drug</w:t>
      </w:r>
      <w:r w:rsidRPr="00676A7A">
        <w:rPr>
          <w:rFonts w:asciiTheme="majorHAnsi" w:hAnsiTheme="majorHAnsi"/>
          <w:szCs w:val="18"/>
        </w:rPr>
        <w:t xml:space="preserve"> interaction </w:t>
      </w:r>
      <w:r w:rsidR="00A64D1E" w:rsidRPr="00676A7A">
        <w:rPr>
          <w:rFonts w:asciiTheme="majorHAnsi" w:hAnsiTheme="majorHAnsi"/>
          <w:szCs w:val="18"/>
        </w:rPr>
        <w:t xml:space="preserve">(i.e., drug groups pooled, just like in the original paper). </w:t>
      </w:r>
    </w:p>
    <w:p w14:paraId="54C78572" w14:textId="53FBD696" w:rsidR="00B358CE" w:rsidRPr="00676A7A" w:rsidRDefault="00B358CE" w:rsidP="00B358CE">
      <w:pPr>
        <w:pStyle w:val="ListParagraph"/>
        <w:numPr>
          <w:ilvl w:val="0"/>
          <w:numId w:val="3"/>
        </w:numPr>
        <w:rPr>
          <w:rFonts w:asciiTheme="majorHAnsi" w:hAnsiTheme="majorHAnsi"/>
          <w:szCs w:val="18"/>
        </w:rPr>
      </w:pPr>
      <w:r w:rsidRPr="00676A7A">
        <w:rPr>
          <w:rFonts w:asciiTheme="majorHAnsi" w:hAnsiTheme="majorHAnsi"/>
          <w:szCs w:val="18"/>
        </w:rPr>
        <w:t xml:space="preserve">Regression models show: </w:t>
      </w:r>
    </w:p>
    <w:p w14:paraId="055742CE" w14:textId="5C32F01B" w:rsidR="00B358CE" w:rsidRPr="00676A7A" w:rsidRDefault="00B358CE" w:rsidP="00B358CE">
      <w:pPr>
        <w:pStyle w:val="ListParagraph"/>
        <w:numPr>
          <w:ilvl w:val="1"/>
          <w:numId w:val="3"/>
        </w:numPr>
        <w:rPr>
          <w:rFonts w:asciiTheme="majorHAnsi" w:hAnsiTheme="majorHAnsi"/>
          <w:szCs w:val="18"/>
        </w:rPr>
      </w:pPr>
      <w:r w:rsidRPr="00676A7A">
        <w:rPr>
          <w:rFonts w:asciiTheme="majorHAnsi" w:hAnsiTheme="majorHAnsi"/>
          <w:szCs w:val="18"/>
        </w:rPr>
        <w:t>Subjects are</w:t>
      </w:r>
      <w:r w:rsidRPr="00676A7A">
        <w:rPr>
          <w:rFonts w:asciiTheme="majorHAnsi" w:hAnsiTheme="majorHAnsi"/>
          <w:b/>
          <w:bCs/>
          <w:szCs w:val="18"/>
        </w:rPr>
        <w:t xml:space="preserve"> significantly lower on Value Sensitivity </w:t>
      </w:r>
      <w:r w:rsidR="006540D6" w:rsidRPr="00676A7A">
        <w:rPr>
          <w:rFonts w:asciiTheme="majorHAnsi" w:hAnsiTheme="majorHAnsi"/>
          <w:b/>
          <w:bCs/>
          <w:szCs w:val="18"/>
        </w:rPr>
        <w:t>by</w:t>
      </w:r>
      <w:r w:rsidRPr="00676A7A">
        <w:rPr>
          <w:rFonts w:asciiTheme="majorHAnsi" w:hAnsiTheme="majorHAnsi"/>
          <w:b/>
          <w:bCs/>
          <w:szCs w:val="18"/>
        </w:rPr>
        <w:t xml:space="preserve"> 75h TSD</w:t>
      </w:r>
      <w:r w:rsidRPr="00676A7A">
        <w:rPr>
          <w:rFonts w:asciiTheme="majorHAnsi" w:hAnsiTheme="majorHAnsi"/>
          <w:szCs w:val="18"/>
        </w:rPr>
        <w:t>, relative to Baseline</w:t>
      </w:r>
    </w:p>
    <w:p w14:paraId="638C9486" w14:textId="4490CD5B" w:rsidR="00B358CE" w:rsidRPr="00676A7A" w:rsidRDefault="00B358CE" w:rsidP="00B358CE">
      <w:pPr>
        <w:pStyle w:val="ListParagraph"/>
        <w:numPr>
          <w:ilvl w:val="1"/>
          <w:numId w:val="3"/>
        </w:numPr>
        <w:rPr>
          <w:rFonts w:asciiTheme="majorHAnsi" w:hAnsiTheme="majorHAnsi"/>
          <w:szCs w:val="18"/>
        </w:rPr>
      </w:pPr>
      <w:r w:rsidRPr="00676A7A">
        <w:rPr>
          <w:rFonts w:asciiTheme="majorHAnsi" w:hAnsiTheme="majorHAnsi"/>
          <w:szCs w:val="18"/>
        </w:rPr>
        <w:t xml:space="preserve">Subjects </w:t>
      </w:r>
      <w:r w:rsidR="006540D6" w:rsidRPr="00676A7A">
        <w:rPr>
          <w:rFonts w:asciiTheme="majorHAnsi" w:hAnsiTheme="majorHAnsi"/>
          <w:szCs w:val="18"/>
        </w:rPr>
        <w:t>are</w:t>
      </w:r>
      <w:r w:rsidR="006540D6" w:rsidRPr="00676A7A">
        <w:rPr>
          <w:rFonts w:asciiTheme="majorHAnsi" w:hAnsiTheme="majorHAnsi"/>
          <w:b/>
          <w:bCs/>
          <w:szCs w:val="18"/>
        </w:rPr>
        <w:t xml:space="preserve"> significantly lower</w:t>
      </w:r>
      <w:r w:rsidRPr="00676A7A">
        <w:rPr>
          <w:rFonts w:asciiTheme="majorHAnsi" w:hAnsiTheme="majorHAnsi"/>
          <w:b/>
          <w:bCs/>
          <w:szCs w:val="18"/>
        </w:rPr>
        <w:t xml:space="preserve"> in Consistency at </w:t>
      </w:r>
      <w:r w:rsidR="006540D6" w:rsidRPr="00676A7A">
        <w:rPr>
          <w:rFonts w:asciiTheme="majorHAnsi" w:hAnsiTheme="majorHAnsi"/>
          <w:b/>
          <w:bCs/>
          <w:szCs w:val="18"/>
        </w:rPr>
        <w:t xml:space="preserve">both </w:t>
      </w:r>
      <w:r w:rsidRPr="00676A7A">
        <w:rPr>
          <w:rFonts w:asciiTheme="majorHAnsi" w:hAnsiTheme="majorHAnsi"/>
          <w:b/>
          <w:bCs/>
          <w:szCs w:val="18"/>
        </w:rPr>
        <w:t xml:space="preserve">51h </w:t>
      </w:r>
      <w:r w:rsidR="006540D6" w:rsidRPr="00676A7A">
        <w:rPr>
          <w:rFonts w:asciiTheme="majorHAnsi" w:hAnsiTheme="majorHAnsi"/>
          <w:b/>
          <w:bCs/>
          <w:szCs w:val="18"/>
        </w:rPr>
        <w:t>and 75h TSD</w:t>
      </w:r>
      <w:r w:rsidRPr="00676A7A">
        <w:rPr>
          <w:rFonts w:asciiTheme="majorHAnsi" w:hAnsiTheme="majorHAnsi"/>
          <w:szCs w:val="18"/>
        </w:rPr>
        <w:t xml:space="preserve">, relative to Baseline </w:t>
      </w:r>
    </w:p>
    <w:p w14:paraId="3FD4D962" w14:textId="77777777" w:rsidR="00B358CE" w:rsidRPr="00676A7A" w:rsidRDefault="00B358CE" w:rsidP="00B358CE">
      <w:pPr>
        <w:pStyle w:val="ListParagraph"/>
        <w:numPr>
          <w:ilvl w:val="0"/>
          <w:numId w:val="3"/>
        </w:numPr>
        <w:rPr>
          <w:rFonts w:asciiTheme="majorHAnsi" w:hAnsiTheme="majorHAnsi"/>
          <w:szCs w:val="18"/>
        </w:rPr>
      </w:pPr>
      <w:r w:rsidRPr="00676A7A">
        <w:rPr>
          <w:rFonts w:asciiTheme="majorHAnsi" w:hAnsiTheme="majorHAnsi"/>
          <w:szCs w:val="18"/>
        </w:rPr>
        <w:t>Post-hoc contrasts show:</w:t>
      </w:r>
    </w:p>
    <w:p w14:paraId="352B8B5D" w14:textId="26077680" w:rsidR="00B358CE" w:rsidRPr="00676A7A" w:rsidRDefault="006540D6" w:rsidP="00B358CE">
      <w:pPr>
        <w:pStyle w:val="ListParagraph"/>
        <w:numPr>
          <w:ilvl w:val="1"/>
          <w:numId w:val="3"/>
        </w:numPr>
        <w:rPr>
          <w:rFonts w:asciiTheme="majorHAnsi" w:hAnsiTheme="majorHAnsi"/>
          <w:b/>
          <w:bCs/>
          <w:szCs w:val="18"/>
        </w:rPr>
      </w:pPr>
      <w:r w:rsidRPr="00676A7A">
        <w:rPr>
          <w:rFonts w:asciiTheme="majorHAnsi" w:hAnsiTheme="majorHAnsi"/>
          <w:b/>
          <w:bCs/>
          <w:szCs w:val="18"/>
        </w:rPr>
        <w:t>No meaningful difference in Value Sensitivity between Baseline and 51h TSD, but sig. decrease from 51h – 75 TSD</w:t>
      </w:r>
    </w:p>
    <w:p w14:paraId="462CE815" w14:textId="54204A7F" w:rsidR="00B358CE" w:rsidRPr="00676A7A" w:rsidRDefault="006540D6" w:rsidP="00B358CE">
      <w:pPr>
        <w:pStyle w:val="ListParagraph"/>
        <w:numPr>
          <w:ilvl w:val="1"/>
          <w:numId w:val="3"/>
        </w:numPr>
        <w:rPr>
          <w:rFonts w:asciiTheme="majorHAnsi" w:hAnsiTheme="majorHAnsi"/>
          <w:b/>
          <w:bCs/>
          <w:szCs w:val="18"/>
        </w:rPr>
      </w:pPr>
      <w:r w:rsidRPr="00676A7A">
        <w:rPr>
          <w:rFonts w:asciiTheme="majorHAnsi" w:hAnsiTheme="majorHAnsi"/>
          <w:b/>
          <w:bCs/>
          <w:szCs w:val="18"/>
        </w:rPr>
        <w:t>Significant decrease in Consistency from Baseline – 51h TSD, no meaningful difference between 51h – 75h TSD</w:t>
      </w:r>
    </w:p>
    <w:p w14:paraId="241E9D2F" w14:textId="42E79739" w:rsidR="00851D39" w:rsidRPr="00676A7A" w:rsidRDefault="00851D39" w:rsidP="00B358CE">
      <w:pPr>
        <w:pStyle w:val="ListParagraph"/>
        <w:numPr>
          <w:ilvl w:val="1"/>
          <w:numId w:val="3"/>
        </w:numPr>
        <w:rPr>
          <w:rFonts w:asciiTheme="majorHAnsi" w:hAnsiTheme="majorHAnsi"/>
          <w:sz w:val="22"/>
          <w:szCs w:val="20"/>
        </w:rPr>
      </w:pPr>
      <w:r w:rsidRPr="00676A7A">
        <w:rPr>
          <w:rFonts w:asciiTheme="majorHAnsi" w:hAnsiTheme="majorHAnsi"/>
          <w:sz w:val="22"/>
          <w:szCs w:val="20"/>
        </w:rPr>
        <w:br w:type="page"/>
      </w:r>
    </w:p>
    <w:p w14:paraId="1F06F225" w14:textId="784191F8" w:rsidR="00357036" w:rsidRDefault="00357036" w:rsidP="00FF7FFE">
      <w:pPr>
        <w:pStyle w:val="Heading2"/>
      </w:pPr>
      <w:r>
        <w:lastRenderedPageBreak/>
        <w:t xml:space="preserve">Value plus Sequential Exploration model </w:t>
      </w:r>
    </w:p>
    <w:p w14:paraId="506FF4F0" w14:textId="323429BF" w:rsidR="00726F49" w:rsidRPr="00726F49" w:rsidRDefault="009011FF" w:rsidP="00726F49">
      <w:r>
        <w:t xml:space="preserve">The VSE model has 5 free parameters, and two over-arching cognitive components (exploitation and exploration). </w:t>
      </w:r>
      <w:r w:rsidR="00851D39">
        <w:t xml:space="preserve">Its basis is to capture </w:t>
      </w:r>
      <w:r w:rsidR="00FF7FFE">
        <w:t xml:space="preserve">exploratory, </w:t>
      </w:r>
      <w:r w:rsidR="00851D39">
        <w:t xml:space="preserve">information-seeking behaviour (in addition to value exploitation), which </w:t>
      </w:r>
      <w:r w:rsidR="00857EE7">
        <w:t xml:space="preserve">previous </w:t>
      </w:r>
      <w:r w:rsidR="00851D39">
        <w:t>cognitive process models</w:t>
      </w:r>
      <w:r w:rsidR="00857EE7">
        <w:t xml:space="preserve"> of the IGT</w:t>
      </w:r>
      <w:r w:rsidR="00851D39">
        <w:t xml:space="preserve"> don’t do adequately.</w:t>
      </w:r>
      <w:r w:rsidR="00726F49">
        <w:t xml:space="preserve"> </w:t>
      </w:r>
    </w:p>
    <w:p w14:paraId="4F8415C0" w14:textId="42E396AE" w:rsidR="00357036" w:rsidRDefault="00726870" w:rsidP="00357036">
      <w:pPr>
        <w:pStyle w:val="Heading3"/>
      </w:pPr>
      <w:r>
        <w:t xml:space="preserve">1. </w:t>
      </w:r>
      <w:r w:rsidR="00357036">
        <w:t>Exploitation Weights</w:t>
      </w:r>
    </w:p>
    <w:p w14:paraId="079FE74D" w14:textId="02E62AF6" w:rsidR="00357036" w:rsidRPr="00726870" w:rsidRDefault="00357036" w:rsidP="00357036">
      <w:r>
        <w:t>Exploitation weights determine the degree to which each deck is likely to be repeatedly selected because of its value.</w:t>
      </w:r>
      <w:r w:rsidR="00726870">
        <w:t xml:space="preserve"> Exploitation weights for each deck are initialised as 0 at the start of the task (trial </w:t>
      </w:r>
      <w:r w:rsidR="00726870">
        <w:rPr>
          <w:i/>
          <w:iCs/>
        </w:rPr>
        <w:t>t</w:t>
      </w:r>
      <w:r w:rsidR="00726870">
        <w:t xml:space="preserve"> = 0).</w:t>
      </w:r>
    </w:p>
    <w:p w14:paraId="091CE55B" w14:textId="0E6A29F5" w:rsidR="00357036" w:rsidRDefault="00357036" w:rsidP="00357036">
      <w:r>
        <w:t xml:space="preserve">The value of </w:t>
      </w:r>
      <w:r w:rsidR="00851D39">
        <w:t>the chosen deck</w:t>
      </w:r>
      <w:r>
        <w:rPr>
          <w:i/>
          <w:iCs/>
        </w:rPr>
        <w:t xml:space="preserve"> </w:t>
      </w:r>
      <w:r w:rsidR="00FD4C0F">
        <w:t xml:space="preserve">on trial </w:t>
      </w:r>
      <w:r w:rsidR="00FD4C0F">
        <w:rPr>
          <w:i/>
          <w:iCs/>
        </w:rPr>
        <w:t>t</w:t>
      </w:r>
      <w:r w:rsidR="00851D39">
        <w:rPr>
          <w:i/>
          <w:iCs/>
        </w:rPr>
        <w:t xml:space="preserve"> </w:t>
      </w:r>
      <w:r>
        <w:t>is given by the following equation:</w:t>
      </w:r>
    </w:p>
    <w:p w14:paraId="13915E2D" w14:textId="4D6C92EF" w:rsidR="00357036" w:rsidRPr="00823C9A" w:rsidRDefault="00FD4C0F" w:rsidP="00357036">
      <w:pPr>
        <w:rPr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gain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θ</m:t>
              </m:r>
            </m:sup>
          </m:sSup>
          <m:r>
            <w:rPr>
              <w:rFonts w:ascii="Cambria Math" w:hAnsi="Cambria Math"/>
              <w:sz w:val="22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loss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θ</m:t>
              </m:r>
            </m:sup>
          </m:sSup>
        </m:oMath>
      </m:oMathPara>
    </w:p>
    <w:p w14:paraId="4FE0C388" w14:textId="7A341BC3" w:rsidR="00FD4C0F" w:rsidRDefault="00FD4C0F" w:rsidP="00851D39">
      <w:pPr>
        <w:pStyle w:val="ListParagraph"/>
        <w:numPr>
          <w:ilvl w:val="0"/>
          <w:numId w:val="1"/>
        </w:numPr>
      </w:pPr>
      <w:r>
        <w:t xml:space="preserve">Where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θ</m:t>
        </m:r>
      </m:oMath>
      <w:r w:rsidRPr="00857EE7">
        <w:rPr>
          <w:color w:val="FF0000"/>
        </w:rPr>
        <w:t xml:space="preserve"> is the </w:t>
      </w:r>
      <w:r w:rsidRPr="00857EE7">
        <w:rPr>
          <w:b/>
          <w:bCs/>
          <w:color w:val="FF0000"/>
        </w:rPr>
        <w:t>value sensitivity</w:t>
      </w:r>
      <w:r w:rsidRPr="00857EE7">
        <w:rPr>
          <w:color w:val="FF0000"/>
        </w:rPr>
        <w:t xml:space="preserve"> parameter</w:t>
      </w:r>
      <w:r w:rsidR="00726870">
        <w:t>, bounded between 0 and 1.</w:t>
      </w:r>
      <w:r w:rsidR="00851D39">
        <w:t xml:space="preserve"> Higher values indicate </w:t>
      </w:r>
      <w:r w:rsidR="00F14476">
        <w:t>greater</w:t>
      </w:r>
      <w:r w:rsidR="00851D39">
        <w:t xml:space="preserve"> sensitivity to the </w:t>
      </w:r>
      <w:r w:rsidR="00F14476">
        <w:t>gain/loss amounts obtained on</w:t>
      </w:r>
      <w:r w:rsidR="00851D39">
        <w:t xml:space="preserve"> each trial.</w:t>
      </w:r>
    </w:p>
    <w:p w14:paraId="59CF1BE0" w14:textId="42E1B9ED" w:rsidR="00FD4C0F" w:rsidRDefault="00FD4C0F">
      <w:r>
        <w:t xml:space="preserve">On each trial, the exploitation weight of deck </w:t>
      </w:r>
      <w:r>
        <w:rPr>
          <w:i/>
          <w:iCs/>
        </w:rPr>
        <w:t>d</w:t>
      </w:r>
      <w:r>
        <w:t xml:space="preserve"> (</w:t>
      </w:r>
      <w:proofErr w:type="spellStart"/>
      <w:r w:rsidRPr="00FD4C0F">
        <w:rPr>
          <w:i/>
          <w:iCs/>
        </w:rPr>
        <w:t>exploit</w:t>
      </w:r>
      <w:r w:rsidRPr="00FD4C0F">
        <w:rPr>
          <w:i/>
          <w:iCs/>
          <w:vertAlign w:val="superscript"/>
        </w:rPr>
        <w:t>d</w:t>
      </w:r>
      <w:proofErr w:type="spellEnd"/>
      <w:r>
        <w:t xml:space="preserve">) is updated </w:t>
      </w:r>
      <w:r w:rsidR="00C616A0">
        <w:rPr>
          <w:lang w:val="en-SG"/>
        </w:rPr>
        <w:t xml:space="preserve">for trial </w:t>
      </w:r>
      <w:r w:rsidR="00C616A0">
        <w:rPr>
          <w:i/>
          <w:iCs/>
          <w:lang w:val="en-SG"/>
        </w:rPr>
        <w:t xml:space="preserve">t + </w:t>
      </w:r>
      <w:r w:rsidR="00C616A0">
        <w:rPr>
          <w:lang w:val="en-SG"/>
        </w:rPr>
        <w:t xml:space="preserve">1 </w:t>
      </w:r>
      <w:r>
        <w:t>as follows:</w:t>
      </w:r>
    </w:p>
    <w:p w14:paraId="52C3AA68" w14:textId="46C0CA9C" w:rsidR="00357036" w:rsidRPr="00823C9A" w:rsidRDefault="00000000" w:rsidP="00FD4C0F">
      <w:pPr>
        <w:jc w:val="center"/>
        <w:rPr>
          <w:sz w:val="22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4"/>
                </w:rPr>
                <m:t>exploit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t</m:t>
              </m:r>
              <m:r>
                <w:rPr>
                  <w:rFonts w:ascii="Cambria Math" w:hAnsi="Cambria Math"/>
                  <w:sz w:val="22"/>
                  <w:szCs w:val="24"/>
                  <w:lang w:val="en-SG"/>
                </w:rPr>
                <m:t>+1</m:t>
              </m:r>
            </m:sub>
            <m:sup>
              <m:r>
                <w:rPr>
                  <w:rFonts w:ascii="Cambria Math" w:hAnsi="Cambria Math"/>
                  <w:sz w:val="22"/>
                  <w:szCs w:val="24"/>
                </w:rPr>
                <m:t>d</m:t>
              </m:r>
            </m:sup>
          </m:sSubSup>
          <m:r>
            <w:rPr>
              <w:rFonts w:ascii="Cambria Math" w:hAnsi="Cambria Math"/>
              <w:sz w:val="22"/>
              <w:szCs w:val="24"/>
              <w:lang w:val="en-SG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exploit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d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4"/>
                      <w:lang w:val="en-SG"/>
                    </w:rPr>
                    <m:t>×</m:t>
                  </m:r>
                  <m:r>
                    <w:rPr>
                      <w:rFonts w:ascii="Cambria Math" w:hAnsi="Cambria Math"/>
                      <w:sz w:val="22"/>
                      <w:szCs w:val="24"/>
                    </w:rPr>
                    <m:t>γ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exploit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d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4"/>
                      <w:lang w:val="en-SG"/>
                    </w:rPr>
                    <m:t>×</m:t>
                  </m:r>
                  <m:r>
                    <w:rPr>
                      <w:rFonts w:ascii="Cambria Math" w:hAnsi="Cambria Math"/>
                      <w:sz w:val="22"/>
                      <w:szCs w:val="24"/>
                    </w:rPr>
                    <m:t>γ</m:t>
                  </m:r>
                  <m:r>
                    <w:rPr>
                      <w:rFonts w:ascii="Cambria Math" w:hAnsi="Cambria Math"/>
                      <w:sz w:val="22"/>
                      <w:szCs w:val="24"/>
                      <w:lang w:val="en-SG"/>
                    </w:rPr>
                    <m:t>+</m:t>
                  </m:r>
                  <m:r>
                    <w:rPr>
                      <w:rFonts w:ascii="Cambria Math" w:hAnsi="Cambria Math"/>
                      <w:sz w:val="22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  <w:sz w:val="22"/>
              <w:szCs w:val="24"/>
            </w:rPr>
            <m:t xml:space="preserve">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2"/>
                    <w:szCs w:val="24"/>
                  </w:rPr>
                  <m:t>if not chosen</m:t>
                </m:r>
              </m:e>
            </m:mr>
            <m:mr>
              <m:e>
                <m:r>
                  <w:rPr>
                    <w:rFonts w:ascii="Cambria Math" w:hAnsi="Cambria Math"/>
                    <w:sz w:val="22"/>
                    <w:szCs w:val="24"/>
                  </w:rPr>
                  <m:t>if chosen</m:t>
                </m:r>
              </m:e>
            </m:mr>
          </m:m>
        </m:oMath>
      </m:oMathPara>
    </w:p>
    <w:p w14:paraId="46F56693" w14:textId="5E6CB982" w:rsidR="00726870" w:rsidRPr="00851D39" w:rsidRDefault="00726870" w:rsidP="00851D39">
      <w:pPr>
        <w:pStyle w:val="ListParagraph"/>
        <w:numPr>
          <w:ilvl w:val="0"/>
          <w:numId w:val="1"/>
        </w:numPr>
        <w:rPr>
          <w:bCs/>
          <w:lang w:val="en-SG"/>
        </w:rPr>
      </w:pPr>
      <w:r>
        <w:t xml:space="preserve">Where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γ</m:t>
        </m:r>
      </m:oMath>
      <w:r w:rsidRPr="00857EE7">
        <w:rPr>
          <w:color w:val="FF0000"/>
        </w:rPr>
        <w:t xml:space="preserve"> is the </w:t>
      </w:r>
      <w:r w:rsidRPr="00857EE7">
        <w:rPr>
          <w:b/>
          <w:bCs/>
          <w:color w:val="FF0000"/>
        </w:rPr>
        <w:t>decay rate</w:t>
      </w:r>
      <w:r w:rsidRPr="00857EE7">
        <w:rPr>
          <w:color w:val="FF0000"/>
        </w:rPr>
        <w:t xml:space="preserve"> parameter</w:t>
      </w:r>
      <w:r>
        <w:t>, bounded between 0 and 1.</w:t>
      </w:r>
      <w:r w:rsidR="00851D39">
        <w:t xml:space="preserve"> </w:t>
      </w:r>
      <m:oMath>
        <m:r>
          <m:rPr>
            <m:sty m:val="bi"/>
          </m:rPr>
          <w:rPr>
            <w:rFonts w:ascii="Cambria Math" w:hAnsi="Cambria Math"/>
          </w:rPr>
          <m:t>γ=1</m:t>
        </m:r>
      </m:oMath>
      <w:r w:rsidR="00851D39" w:rsidRPr="00851D39">
        <w:rPr>
          <w:b/>
        </w:rPr>
        <w:t xml:space="preserve"> </w:t>
      </w:r>
      <w:r w:rsidR="00851D39" w:rsidRPr="00851D39">
        <w:rPr>
          <w:bCs/>
        </w:rPr>
        <w:t>indicates perfect retention of deck expected values</w:t>
      </w:r>
      <w:r w:rsidR="00ED174C">
        <w:rPr>
          <w:bCs/>
        </w:rPr>
        <w:t>,</w:t>
      </w:r>
      <w:r w:rsidR="00851D39" w:rsidRPr="00851D39">
        <w:rPr>
          <w:bCs/>
        </w:rPr>
        <w:t xml:space="preserve"> and lower values indicate faster “forgetting” of expected values</w:t>
      </w:r>
      <w:r w:rsidR="00ED174C">
        <w:rPr>
          <w:bCs/>
        </w:rPr>
        <w:t>,</w:t>
      </w:r>
      <w:r w:rsidR="00851D39" w:rsidRPr="00851D39">
        <w:rPr>
          <w:bCs/>
        </w:rPr>
        <w:t xml:space="preserve"> akin to a working memory component.</w:t>
      </w:r>
    </w:p>
    <w:p w14:paraId="138768C1" w14:textId="1F60F4BF" w:rsidR="00FD4C0F" w:rsidRPr="00FD4C0F" w:rsidRDefault="00726870" w:rsidP="00FD4C0F">
      <w:pPr>
        <w:pStyle w:val="Heading3"/>
        <w:rPr>
          <w:lang w:val="en-SG"/>
        </w:rPr>
      </w:pPr>
      <w:r>
        <w:rPr>
          <w:lang w:val="en-SG"/>
        </w:rPr>
        <w:t xml:space="preserve">2. </w:t>
      </w:r>
      <w:r w:rsidR="00FD4C0F" w:rsidRPr="00FD4C0F">
        <w:rPr>
          <w:lang w:val="en-SG"/>
        </w:rPr>
        <w:t>Exploration Weights</w:t>
      </w:r>
    </w:p>
    <w:p w14:paraId="05337F17" w14:textId="0F1B07A1" w:rsidR="00726870" w:rsidRDefault="00FD4C0F">
      <w:pPr>
        <w:rPr>
          <w:lang w:val="en-SG"/>
        </w:rPr>
      </w:pPr>
      <w:r w:rsidRPr="00FD4C0F">
        <w:rPr>
          <w:lang w:val="en-SG"/>
        </w:rPr>
        <w:t>Exploration weights d</w:t>
      </w:r>
      <w:r>
        <w:rPr>
          <w:lang w:val="en-SG"/>
        </w:rPr>
        <w:t xml:space="preserve">etermine the degree to which each deck is likely chosen due to “goal-directed exploration”, i.e., information seeking behaviour, </w:t>
      </w:r>
      <w:r w:rsidRPr="00851D39">
        <w:rPr>
          <w:i/>
          <w:iCs/>
          <w:lang w:val="en-SG"/>
        </w:rPr>
        <w:t>independent of deck values</w:t>
      </w:r>
      <w:r>
        <w:rPr>
          <w:lang w:val="en-SG"/>
        </w:rPr>
        <w:t xml:space="preserve"> (see </w:t>
      </w:r>
      <w:hyperlink r:id="rId10" w:history="1">
        <w:r w:rsidRPr="00FD4C0F">
          <w:rPr>
            <w:rStyle w:val="Hyperlink"/>
            <w:lang w:val="en-SG"/>
          </w:rPr>
          <w:t>Wilson et al., 2014</w:t>
        </w:r>
      </w:hyperlink>
      <w:r>
        <w:rPr>
          <w:lang w:val="en-SG"/>
        </w:rPr>
        <w:t xml:space="preserve">). </w:t>
      </w:r>
      <w:r w:rsidR="00726870">
        <w:rPr>
          <w:lang w:val="en-SG"/>
        </w:rPr>
        <w:t xml:space="preserve">Exploration weights </w:t>
      </w:r>
      <w:r w:rsidR="00FF7FFE">
        <w:rPr>
          <w:lang w:val="en-SG"/>
        </w:rPr>
        <w:t xml:space="preserve">for each deck </w:t>
      </w:r>
      <w:r w:rsidR="00726870">
        <w:rPr>
          <w:lang w:val="en-SG"/>
        </w:rPr>
        <w:t xml:space="preserve">are initialised as the subject’s exploration bonus parameter </w:t>
      </w:r>
      <m:oMath>
        <m:r>
          <w:rPr>
            <w:rFonts w:ascii="Cambria Math" w:hAnsi="Cambria Math"/>
          </w:rPr>
          <m:t>φ</m:t>
        </m:r>
      </m:oMath>
      <w:r w:rsidR="00726870">
        <w:rPr>
          <w:lang w:val="en-SG"/>
        </w:rPr>
        <w:t xml:space="preserve"> value at the start of the task. </w:t>
      </w:r>
    </w:p>
    <w:p w14:paraId="62ED3C6C" w14:textId="3D5281F7" w:rsidR="00726870" w:rsidRDefault="00726870">
      <w:pPr>
        <w:rPr>
          <w:lang w:val="en-SG"/>
        </w:rPr>
      </w:pPr>
      <w:r>
        <w:rPr>
          <w:lang w:val="en-SG"/>
        </w:rPr>
        <w:t xml:space="preserve">On each trial, the exploration weight of deck </w:t>
      </w:r>
      <w:r>
        <w:rPr>
          <w:i/>
          <w:iCs/>
          <w:lang w:val="en-SG"/>
        </w:rPr>
        <w:t>d</w:t>
      </w:r>
      <w:r>
        <w:rPr>
          <w:lang w:val="en-SG"/>
        </w:rPr>
        <w:t xml:space="preserve"> (</w:t>
      </w:r>
      <w:r w:rsidRPr="00726870">
        <w:rPr>
          <w:i/>
          <w:iCs/>
          <w:lang w:val="en-SG"/>
        </w:rPr>
        <w:t>explore</w:t>
      </w:r>
      <w:r w:rsidRPr="00726870">
        <w:rPr>
          <w:i/>
          <w:iCs/>
          <w:vertAlign w:val="superscript"/>
          <w:lang w:val="en-SG"/>
        </w:rPr>
        <w:t>d</w:t>
      </w:r>
      <w:r>
        <w:rPr>
          <w:lang w:val="en-SG"/>
        </w:rPr>
        <w:t>) is updated</w:t>
      </w:r>
      <w:r w:rsidR="00C616A0">
        <w:rPr>
          <w:lang w:val="en-SG"/>
        </w:rPr>
        <w:t xml:space="preserve"> for trial </w:t>
      </w:r>
      <w:r w:rsidR="00C616A0">
        <w:rPr>
          <w:i/>
          <w:iCs/>
          <w:lang w:val="en-SG"/>
        </w:rPr>
        <w:t xml:space="preserve">t + </w:t>
      </w:r>
      <w:r w:rsidR="00C616A0">
        <w:rPr>
          <w:lang w:val="en-SG"/>
        </w:rPr>
        <w:t>1</w:t>
      </w:r>
      <w:r>
        <w:rPr>
          <w:lang w:val="en-SG"/>
        </w:rPr>
        <w:t xml:space="preserve"> as follows:</w:t>
      </w:r>
    </w:p>
    <w:p w14:paraId="6641D9CD" w14:textId="1DD6C007" w:rsidR="00726870" w:rsidRPr="00823C9A" w:rsidRDefault="00000000" w:rsidP="00726870">
      <w:pPr>
        <w:jc w:val="center"/>
        <w:rPr>
          <w:sz w:val="22"/>
          <w:szCs w:val="28"/>
          <w:lang w:val="en-SG"/>
        </w:rPr>
      </w:pPr>
      <m:oMathPara>
        <m:oMath>
          <m:sSubSup>
            <m:sSubSupPr>
              <m:ctrlPr>
                <w:rPr>
                  <w:rFonts w:ascii="Cambria Math" w:eastAsiaTheme="majorEastAsia" w:hAnsi="Cambria Math"/>
                  <w:i/>
                  <w:sz w:val="22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/>
                  <w:sz w:val="22"/>
                  <w:szCs w:val="28"/>
                </w:rPr>
                <m:t>explore</m:t>
              </m:r>
            </m:e>
            <m:sub>
              <m:r>
                <w:rPr>
                  <w:rFonts w:ascii="Cambria Math" w:eastAsiaTheme="majorEastAsia" w:hAnsi="Cambria Math"/>
                  <w:sz w:val="22"/>
                  <w:szCs w:val="28"/>
                </w:rPr>
                <m:t>t</m:t>
              </m:r>
              <m:r>
                <w:rPr>
                  <w:rFonts w:ascii="Cambria Math" w:eastAsiaTheme="majorEastAsia" w:hAnsi="Cambria Math"/>
                  <w:sz w:val="22"/>
                  <w:szCs w:val="28"/>
                  <w:lang w:val="en-SG"/>
                </w:rPr>
                <m:t>+1</m:t>
              </m:r>
            </m:sub>
            <m:sup>
              <m:r>
                <w:rPr>
                  <w:rFonts w:ascii="Cambria Math" w:eastAsiaTheme="majorEastAsia" w:hAnsi="Cambria Math"/>
                  <w:sz w:val="22"/>
                  <w:szCs w:val="28"/>
                </w:rPr>
                <m:t>d</m:t>
              </m:r>
            </m:sup>
          </m:sSubSup>
          <m:r>
            <w:rPr>
              <w:rFonts w:ascii="Cambria Math" w:eastAsiaTheme="majorEastAsia" w:hAnsi="Cambria Math"/>
              <w:sz w:val="22"/>
              <w:szCs w:val="28"/>
              <w:lang w:val="en-SG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/>
                  <w:i/>
                  <w:sz w:val="2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/>
                      <w:i/>
                      <w:sz w:val="22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ajorEastAsia" w:hAnsi="Cambria Math"/>
                            <w:i/>
                            <w:sz w:val="22"/>
                            <w:szCs w:val="28"/>
                          </w:rPr>
                        </m:ctrlPr>
                      </m:sSubSupPr>
                      <m:e>
                        <m:sSubSup>
                          <m:sSubSupPr>
                            <m:ctrlPr>
                              <w:rPr>
                                <w:rFonts w:ascii="Cambria Math" w:eastAsiaTheme="majorEastAsia" w:hAnsi="Cambria Math"/>
                                <w:i/>
                                <w:sz w:val="22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ajorEastAsia" w:hAnsi="Cambria Math"/>
                                <w:sz w:val="22"/>
                                <w:szCs w:val="28"/>
                              </w:rPr>
                              <m:t>explore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sz w:val="22"/>
                                <w:szCs w:val="2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ajorEastAsia" w:hAnsi="Cambria Math"/>
                                <w:sz w:val="22"/>
                                <w:szCs w:val="28"/>
                              </w:rPr>
                              <m:t>d</m:t>
                            </m:r>
                          </m:sup>
                        </m:sSubSup>
                        <m:r>
                          <w:rPr>
                            <w:rFonts w:ascii="Cambria Math" w:eastAsiaTheme="majorEastAsia" w:hAnsi="Cambria Math"/>
                            <w:sz w:val="22"/>
                            <w:szCs w:val="28"/>
                          </w:rPr>
                          <m:t>+ η∙(φ-explore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22"/>
                            <w:szCs w:val="2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ajorEastAsia" w:hAnsi="Cambria Math"/>
                            <w:sz w:val="22"/>
                            <w:szCs w:val="28"/>
                          </w:rPr>
                          <m:t>d</m:t>
                        </m:r>
                      </m:sup>
                    </m:sSubSup>
                    <m:r>
                      <w:rPr>
                        <w:rFonts w:ascii="Cambria Math" w:eastAsiaTheme="majorEastAsia" w:hAnsi="Cambria Math"/>
                        <w:sz w:val="22"/>
                        <w:szCs w:val="28"/>
                        <w:lang w:val="en-SG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/>
                        <w:sz w:val="22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ajorEastAsia" w:hAnsi="Cambria Math"/>
              <w:sz w:val="22"/>
              <w:szCs w:val="28"/>
            </w:rPr>
            <m:t xml:space="preserve">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ajorEastAsia" w:hAnsi="Cambria Math"/>
                  <w:i/>
                  <w:sz w:val="22"/>
                  <w:szCs w:val="28"/>
                </w:rPr>
              </m:ctrlPr>
            </m:mPr>
            <m:mr>
              <m:e>
                <m:r>
                  <w:rPr>
                    <w:rFonts w:ascii="Cambria Math" w:eastAsiaTheme="majorEastAsia" w:hAnsi="Cambria Math"/>
                    <w:sz w:val="22"/>
                    <w:szCs w:val="28"/>
                  </w:rPr>
                  <m:t>if not chosen</m:t>
                </m:r>
              </m:e>
            </m:mr>
            <m:mr>
              <m:e>
                <m:r>
                  <w:rPr>
                    <w:rFonts w:ascii="Cambria Math" w:eastAsiaTheme="majorEastAsia" w:hAnsi="Cambria Math"/>
                    <w:sz w:val="22"/>
                    <w:szCs w:val="28"/>
                  </w:rPr>
                  <m:t>if chosen</m:t>
                </m:r>
              </m:e>
            </m:mr>
          </m:m>
        </m:oMath>
      </m:oMathPara>
    </w:p>
    <w:p w14:paraId="4DD9FB10" w14:textId="77777777" w:rsidR="00726870" w:rsidRDefault="00726870">
      <w:pPr>
        <w:rPr>
          <w:lang w:val="en-SG"/>
        </w:rPr>
      </w:pPr>
    </w:p>
    <w:p w14:paraId="4416A13F" w14:textId="77777777" w:rsidR="00851D39" w:rsidRDefault="00726870" w:rsidP="00851D39">
      <w:pPr>
        <w:pStyle w:val="ListParagraph"/>
        <w:numPr>
          <w:ilvl w:val="0"/>
          <w:numId w:val="1"/>
        </w:numPr>
      </w:pPr>
      <w:r w:rsidRPr="00851D39">
        <w:rPr>
          <w:lang w:val="en-SG"/>
        </w:rPr>
        <w:t xml:space="preserve">Where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φ</m:t>
        </m:r>
      </m:oMath>
      <w:r w:rsidRPr="00857EE7">
        <w:rPr>
          <w:color w:val="FF0000"/>
        </w:rPr>
        <w:t xml:space="preserve"> is the </w:t>
      </w:r>
      <w:r w:rsidRPr="00857EE7">
        <w:rPr>
          <w:b/>
          <w:bCs/>
          <w:color w:val="FF0000"/>
        </w:rPr>
        <w:t>exploration bonus</w:t>
      </w:r>
      <w:r w:rsidRPr="00857EE7">
        <w:rPr>
          <w:color w:val="FF0000"/>
        </w:rPr>
        <w:t xml:space="preserve"> parameter</w:t>
      </w:r>
      <w:r>
        <w:t xml:space="preserve">, unbounded. Positive values indicate tendency to </w:t>
      </w:r>
      <w:r w:rsidRPr="00851D39">
        <w:rPr>
          <w:b/>
          <w:bCs/>
          <w:i/>
          <w:iCs/>
        </w:rPr>
        <w:t>explore</w:t>
      </w:r>
      <w:r>
        <w:t>, while negative values indicate a more exploitative choice pattern.</w:t>
      </w:r>
    </w:p>
    <w:p w14:paraId="1AAD56C2" w14:textId="3092FF02" w:rsidR="00726870" w:rsidRDefault="00857EE7" w:rsidP="00851D39">
      <w:pPr>
        <w:pStyle w:val="ListParagraph"/>
        <w:numPr>
          <w:ilvl w:val="0"/>
          <w:numId w:val="1"/>
        </w:numPr>
      </w:pPr>
      <w:r w:rsidRPr="00857EE7">
        <w:rPr>
          <w:bCs/>
        </w:rPr>
        <w:lastRenderedPageBreak/>
        <w:t xml:space="preserve">And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η</m:t>
        </m:r>
      </m:oMath>
      <w:r w:rsidR="00726870" w:rsidRPr="00857EE7">
        <w:rPr>
          <w:b/>
          <w:bCs/>
          <w:color w:val="FF0000"/>
        </w:rPr>
        <w:t xml:space="preserve"> </w:t>
      </w:r>
      <w:r w:rsidR="00726870" w:rsidRPr="00857EE7">
        <w:rPr>
          <w:color w:val="FF0000"/>
        </w:rPr>
        <w:t xml:space="preserve">is the </w:t>
      </w:r>
      <w:r w:rsidR="00851D39" w:rsidRPr="00857EE7">
        <w:rPr>
          <w:b/>
          <w:bCs/>
          <w:color w:val="FF0000"/>
        </w:rPr>
        <w:t>exploration update</w:t>
      </w:r>
      <w:r w:rsidR="00726870" w:rsidRPr="00857EE7">
        <w:rPr>
          <w:color w:val="FF0000"/>
        </w:rPr>
        <w:t xml:space="preserve"> parameter</w:t>
      </w:r>
      <w:r w:rsidR="00726870">
        <w:t>,</w:t>
      </w:r>
      <w:r>
        <w:t xml:space="preserve"> bounded 0-1,</w:t>
      </w:r>
      <w:r w:rsidR="00726870">
        <w:t xml:space="preserve"> controlling the degree to which</w:t>
      </w:r>
      <w:r>
        <w:t xml:space="preserve"> subjects return to their baseline tendency to explore other deck options </w:t>
      </w:r>
      <w:r w:rsidR="00851D39">
        <w:t>(higher  = faster return)</w:t>
      </w:r>
      <w:r w:rsidR="00726870">
        <w:t xml:space="preserve">. </w:t>
      </w:r>
    </w:p>
    <w:p w14:paraId="6DEDBBB6" w14:textId="77777777" w:rsidR="00726F49" w:rsidRDefault="00726F49">
      <w:pPr>
        <w:rPr>
          <w:sz w:val="18"/>
          <w:szCs w:val="18"/>
        </w:rPr>
      </w:pPr>
    </w:p>
    <w:p w14:paraId="48AD755E" w14:textId="1F580A44" w:rsidR="00726F49" w:rsidRDefault="00726F49" w:rsidP="00726F49">
      <w:pPr>
        <w:pStyle w:val="Heading3"/>
      </w:pPr>
      <w:r>
        <w:t xml:space="preserve">3. </w:t>
      </w:r>
      <w:proofErr w:type="spellStart"/>
      <w:r>
        <w:t>Softmax</w:t>
      </w:r>
      <w:proofErr w:type="spellEnd"/>
      <w:r>
        <w:t xml:space="preserve"> Choice Rule</w:t>
      </w:r>
    </w:p>
    <w:p w14:paraId="6AD537D6" w14:textId="374B4FE6" w:rsidR="00726F49" w:rsidRDefault="00857EE7" w:rsidP="00726F49">
      <w:r>
        <w:t>Incorporating both exploitation and exploration modules, t</w:t>
      </w:r>
      <w:r w:rsidR="00726F49">
        <w:t xml:space="preserve">he probability of selected deck </w:t>
      </w:r>
      <w:r w:rsidR="00726F49">
        <w:rPr>
          <w:i/>
          <w:iCs/>
        </w:rPr>
        <w:t>d</w:t>
      </w:r>
      <w:r w:rsidR="00726F49">
        <w:t xml:space="preserve"> on each trial is given as follows:</w:t>
      </w:r>
    </w:p>
    <w:p w14:paraId="259DFD66" w14:textId="1A26EAF0" w:rsidR="00726F49" w:rsidRPr="00823C9A" w:rsidRDefault="00726F49" w:rsidP="00726F49">
      <w:pPr>
        <w:rPr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choice=d</m:t>
              </m:r>
            </m:e>
          </m:d>
          <m:r>
            <w:rPr>
              <w:rFonts w:ascii="Cambria Math" w:hAnsi="Cambria Math"/>
              <w:sz w:val="22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exploit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d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explore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d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2"/>
                      <w:szCs w:val="24"/>
                    </w:rPr>
                    <m:t xml:space="preserve"> ∙ C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4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exploit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explore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 xml:space="preserve"> ∙ C</m:t>
                      </m:r>
                    </m:sup>
                  </m:sSup>
                </m:e>
              </m:nary>
            </m:den>
          </m:f>
        </m:oMath>
      </m:oMathPara>
    </w:p>
    <w:p w14:paraId="42719DF4" w14:textId="43A8EC8F" w:rsidR="009011FF" w:rsidRDefault="009011FF" w:rsidP="00857EE7">
      <w:pPr>
        <w:pStyle w:val="ListParagraph"/>
        <w:numPr>
          <w:ilvl w:val="0"/>
          <w:numId w:val="2"/>
        </w:numPr>
      </w:pPr>
      <w:r w:rsidRPr="00857EE7">
        <w:rPr>
          <w:lang w:val="en-SG"/>
        </w:rPr>
        <w:t xml:space="preserve">Where </w:t>
      </w:r>
      <w:r w:rsidRPr="00857EE7">
        <w:rPr>
          <w:b/>
          <w:bCs/>
          <w:i/>
          <w:iCs/>
          <w:color w:val="FF0000"/>
          <w:lang w:val="en-SG"/>
        </w:rPr>
        <w:t>C</w:t>
      </w:r>
      <w:r w:rsidRPr="00857EE7">
        <w:rPr>
          <w:color w:val="FF0000"/>
          <w:lang w:val="en-SG"/>
        </w:rPr>
        <w:t xml:space="preserve"> is the </w:t>
      </w:r>
      <w:r w:rsidRPr="00857EE7">
        <w:rPr>
          <w:b/>
          <w:bCs/>
          <w:color w:val="FF0000"/>
          <w:lang w:val="en-SG"/>
        </w:rPr>
        <w:t>consistency</w:t>
      </w:r>
      <w:r w:rsidRPr="00857EE7">
        <w:rPr>
          <w:color w:val="FF0000"/>
          <w:lang w:val="en-SG"/>
        </w:rPr>
        <w:t xml:space="preserve"> parameter</w:t>
      </w:r>
      <w:r w:rsidRPr="00857EE7">
        <w:rPr>
          <w:lang w:val="en-SG"/>
        </w:rPr>
        <w:t xml:space="preserve">, transformed from an inverse temperature free parameter </w:t>
      </w:r>
      <m:oMath>
        <m:r>
          <w:rPr>
            <w:rFonts w:ascii="Cambria Math" w:hAnsi="Cambria Math"/>
            <w:lang w:val="en-SG"/>
          </w:rPr>
          <m:t>β∈</m:t>
        </m:r>
        <m:d>
          <m:dPr>
            <m:ctrlPr>
              <w:rPr>
                <w:rFonts w:ascii="Cambria Math" w:hAnsi="Cambria Math"/>
                <w:i/>
                <w:lang w:val="en-SG"/>
              </w:rPr>
            </m:ctrlPr>
          </m:dPr>
          <m:e>
            <m:r>
              <w:rPr>
                <w:rFonts w:ascii="Cambria Math" w:hAnsi="Cambria Math"/>
                <w:lang w:val="en-SG"/>
              </w:rPr>
              <m:t>0, 5</m:t>
            </m:r>
          </m:e>
        </m:d>
      </m:oMath>
      <w:r w:rsidRPr="00857EE7">
        <w:rPr>
          <w:lang w:val="en-SG"/>
        </w:rPr>
        <w:t xml:space="preserve"> by the equation </w:t>
      </w:r>
      <m:oMath>
        <m:r>
          <w:rPr>
            <w:rFonts w:ascii="Cambria Math" w:hAnsi="Cambria Math"/>
          </w:rPr>
          <m:t>C=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-1</m:t>
        </m:r>
      </m:oMath>
      <w:r w:rsidR="00857EE7">
        <w:t>*</w:t>
      </w:r>
      <w:r>
        <w:t xml:space="preserve">. Higher values of </w:t>
      </w:r>
      <w:r w:rsidRPr="00857EE7">
        <w:rPr>
          <w:i/>
          <w:iCs/>
        </w:rPr>
        <w:t>C</w:t>
      </w:r>
      <w:r>
        <w:t xml:space="preserve"> indicate choices are more deterministic and show a higher degree of alignment with exploitation and exploration modules, whereas lower values of </w:t>
      </w:r>
      <w:r w:rsidRPr="00857EE7">
        <w:rPr>
          <w:i/>
          <w:iCs/>
        </w:rPr>
        <w:t>C</w:t>
      </w:r>
      <w:r>
        <w:t xml:space="preserve"> indicate more random choice patterns.</w:t>
      </w:r>
    </w:p>
    <w:p w14:paraId="764E3654" w14:textId="4BB5974E" w:rsidR="00857EE7" w:rsidRPr="00857EE7" w:rsidRDefault="00857EE7" w:rsidP="00857EE7">
      <w:pPr>
        <w:rPr>
          <w:szCs w:val="18"/>
        </w:rPr>
      </w:pPr>
      <w:r w:rsidRPr="00857EE7">
        <w:rPr>
          <w:szCs w:val="18"/>
        </w:rPr>
        <w:t xml:space="preserve">* </w:t>
      </w:r>
      <w:r w:rsidR="00A64D1E">
        <w:rPr>
          <w:szCs w:val="18"/>
        </w:rPr>
        <w:t xml:space="preserve">The original Ligneul (2019) paper approximated </w:t>
      </w:r>
      <m:oMath>
        <m:r>
          <w:rPr>
            <w:rFonts w:ascii="Cambria Math" w:hAnsi="Cambria Math"/>
            <w:szCs w:val="18"/>
            <w:lang w:val="en-SG"/>
          </w:rPr>
          <m:t>β</m:t>
        </m:r>
      </m:oMath>
      <w:r w:rsidR="00A64D1E" w:rsidRPr="00857EE7">
        <w:rPr>
          <w:szCs w:val="18"/>
          <w:lang w:val="en-SG"/>
        </w:rPr>
        <w:t xml:space="preserve"> and then transfor</w:t>
      </w:r>
      <w:r w:rsidR="00A64D1E">
        <w:rPr>
          <w:szCs w:val="18"/>
          <w:lang w:val="en-SG"/>
        </w:rPr>
        <w:t xml:space="preserve">med it to </w:t>
      </w:r>
      <w:r w:rsidR="00A64D1E">
        <w:rPr>
          <w:i/>
          <w:iCs/>
          <w:szCs w:val="18"/>
          <w:lang w:val="en-SG"/>
        </w:rPr>
        <w:t>C</w:t>
      </w:r>
      <w:r w:rsidR="00A64D1E">
        <w:rPr>
          <w:szCs w:val="18"/>
          <w:lang w:val="en-SG"/>
        </w:rPr>
        <w:t>.</w:t>
      </w:r>
      <w:r w:rsidR="00A64D1E">
        <w:rPr>
          <w:szCs w:val="18"/>
        </w:rPr>
        <w:t xml:space="preserve"> </w:t>
      </w:r>
      <w:r w:rsidRPr="00857EE7">
        <w:rPr>
          <w:szCs w:val="18"/>
        </w:rPr>
        <w:t>Fo</w:t>
      </w:r>
      <w:r>
        <w:rPr>
          <w:szCs w:val="18"/>
        </w:rPr>
        <w:t>r the sake of computational efficiency</w:t>
      </w:r>
      <w:r w:rsidRPr="00857EE7">
        <w:rPr>
          <w:szCs w:val="18"/>
        </w:rPr>
        <w:t xml:space="preserve">, I approximated </w:t>
      </w:r>
      <w:r w:rsidRPr="00857EE7">
        <w:rPr>
          <w:i/>
          <w:iCs/>
          <w:szCs w:val="18"/>
        </w:rPr>
        <w:t>C</w:t>
      </w:r>
      <w:r w:rsidRPr="00857EE7">
        <w:rPr>
          <w:szCs w:val="18"/>
        </w:rPr>
        <w:t xml:space="preserve"> directly</w:t>
      </w:r>
      <w:r w:rsidR="00A64D1E">
        <w:rPr>
          <w:szCs w:val="18"/>
        </w:rPr>
        <w:t>.</w:t>
      </w:r>
    </w:p>
    <w:p w14:paraId="5C82DC2E" w14:textId="77777777" w:rsidR="009011FF" w:rsidRDefault="009011FF">
      <w:r>
        <w:br w:type="page"/>
      </w:r>
    </w:p>
    <w:p w14:paraId="7EBB8092" w14:textId="1EF5F60A" w:rsidR="009011FF" w:rsidRPr="00930347" w:rsidRDefault="009011FF" w:rsidP="00930347">
      <w:pPr>
        <w:pStyle w:val="Heading2"/>
        <w:rPr>
          <w:lang w:val="en-SG"/>
        </w:rPr>
      </w:pPr>
      <w:r w:rsidRPr="00930347">
        <w:rPr>
          <w:lang w:val="en-SG"/>
        </w:rPr>
        <w:lastRenderedPageBreak/>
        <w:t>Regression model results</w:t>
      </w:r>
      <w:r w:rsidR="00574881" w:rsidRPr="00930347">
        <w:rPr>
          <w:lang w:val="en-SG"/>
        </w:rPr>
        <w:t xml:space="preserve"> (Value Sensitivity &amp; Decay Rate as DVs)</w:t>
      </w:r>
    </w:p>
    <w:tbl>
      <w:tblPr>
        <w:tblW w:w="139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7"/>
        <w:gridCol w:w="1329"/>
        <w:gridCol w:w="2352"/>
        <w:gridCol w:w="1245"/>
        <w:gridCol w:w="1329"/>
        <w:gridCol w:w="2242"/>
        <w:gridCol w:w="1245"/>
      </w:tblGrid>
      <w:tr w:rsidR="00930347" w:rsidRPr="00930347" w14:paraId="32EDDB83" w14:textId="77777777" w:rsidTr="00930347">
        <w:trPr>
          <w:trHeight w:val="395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9701B63" w14:textId="77777777" w:rsidR="00930347" w:rsidRPr="00930347" w:rsidRDefault="00930347" w:rsidP="00930347">
            <w:pPr>
              <w:rPr>
                <w:b/>
                <w:bCs/>
                <w:sz w:val="24"/>
                <w:szCs w:val="28"/>
              </w:rPr>
            </w:pPr>
            <w:r w:rsidRPr="00930347">
              <w:rPr>
                <w:b/>
                <w:bCs/>
                <w:sz w:val="24"/>
                <w:szCs w:val="28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CD74B7B" w14:textId="77777777" w:rsidR="00930347" w:rsidRPr="00930347" w:rsidRDefault="00930347" w:rsidP="00930347">
            <w:pPr>
              <w:jc w:val="center"/>
              <w:rPr>
                <w:b/>
                <w:bCs/>
                <w:sz w:val="24"/>
                <w:szCs w:val="28"/>
                <w:u w:val="single"/>
              </w:rPr>
            </w:pPr>
            <w:r w:rsidRPr="00930347">
              <w:rPr>
                <w:b/>
                <w:bCs/>
                <w:sz w:val="24"/>
                <w:szCs w:val="28"/>
                <w:u w:val="single"/>
              </w:rPr>
              <w:t>Value Sensitivity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A776F18" w14:textId="77777777" w:rsidR="00930347" w:rsidRPr="00930347" w:rsidRDefault="00930347" w:rsidP="00930347">
            <w:pPr>
              <w:jc w:val="center"/>
              <w:rPr>
                <w:b/>
                <w:bCs/>
                <w:sz w:val="24"/>
                <w:szCs w:val="28"/>
                <w:u w:val="single"/>
              </w:rPr>
            </w:pPr>
            <w:r w:rsidRPr="00930347">
              <w:rPr>
                <w:b/>
                <w:bCs/>
                <w:sz w:val="24"/>
                <w:szCs w:val="28"/>
                <w:u w:val="single"/>
              </w:rPr>
              <w:t>Decay Rate</w:t>
            </w:r>
          </w:p>
        </w:tc>
      </w:tr>
      <w:tr w:rsidR="00930347" w:rsidRPr="00930347" w14:paraId="764EAE1E" w14:textId="77777777" w:rsidTr="00930347">
        <w:trPr>
          <w:trHeight w:val="410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0B0ABA" w14:textId="77777777" w:rsidR="00930347" w:rsidRPr="00930347" w:rsidRDefault="00930347" w:rsidP="00930347">
            <w:pPr>
              <w:rPr>
                <w:i/>
                <w:iCs/>
                <w:sz w:val="24"/>
                <w:szCs w:val="28"/>
              </w:rPr>
            </w:pPr>
            <w:r w:rsidRPr="00930347">
              <w:rPr>
                <w:i/>
                <w:iCs/>
                <w:sz w:val="24"/>
                <w:szCs w:val="2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A76F1E" w14:textId="77777777" w:rsidR="00930347" w:rsidRPr="00930347" w:rsidRDefault="00930347" w:rsidP="00930347">
            <w:pPr>
              <w:jc w:val="center"/>
              <w:rPr>
                <w:i/>
                <w:iCs/>
                <w:sz w:val="24"/>
                <w:szCs w:val="28"/>
              </w:rPr>
            </w:pPr>
            <w:r w:rsidRPr="00930347">
              <w:rPr>
                <w:i/>
                <w:iCs/>
                <w:sz w:val="24"/>
                <w:szCs w:val="2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5E9ACD" w14:textId="77777777" w:rsidR="00930347" w:rsidRPr="00930347" w:rsidRDefault="00930347" w:rsidP="00930347">
            <w:pPr>
              <w:jc w:val="center"/>
              <w:rPr>
                <w:i/>
                <w:iCs/>
                <w:sz w:val="24"/>
                <w:szCs w:val="28"/>
              </w:rPr>
            </w:pPr>
            <w:r w:rsidRPr="00930347">
              <w:rPr>
                <w:i/>
                <w:iCs/>
                <w:sz w:val="24"/>
                <w:szCs w:val="28"/>
              </w:rPr>
              <w:t>95% 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65A08F" w14:textId="77777777" w:rsidR="00930347" w:rsidRPr="00930347" w:rsidRDefault="00930347" w:rsidP="00930347">
            <w:pPr>
              <w:jc w:val="center"/>
              <w:rPr>
                <w:i/>
                <w:iCs/>
                <w:sz w:val="24"/>
                <w:szCs w:val="28"/>
              </w:rPr>
            </w:pPr>
            <w:r w:rsidRPr="00930347">
              <w:rPr>
                <w:i/>
                <w:iCs/>
                <w:sz w:val="24"/>
                <w:szCs w:val="28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CD71FB" w14:textId="77777777" w:rsidR="00930347" w:rsidRPr="00930347" w:rsidRDefault="00930347" w:rsidP="00930347">
            <w:pPr>
              <w:jc w:val="center"/>
              <w:rPr>
                <w:i/>
                <w:iCs/>
                <w:sz w:val="24"/>
                <w:szCs w:val="28"/>
              </w:rPr>
            </w:pPr>
            <w:r w:rsidRPr="00930347">
              <w:rPr>
                <w:i/>
                <w:iCs/>
                <w:sz w:val="24"/>
                <w:szCs w:val="2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9A7077" w14:textId="77777777" w:rsidR="00930347" w:rsidRPr="00930347" w:rsidRDefault="00930347" w:rsidP="00930347">
            <w:pPr>
              <w:jc w:val="center"/>
              <w:rPr>
                <w:i/>
                <w:iCs/>
                <w:sz w:val="24"/>
                <w:szCs w:val="28"/>
              </w:rPr>
            </w:pPr>
            <w:r w:rsidRPr="00930347">
              <w:rPr>
                <w:i/>
                <w:iCs/>
                <w:sz w:val="24"/>
                <w:szCs w:val="28"/>
              </w:rPr>
              <w:t>95% 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D96D9A" w14:textId="77777777" w:rsidR="00930347" w:rsidRPr="00930347" w:rsidRDefault="00930347" w:rsidP="00930347">
            <w:pPr>
              <w:jc w:val="center"/>
              <w:rPr>
                <w:i/>
                <w:iCs/>
                <w:sz w:val="24"/>
                <w:szCs w:val="28"/>
              </w:rPr>
            </w:pPr>
            <w:r w:rsidRPr="00930347">
              <w:rPr>
                <w:i/>
                <w:iCs/>
                <w:sz w:val="24"/>
                <w:szCs w:val="28"/>
              </w:rPr>
              <w:t>p</w:t>
            </w:r>
          </w:p>
        </w:tc>
      </w:tr>
      <w:tr w:rsidR="00930347" w:rsidRPr="00930347" w14:paraId="3BA024D9" w14:textId="77777777" w:rsidTr="00930347">
        <w:trPr>
          <w:trHeight w:val="410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7ABACC" w14:textId="77777777" w:rsidR="00930347" w:rsidRPr="00930347" w:rsidRDefault="00930347" w:rsidP="00930347">
            <w:pPr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5CEE5D" w14:textId="77777777" w:rsidR="00930347" w:rsidRPr="00930347" w:rsidRDefault="00930347" w:rsidP="00930347">
            <w:pPr>
              <w:jc w:val="center"/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0.430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313FD9" w14:textId="77777777" w:rsidR="00930347" w:rsidRPr="00930347" w:rsidRDefault="00930347" w:rsidP="00930347">
            <w:pPr>
              <w:jc w:val="center"/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0.349 – 0.512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6B4E68" w14:textId="77777777" w:rsidR="00930347" w:rsidRPr="00930347" w:rsidRDefault="00930347" w:rsidP="00930347">
            <w:pPr>
              <w:jc w:val="center"/>
              <w:rPr>
                <w:sz w:val="24"/>
                <w:szCs w:val="28"/>
              </w:rPr>
            </w:pPr>
            <w:r w:rsidRPr="00930347">
              <w:rPr>
                <w:b/>
                <w:bCs/>
                <w:sz w:val="24"/>
                <w:szCs w:val="28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ABDF2C" w14:textId="77777777" w:rsidR="00930347" w:rsidRPr="00930347" w:rsidRDefault="00930347" w:rsidP="00930347">
            <w:pPr>
              <w:jc w:val="center"/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0.665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9D6A56" w14:textId="77777777" w:rsidR="00930347" w:rsidRPr="00930347" w:rsidRDefault="00930347" w:rsidP="00930347">
            <w:pPr>
              <w:jc w:val="center"/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0.574 – 0.755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05266F" w14:textId="77777777" w:rsidR="00930347" w:rsidRPr="00930347" w:rsidRDefault="00930347" w:rsidP="00930347">
            <w:pPr>
              <w:jc w:val="center"/>
              <w:rPr>
                <w:sz w:val="24"/>
                <w:szCs w:val="28"/>
              </w:rPr>
            </w:pPr>
            <w:r w:rsidRPr="00930347">
              <w:rPr>
                <w:b/>
                <w:bCs/>
                <w:sz w:val="24"/>
                <w:szCs w:val="28"/>
              </w:rPr>
              <w:t>&lt;0.001</w:t>
            </w:r>
          </w:p>
        </w:tc>
      </w:tr>
      <w:tr w:rsidR="00930347" w:rsidRPr="00930347" w14:paraId="264FE886" w14:textId="77777777" w:rsidTr="00930347">
        <w:trPr>
          <w:trHeight w:val="395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B27F56" w14:textId="77777777" w:rsidR="00930347" w:rsidRPr="00930347" w:rsidRDefault="00930347" w:rsidP="00930347">
            <w:pPr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session [51h TSD]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CBCC4D" w14:textId="77777777" w:rsidR="00930347" w:rsidRPr="00930347" w:rsidRDefault="00930347" w:rsidP="00930347">
            <w:pPr>
              <w:jc w:val="center"/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-0.012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697971" w14:textId="77777777" w:rsidR="00930347" w:rsidRPr="00930347" w:rsidRDefault="00930347" w:rsidP="00930347">
            <w:pPr>
              <w:jc w:val="center"/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-0.118 – 0.094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64CB3A" w14:textId="77777777" w:rsidR="00930347" w:rsidRPr="00930347" w:rsidRDefault="00930347" w:rsidP="00930347">
            <w:pPr>
              <w:jc w:val="center"/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0.817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D54E7C" w14:textId="77777777" w:rsidR="00930347" w:rsidRPr="00930347" w:rsidRDefault="00930347" w:rsidP="00930347">
            <w:pPr>
              <w:jc w:val="center"/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0.047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30996D" w14:textId="77777777" w:rsidR="00930347" w:rsidRPr="00930347" w:rsidRDefault="00930347" w:rsidP="00930347">
            <w:pPr>
              <w:jc w:val="center"/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-0.081 – 0.174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7AD525" w14:textId="77777777" w:rsidR="00930347" w:rsidRPr="00930347" w:rsidRDefault="00930347" w:rsidP="00930347">
            <w:pPr>
              <w:jc w:val="center"/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0.466</w:t>
            </w:r>
          </w:p>
        </w:tc>
      </w:tr>
      <w:tr w:rsidR="00930347" w:rsidRPr="00930347" w14:paraId="725817DB" w14:textId="77777777" w:rsidTr="00930347">
        <w:trPr>
          <w:trHeight w:val="395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982EB9" w14:textId="77777777" w:rsidR="00930347" w:rsidRPr="00930347" w:rsidRDefault="00930347" w:rsidP="00930347">
            <w:pPr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session [75h TSD]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456B71" w14:textId="77777777" w:rsidR="00930347" w:rsidRPr="00930347" w:rsidRDefault="00930347" w:rsidP="00930347">
            <w:pPr>
              <w:jc w:val="center"/>
              <w:rPr>
                <w:sz w:val="24"/>
                <w:szCs w:val="28"/>
                <w:highlight w:val="yellow"/>
              </w:rPr>
            </w:pPr>
            <w:r w:rsidRPr="00930347">
              <w:rPr>
                <w:sz w:val="24"/>
                <w:szCs w:val="28"/>
                <w:highlight w:val="yellow"/>
              </w:rPr>
              <w:t>-0.256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3787AC" w14:textId="77777777" w:rsidR="00930347" w:rsidRPr="00930347" w:rsidRDefault="00930347" w:rsidP="00930347">
            <w:pPr>
              <w:jc w:val="center"/>
              <w:rPr>
                <w:sz w:val="24"/>
                <w:szCs w:val="28"/>
                <w:highlight w:val="yellow"/>
              </w:rPr>
            </w:pPr>
            <w:r w:rsidRPr="00930347">
              <w:rPr>
                <w:sz w:val="24"/>
                <w:szCs w:val="28"/>
                <w:highlight w:val="yellow"/>
              </w:rPr>
              <w:t>-0.362 – -0.150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5C9F1E" w14:textId="77777777" w:rsidR="00930347" w:rsidRPr="00930347" w:rsidRDefault="00930347" w:rsidP="00930347">
            <w:pPr>
              <w:jc w:val="center"/>
              <w:rPr>
                <w:sz w:val="24"/>
                <w:szCs w:val="28"/>
                <w:highlight w:val="yellow"/>
              </w:rPr>
            </w:pPr>
            <w:r w:rsidRPr="00930347">
              <w:rPr>
                <w:b/>
                <w:bCs/>
                <w:sz w:val="24"/>
                <w:szCs w:val="28"/>
                <w:highlight w:val="yellow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50ECE8" w14:textId="77777777" w:rsidR="00930347" w:rsidRPr="00930347" w:rsidRDefault="00930347" w:rsidP="00930347">
            <w:pPr>
              <w:jc w:val="center"/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-0.040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9D6429" w14:textId="77777777" w:rsidR="00930347" w:rsidRPr="00930347" w:rsidRDefault="00930347" w:rsidP="00930347">
            <w:pPr>
              <w:jc w:val="center"/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-0.167 – 0.088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186E9C" w14:textId="77777777" w:rsidR="00930347" w:rsidRPr="00930347" w:rsidRDefault="00930347" w:rsidP="00930347">
            <w:pPr>
              <w:jc w:val="center"/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0.538</w:t>
            </w:r>
          </w:p>
        </w:tc>
      </w:tr>
      <w:tr w:rsidR="00930347" w:rsidRPr="00930347" w14:paraId="412244C7" w14:textId="77777777" w:rsidTr="00930347">
        <w:trPr>
          <w:trHeight w:val="410"/>
        </w:trPr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982DD0" w14:textId="77777777" w:rsidR="00930347" w:rsidRPr="00930347" w:rsidRDefault="00930347" w:rsidP="00930347">
            <w:pPr>
              <w:rPr>
                <w:b/>
                <w:bCs/>
                <w:sz w:val="24"/>
                <w:szCs w:val="28"/>
              </w:rPr>
            </w:pPr>
            <w:r w:rsidRPr="00930347">
              <w:rPr>
                <w:b/>
                <w:bCs/>
                <w:sz w:val="24"/>
                <w:szCs w:val="28"/>
              </w:rPr>
              <w:t>Random Effects</w:t>
            </w:r>
          </w:p>
        </w:tc>
      </w:tr>
      <w:tr w:rsidR="00930347" w:rsidRPr="00930347" w14:paraId="6EDF19BD" w14:textId="77777777" w:rsidTr="00930347">
        <w:trPr>
          <w:trHeight w:val="410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B55351" w14:textId="77777777" w:rsidR="00930347" w:rsidRPr="00930347" w:rsidRDefault="00930347" w:rsidP="00930347">
            <w:pPr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σ</w:t>
            </w:r>
            <w:r w:rsidRPr="00930347">
              <w:rPr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4A4023" w14:textId="77777777" w:rsidR="00930347" w:rsidRPr="00930347" w:rsidRDefault="00930347" w:rsidP="00930347">
            <w:pPr>
              <w:jc w:val="center"/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0.04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8B6644" w14:textId="77777777" w:rsidR="00930347" w:rsidRPr="00930347" w:rsidRDefault="00930347" w:rsidP="00930347">
            <w:pPr>
              <w:jc w:val="center"/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0.06</w:t>
            </w:r>
          </w:p>
        </w:tc>
      </w:tr>
      <w:tr w:rsidR="00930347" w:rsidRPr="00930347" w14:paraId="0CD46EBD" w14:textId="77777777" w:rsidTr="00930347">
        <w:trPr>
          <w:trHeight w:val="410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EB5C18" w14:textId="77777777" w:rsidR="00930347" w:rsidRPr="00930347" w:rsidRDefault="00930347" w:rsidP="00930347">
            <w:pPr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τ</w:t>
            </w:r>
            <w:r w:rsidRPr="00930347">
              <w:rPr>
                <w:sz w:val="24"/>
                <w:szCs w:val="28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390F6A" w14:textId="77777777" w:rsidR="00930347" w:rsidRPr="00930347" w:rsidRDefault="00930347" w:rsidP="00930347">
            <w:pPr>
              <w:jc w:val="center"/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0.01 </w:t>
            </w:r>
            <w:proofErr w:type="spellStart"/>
            <w:r w:rsidRPr="00930347">
              <w:rPr>
                <w:sz w:val="24"/>
                <w:szCs w:val="28"/>
                <w:vertAlign w:val="subscript"/>
              </w:rPr>
              <w:t>PtID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111160" w14:textId="77777777" w:rsidR="00930347" w:rsidRPr="00930347" w:rsidRDefault="00930347" w:rsidP="00930347">
            <w:pPr>
              <w:jc w:val="center"/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0.00 </w:t>
            </w:r>
            <w:proofErr w:type="spellStart"/>
            <w:r w:rsidRPr="00930347">
              <w:rPr>
                <w:sz w:val="24"/>
                <w:szCs w:val="28"/>
                <w:vertAlign w:val="subscript"/>
              </w:rPr>
              <w:t>PtID</w:t>
            </w:r>
            <w:proofErr w:type="spellEnd"/>
          </w:p>
        </w:tc>
      </w:tr>
      <w:tr w:rsidR="00930347" w:rsidRPr="00930347" w14:paraId="7B43CA12" w14:textId="77777777" w:rsidTr="00930347">
        <w:trPr>
          <w:trHeight w:val="410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A9117D" w14:textId="77777777" w:rsidR="00930347" w:rsidRPr="00930347" w:rsidRDefault="00930347" w:rsidP="00930347">
            <w:pPr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10D788" w14:textId="77777777" w:rsidR="00930347" w:rsidRPr="00930347" w:rsidRDefault="00930347" w:rsidP="00930347">
            <w:pPr>
              <w:jc w:val="center"/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0.21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293E31" w14:textId="77777777" w:rsidR="00930347" w:rsidRPr="00930347" w:rsidRDefault="00930347" w:rsidP="00930347">
            <w:pPr>
              <w:jc w:val="center"/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0.07</w:t>
            </w:r>
          </w:p>
        </w:tc>
      </w:tr>
      <w:tr w:rsidR="00930347" w:rsidRPr="00930347" w14:paraId="06920C3C" w14:textId="77777777" w:rsidTr="00930347">
        <w:trPr>
          <w:trHeight w:val="410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2AC006F" w14:textId="77777777" w:rsidR="00930347" w:rsidRPr="00930347" w:rsidRDefault="00930347" w:rsidP="00930347">
            <w:pPr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9991BE" w14:textId="77777777" w:rsidR="00930347" w:rsidRPr="00930347" w:rsidRDefault="00930347" w:rsidP="00930347">
            <w:pPr>
              <w:jc w:val="center"/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29 </w:t>
            </w:r>
            <w:proofErr w:type="spellStart"/>
            <w:r w:rsidRPr="00930347">
              <w:rPr>
                <w:sz w:val="24"/>
                <w:szCs w:val="28"/>
                <w:vertAlign w:val="subscript"/>
              </w:rPr>
              <w:t>PtID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7903C2" w14:textId="77777777" w:rsidR="00930347" w:rsidRPr="00930347" w:rsidRDefault="00930347" w:rsidP="00930347">
            <w:pPr>
              <w:jc w:val="center"/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29 </w:t>
            </w:r>
            <w:proofErr w:type="spellStart"/>
            <w:r w:rsidRPr="00930347">
              <w:rPr>
                <w:sz w:val="24"/>
                <w:szCs w:val="28"/>
                <w:vertAlign w:val="subscript"/>
              </w:rPr>
              <w:t>PtID</w:t>
            </w:r>
            <w:proofErr w:type="spellEnd"/>
          </w:p>
        </w:tc>
      </w:tr>
      <w:tr w:rsidR="00930347" w:rsidRPr="00930347" w14:paraId="7C42B7BC" w14:textId="77777777" w:rsidTr="00930347">
        <w:trPr>
          <w:trHeight w:val="395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EC1CB6" w14:textId="77777777" w:rsidR="00930347" w:rsidRPr="00930347" w:rsidRDefault="00930347" w:rsidP="00930347">
            <w:pPr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162D77" w14:textId="77777777" w:rsidR="00930347" w:rsidRPr="00930347" w:rsidRDefault="00930347" w:rsidP="00930347">
            <w:pPr>
              <w:jc w:val="center"/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81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DADC50" w14:textId="77777777" w:rsidR="00930347" w:rsidRPr="00930347" w:rsidRDefault="00930347" w:rsidP="00930347">
            <w:pPr>
              <w:jc w:val="center"/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81</w:t>
            </w:r>
          </w:p>
        </w:tc>
      </w:tr>
      <w:tr w:rsidR="00930347" w:rsidRPr="00930347" w14:paraId="7A496E32" w14:textId="77777777" w:rsidTr="00930347">
        <w:trPr>
          <w:trHeight w:val="410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8F9CDC" w14:textId="77777777" w:rsidR="00930347" w:rsidRPr="00930347" w:rsidRDefault="00930347" w:rsidP="00930347">
            <w:pPr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Marginal R</w:t>
            </w:r>
            <w:r w:rsidRPr="00930347">
              <w:rPr>
                <w:sz w:val="24"/>
                <w:szCs w:val="28"/>
                <w:vertAlign w:val="superscript"/>
              </w:rPr>
              <w:t>2</w:t>
            </w:r>
            <w:r w:rsidRPr="00930347">
              <w:rPr>
                <w:sz w:val="24"/>
                <w:szCs w:val="28"/>
              </w:rPr>
              <w:t> / Conditional R</w:t>
            </w:r>
            <w:r w:rsidRPr="00930347">
              <w:rPr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817D9C" w14:textId="77777777" w:rsidR="00930347" w:rsidRPr="00930347" w:rsidRDefault="00930347" w:rsidP="00930347">
            <w:pPr>
              <w:jc w:val="center"/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0.222 / 0.384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8BCB3C4" w14:textId="77777777" w:rsidR="00930347" w:rsidRPr="00930347" w:rsidRDefault="00930347" w:rsidP="00930347">
            <w:pPr>
              <w:jc w:val="center"/>
              <w:rPr>
                <w:sz w:val="24"/>
                <w:szCs w:val="28"/>
              </w:rPr>
            </w:pPr>
            <w:r w:rsidRPr="00930347">
              <w:rPr>
                <w:sz w:val="24"/>
                <w:szCs w:val="28"/>
              </w:rPr>
              <w:t>0.020 / 0.085</w:t>
            </w:r>
          </w:p>
        </w:tc>
      </w:tr>
    </w:tbl>
    <w:p w14:paraId="6F7E8686" w14:textId="77777777" w:rsidR="00930347" w:rsidRPr="00930347" w:rsidRDefault="00930347" w:rsidP="00930347">
      <w:pPr>
        <w:rPr>
          <w:lang w:val="en-SG"/>
        </w:rPr>
      </w:pPr>
    </w:p>
    <w:p w14:paraId="2DEFAFC8" w14:textId="77777777" w:rsidR="003F5F15" w:rsidRPr="00574881" w:rsidRDefault="003F5F15" w:rsidP="003F5F15">
      <w:pPr>
        <w:rPr>
          <w:lang w:val="en-SG"/>
        </w:rPr>
      </w:pPr>
      <w:r w:rsidRPr="003F5F15">
        <w:rPr>
          <w:highlight w:val="yellow"/>
          <w:lang w:val="en-SG"/>
        </w:rPr>
        <w:t>Highlighted effects</w:t>
      </w:r>
      <w:r>
        <w:rPr>
          <w:lang w:val="en-SG"/>
        </w:rPr>
        <w:t xml:space="preserve"> are significant at </w:t>
      </w:r>
      <w:r w:rsidRPr="003F5F15">
        <w:rPr>
          <w:i/>
          <w:iCs/>
          <w:lang w:val="en-SG"/>
        </w:rPr>
        <w:t>p</w:t>
      </w:r>
      <w:r>
        <w:rPr>
          <w:lang w:val="en-SG"/>
        </w:rPr>
        <w:t xml:space="preserve"> &lt; .05.</w:t>
      </w:r>
    </w:p>
    <w:p w14:paraId="7E0E730C" w14:textId="5F375409" w:rsidR="00574881" w:rsidRDefault="00574881">
      <w:pPr>
        <w:rPr>
          <w:lang w:val="en-SG"/>
        </w:rPr>
      </w:pPr>
    </w:p>
    <w:p w14:paraId="25C27CBC" w14:textId="77777777" w:rsidR="00ED76FA" w:rsidRDefault="00ED76FA">
      <w:pPr>
        <w:rPr>
          <w:lang w:val="en-SG"/>
        </w:rPr>
      </w:pPr>
    </w:p>
    <w:p w14:paraId="6ECAAB81" w14:textId="05EEB127" w:rsidR="00574881" w:rsidRDefault="00574881" w:rsidP="00930347">
      <w:pPr>
        <w:pStyle w:val="Heading2"/>
        <w:rPr>
          <w:lang w:val="en-SG"/>
        </w:rPr>
      </w:pPr>
      <w:r>
        <w:rPr>
          <w:lang w:val="en-SG"/>
        </w:rPr>
        <w:t>Regression model results (Exp</w:t>
      </w:r>
      <w:r w:rsidR="003F5F15">
        <w:rPr>
          <w:lang w:val="en-SG"/>
        </w:rPr>
        <w:t>lore</w:t>
      </w:r>
      <w:r>
        <w:rPr>
          <w:lang w:val="en-SG"/>
        </w:rPr>
        <w:t xml:space="preserve"> Bonus, Exp</w:t>
      </w:r>
      <w:r w:rsidR="003F5F15">
        <w:rPr>
          <w:lang w:val="en-SG"/>
        </w:rPr>
        <w:t>lore</w:t>
      </w:r>
      <w:r>
        <w:rPr>
          <w:lang w:val="en-SG"/>
        </w:rPr>
        <w:t xml:space="preserve"> Update, Consistency as DVs)</w:t>
      </w:r>
    </w:p>
    <w:tbl>
      <w:tblPr>
        <w:tblW w:w="13870" w:type="dxa"/>
        <w:tblLook w:val="04A0" w:firstRow="1" w:lastRow="0" w:firstColumn="1" w:lastColumn="0" w:noHBand="0" w:noVBand="1"/>
      </w:tblPr>
      <w:tblGrid>
        <w:gridCol w:w="1540"/>
        <w:gridCol w:w="1199"/>
        <w:gridCol w:w="1595"/>
        <w:gridCol w:w="1249"/>
        <w:gridCol w:w="1597"/>
        <w:gridCol w:w="1594"/>
        <w:gridCol w:w="1158"/>
        <w:gridCol w:w="1320"/>
        <w:gridCol w:w="1600"/>
        <w:gridCol w:w="1018"/>
      </w:tblGrid>
      <w:tr w:rsidR="00930347" w:rsidRPr="00930347" w14:paraId="5529F34C" w14:textId="77777777" w:rsidTr="00B512ED">
        <w:trPr>
          <w:trHeight w:val="561"/>
        </w:trPr>
        <w:tc>
          <w:tcPr>
            <w:tcW w:w="1540" w:type="dxa"/>
            <w:tcBorders>
              <w:top w:val="double" w:sz="6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9085E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4043" w:type="dxa"/>
            <w:gridSpan w:val="3"/>
            <w:tcBorders>
              <w:top w:val="double" w:sz="6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D8CD39" w14:textId="18622045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u w:val="single"/>
                <w14:ligatures w14:val="none"/>
              </w:rPr>
            </w:pPr>
            <w:r w:rsidRPr="00930347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u w:val="single"/>
                <w14:ligatures w14:val="none"/>
              </w:rPr>
              <w:t xml:space="preserve">Exploration </w:t>
            </w: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u w:val="single"/>
                <w14:ligatures w14:val="none"/>
              </w:rPr>
              <w:t>Bonus</w:t>
            </w:r>
          </w:p>
        </w:tc>
        <w:tc>
          <w:tcPr>
            <w:tcW w:w="4349" w:type="dxa"/>
            <w:gridSpan w:val="3"/>
            <w:tcBorders>
              <w:top w:val="double" w:sz="6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B3B942" w14:textId="67927431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u w:val="single"/>
                <w14:ligatures w14:val="none"/>
              </w:rPr>
            </w:pPr>
            <w:r w:rsidRPr="00930347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u w:val="single"/>
                <w14:ligatures w14:val="none"/>
              </w:rPr>
              <w:t xml:space="preserve">Exploration Update </w:t>
            </w:r>
          </w:p>
        </w:tc>
        <w:tc>
          <w:tcPr>
            <w:tcW w:w="3938" w:type="dxa"/>
            <w:gridSpan w:val="3"/>
            <w:tcBorders>
              <w:top w:val="double" w:sz="6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93C645" w14:textId="3514451A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u w:val="single"/>
                <w14:ligatures w14:val="none"/>
              </w:rPr>
            </w:pPr>
            <w:r w:rsidRPr="00930347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u w:val="single"/>
                <w14:ligatures w14:val="none"/>
              </w:rPr>
              <w:t>Consistency</w:t>
            </w:r>
          </w:p>
        </w:tc>
      </w:tr>
      <w:tr w:rsidR="00930347" w:rsidRPr="00930347" w14:paraId="21295B79" w14:textId="77777777" w:rsidTr="00930347">
        <w:trPr>
          <w:trHeight w:val="606"/>
        </w:trPr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5678739" w14:textId="77777777" w:rsidR="00930347" w:rsidRPr="00930347" w:rsidRDefault="00930347" w:rsidP="0093034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14:ligatures w14:val="none"/>
              </w:rPr>
              <w:t>Predictors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FBB5CAA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14:ligatures w14:val="none"/>
              </w:rPr>
              <w:t>Estimates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1DEC01F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14:ligatures w14:val="none"/>
              </w:rPr>
              <w:t>95% CI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97D415A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14:ligatures w14:val="none"/>
              </w:rPr>
              <w:t>p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540D63C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14:ligatures w14:val="none"/>
              </w:rPr>
              <w:t>Estimates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367B302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14:ligatures w14:val="none"/>
              </w:rPr>
              <w:t>95% CI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C4B2D44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14:ligatures w14:val="none"/>
              </w:rPr>
              <w:t>p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B1465DD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14:ligatures w14:val="none"/>
              </w:rPr>
              <w:t>Estimates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894B928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14:ligatures w14:val="none"/>
              </w:rPr>
              <w:t>95% CI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C9026B2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14:ligatures w14:val="none"/>
              </w:rPr>
              <w:t>p</w:t>
            </w:r>
          </w:p>
        </w:tc>
      </w:tr>
      <w:tr w:rsidR="00930347" w:rsidRPr="00930347" w14:paraId="2C5A7CA6" w14:textId="77777777" w:rsidTr="00930347">
        <w:trPr>
          <w:trHeight w:val="591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6FE82" w14:textId="77777777" w:rsidR="00930347" w:rsidRPr="00930347" w:rsidRDefault="00930347" w:rsidP="0093034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(Intercept)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7E9AFF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-0.567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CCCFB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-1.066 – -0.067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07055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  <w:t>0.027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823ABA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0.508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13E735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0.433 – 0.583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99BCD7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  <w:t>&lt;0.001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E3CC1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0.872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9D77E1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0.735 – 1.008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CC7D1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  <w:t>&lt;0.001</w:t>
            </w:r>
          </w:p>
        </w:tc>
      </w:tr>
      <w:tr w:rsidR="00930347" w:rsidRPr="00930347" w14:paraId="49DDDDF5" w14:textId="77777777" w:rsidTr="00930347">
        <w:trPr>
          <w:trHeight w:val="886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6CB4B0" w14:textId="77777777" w:rsidR="00930347" w:rsidRPr="00930347" w:rsidRDefault="00930347" w:rsidP="0093034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session [51h TSD]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5C893F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0.296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A1068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-0.155 – 0.747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40315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0.196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6F0EF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0.038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A5B9B1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-0.058 – 0.134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D1B655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0.435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CBE9C" w14:textId="77777777" w:rsidR="00930347" w:rsidRPr="00BF3E52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14:ligatures w14:val="none"/>
              </w:rPr>
            </w:pPr>
            <w:r w:rsidRPr="00BF3E52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14:ligatures w14:val="none"/>
              </w:rPr>
              <w:t>-0.27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93771" w14:textId="77777777" w:rsidR="00930347" w:rsidRPr="00BF3E52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14:ligatures w14:val="none"/>
              </w:rPr>
            </w:pPr>
            <w:r w:rsidRPr="00BF3E52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14:ligatures w14:val="none"/>
              </w:rPr>
              <w:t>-0.435 – -0.105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0E2E9" w14:textId="77777777" w:rsidR="00930347" w:rsidRPr="00BF3E52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highlight w:val="yellow"/>
                <w14:ligatures w14:val="none"/>
              </w:rPr>
            </w:pPr>
            <w:r w:rsidRPr="00BF3E52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highlight w:val="yellow"/>
                <w14:ligatures w14:val="none"/>
              </w:rPr>
              <w:t>0.002</w:t>
            </w:r>
          </w:p>
        </w:tc>
      </w:tr>
      <w:tr w:rsidR="00930347" w:rsidRPr="00930347" w14:paraId="5650760D" w14:textId="77777777" w:rsidTr="00930347">
        <w:trPr>
          <w:trHeight w:val="886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98ED9F" w14:textId="77777777" w:rsidR="00930347" w:rsidRPr="00930347" w:rsidRDefault="00930347" w:rsidP="0093034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session [75h TSD]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E0E301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0.336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1429B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-0.115 – 0.787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4F25A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0.142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22974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0.042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D4146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-0.054 – 0.138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DF71D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0.384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E07D3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14:ligatures w14:val="none"/>
              </w:rPr>
              <w:t>-0.392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EFFE6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14:ligatures w14:val="none"/>
              </w:rPr>
              <w:t>-0.557 – -0.227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0BD0A7" w14:textId="77777777" w:rsidR="00930347" w:rsidRPr="00930347" w:rsidRDefault="00930347" w:rsidP="0093034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highlight w:val="yellow"/>
                <w14:ligatures w14:val="none"/>
              </w:rPr>
            </w:pPr>
            <w:r w:rsidRPr="00930347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highlight w:val="yellow"/>
                <w14:ligatures w14:val="none"/>
              </w:rPr>
              <w:t>&lt;0.001</w:t>
            </w:r>
          </w:p>
        </w:tc>
      </w:tr>
      <w:tr w:rsidR="00930347" w:rsidRPr="00930347" w14:paraId="596858B9" w14:textId="77777777" w:rsidTr="00930347">
        <w:trPr>
          <w:trHeight w:val="295"/>
        </w:trPr>
        <w:tc>
          <w:tcPr>
            <w:tcW w:w="138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DB367" w14:textId="77777777" w:rsidR="00930347" w:rsidRPr="00930347" w:rsidRDefault="00930347" w:rsidP="0093034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14:ligatures w14:val="none"/>
              </w:rPr>
              <w:t>Random Effects</w:t>
            </w:r>
          </w:p>
        </w:tc>
      </w:tr>
      <w:tr w:rsidR="00930347" w:rsidRPr="00930347" w14:paraId="01DE428A" w14:textId="77777777" w:rsidTr="00930347">
        <w:trPr>
          <w:trHeight w:val="354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0970A" w14:textId="77777777" w:rsidR="00930347" w:rsidRPr="00930347" w:rsidRDefault="00930347" w:rsidP="0093034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σ</w:t>
            </w:r>
            <w:r w:rsidRPr="00930347">
              <w:rPr>
                <w:rFonts w:eastAsia="Times New Roman" w:cs="Times New Roman"/>
                <w:color w:val="000000"/>
                <w:kern w:val="0"/>
                <w:sz w:val="22"/>
                <w:vertAlign w:val="superscript"/>
                <w14:ligatures w14:val="none"/>
              </w:rPr>
              <w:t>2</w:t>
            </w:r>
          </w:p>
        </w:tc>
        <w:tc>
          <w:tcPr>
            <w:tcW w:w="40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F0856" w14:textId="77777777" w:rsidR="00930347" w:rsidRPr="00930347" w:rsidRDefault="00930347" w:rsidP="0093034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0.68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FC3CD" w14:textId="77777777" w:rsidR="00930347" w:rsidRPr="00930347" w:rsidRDefault="00930347" w:rsidP="0093034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0.03</w:t>
            </w:r>
          </w:p>
        </w:tc>
        <w:tc>
          <w:tcPr>
            <w:tcW w:w="3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77347" w14:textId="77777777" w:rsidR="00930347" w:rsidRPr="00930347" w:rsidRDefault="00930347" w:rsidP="0093034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0.09</w:t>
            </w:r>
          </w:p>
        </w:tc>
      </w:tr>
      <w:tr w:rsidR="00930347" w:rsidRPr="00930347" w14:paraId="6DE62208" w14:textId="77777777" w:rsidTr="00930347">
        <w:trPr>
          <w:trHeight w:val="32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B5025" w14:textId="77777777" w:rsidR="00930347" w:rsidRPr="00930347" w:rsidRDefault="00930347" w:rsidP="0093034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τ</w:t>
            </w:r>
            <w:r w:rsidRPr="00930347">
              <w:rPr>
                <w:rFonts w:eastAsia="Times New Roman" w:cs="Times New Roman"/>
                <w:color w:val="000000"/>
                <w:kern w:val="0"/>
                <w:sz w:val="22"/>
                <w:vertAlign w:val="subscript"/>
                <w14:ligatures w14:val="none"/>
              </w:rPr>
              <w:t>00</w:t>
            </w:r>
          </w:p>
        </w:tc>
        <w:tc>
          <w:tcPr>
            <w:tcW w:w="40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E7522" w14:textId="77777777" w:rsidR="00930347" w:rsidRPr="00930347" w:rsidRDefault="00930347" w:rsidP="0093034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1.15 </w:t>
            </w:r>
            <w:proofErr w:type="spellStart"/>
            <w:r w:rsidRPr="00930347">
              <w:rPr>
                <w:rFonts w:eastAsia="Times New Roman" w:cs="Times New Roman"/>
                <w:color w:val="000000"/>
                <w:kern w:val="0"/>
                <w:sz w:val="22"/>
                <w:vertAlign w:val="subscript"/>
                <w14:ligatures w14:val="none"/>
              </w:rPr>
              <w:t>PtID</w:t>
            </w:r>
            <w:proofErr w:type="spellEnd"/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07417" w14:textId="77777777" w:rsidR="00930347" w:rsidRPr="00930347" w:rsidRDefault="00930347" w:rsidP="0093034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0.01 </w:t>
            </w:r>
            <w:proofErr w:type="spellStart"/>
            <w:r w:rsidRPr="00930347">
              <w:rPr>
                <w:rFonts w:eastAsia="Times New Roman" w:cs="Times New Roman"/>
                <w:color w:val="000000"/>
                <w:kern w:val="0"/>
                <w:sz w:val="22"/>
                <w:vertAlign w:val="subscript"/>
                <w14:ligatures w14:val="none"/>
              </w:rPr>
              <w:t>PtID</w:t>
            </w:r>
            <w:proofErr w:type="spellEnd"/>
          </w:p>
        </w:tc>
        <w:tc>
          <w:tcPr>
            <w:tcW w:w="3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26EEB" w14:textId="77777777" w:rsidR="00930347" w:rsidRPr="00930347" w:rsidRDefault="00930347" w:rsidP="0093034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0.04 </w:t>
            </w:r>
            <w:proofErr w:type="spellStart"/>
            <w:r w:rsidRPr="00930347">
              <w:rPr>
                <w:rFonts w:eastAsia="Times New Roman" w:cs="Times New Roman"/>
                <w:color w:val="000000"/>
                <w:kern w:val="0"/>
                <w:sz w:val="22"/>
                <w:vertAlign w:val="subscript"/>
                <w14:ligatures w14:val="none"/>
              </w:rPr>
              <w:t>PtID</w:t>
            </w:r>
            <w:proofErr w:type="spellEnd"/>
          </w:p>
        </w:tc>
      </w:tr>
      <w:tr w:rsidR="00930347" w:rsidRPr="00930347" w14:paraId="6E3F0212" w14:textId="77777777" w:rsidTr="00930347">
        <w:trPr>
          <w:trHeight w:val="29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B48611" w14:textId="77777777" w:rsidR="00930347" w:rsidRPr="00930347" w:rsidRDefault="00930347" w:rsidP="0093034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ICC</w:t>
            </w:r>
          </w:p>
        </w:tc>
        <w:tc>
          <w:tcPr>
            <w:tcW w:w="40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80914" w14:textId="77777777" w:rsidR="00930347" w:rsidRPr="00930347" w:rsidRDefault="00930347" w:rsidP="0093034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0.63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10202" w14:textId="77777777" w:rsidR="00930347" w:rsidRPr="00930347" w:rsidRDefault="00930347" w:rsidP="0093034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0.24</w:t>
            </w:r>
          </w:p>
        </w:tc>
        <w:tc>
          <w:tcPr>
            <w:tcW w:w="3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46D3FB" w14:textId="77777777" w:rsidR="00930347" w:rsidRPr="00930347" w:rsidRDefault="00930347" w:rsidP="0093034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0.32</w:t>
            </w:r>
          </w:p>
        </w:tc>
      </w:tr>
      <w:tr w:rsidR="00930347" w:rsidRPr="00930347" w14:paraId="3FAA74F5" w14:textId="77777777" w:rsidTr="00930347">
        <w:trPr>
          <w:trHeight w:val="32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F6E18" w14:textId="77777777" w:rsidR="00930347" w:rsidRPr="00930347" w:rsidRDefault="00930347" w:rsidP="0093034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N</w:t>
            </w:r>
          </w:p>
        </w:tc>
        <w:tc>
          <w:tcPr>
            <w:tcW w:w="4043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566F4471" w14:textId="77777777" w:rsidR="00930347" w:rsidRPr="00930347" w:rsidRDefault="00930347" w:rsidP="0093034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29 </w:t>
            </w:r>
            <w:proofErr w:type="spellStart"/>
            <w:r w:rsidRPr="00930347">
              <w:rPr>
                <w:rFonts w:eastAsia="Times New Roman" w:cs="Times New Roman"/>
                <w:color w:val="000000"/>
                <w:kern w:val="0"/>
                <w:sz w:val="22"/>
                <w:vertAlign w:val="subscript"/>
                <w14:ligatures w14:val="none"/>
              </w:rPr>
              <w:t>PtID</w:t>
            </w:r>
            <w:proofErr w:type="spellEnd"/>
          </w:p>
        </w:tc>
        <w:tc>
          <w:tcPr>
            <w:tcW w:w="4349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05A185F6" w14:textId="77777777" w:rsidR="00930347" w:rsidRPr="00930347" w:rsidRDefault="00930347" w:rsidP="0093034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29 </w:t>
            </w:r>
            <w:proofErr w:type="spellStart"/>
            <w:r w:rsidRPr="00930347">
              <w:rPr>
                <w:rFonts w:eastAsia="Times New Roman" w:cs="Times New Roman"/>
                <w:color w:val="000000"/>
                <w:kern w:val="0"/>
                <w:sz w:val="22"/>
                <w:vertAlign w:val="subscript"/>
                <w14:ligatures w14:val="none"/>
              </w:rPr>
              <w:t>PtID</w:t>
            </w:r>
            <w:proofErr w:type="spellEnd"/>
          </w:p>
        </w:tc>
        <w:tc>
          <w:tcPr>
            <w:tcW w:w="3938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209CEFDB" w14:textId="77777777" w:rsidR="00930347" w:rsidRPr="00930347" w:rsidRDefault="00930347" w:rsidP="0093034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29 </w:t>
            </w:r>
            <w:proofErr w:type="spellStart"/>
            <w:r w:rsidRPr="00930347">
              <w:rPr>
                <w:rFonts w:eastAsia="Times New Roman" w:cs="Times New Roman"/>
                <w:color w:val="000000"/>
                <w:kern w:val="0"/>
                <w:sz w:val="22"/>
                <w:vertAlign w:val="subscript"/>
                <w14:ligatures w14:val="none"/>
              </w:rPr>
              <w:t>PtID</w:t>
            </w:r>
            <w:proofErr w:type="spellEnd"/>
          </w:p>
        </w:tc>
      </w:tr>
      <w:tr w:rsidR="00930347" w:rsidRPr="00930347" w14:paraId="3004F339" w14:textId="77777777" w:rsidTr="00930347">
        <w:trPr>
          <w:trHeight w:val="591"/>
        </w:trPr>
        <w:tc>
          <w:tcPr>
            <w:tcW w:w="15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55B106" w14:textId="77777777" w:rsidR="00930347" w:rsidRPr="00930347" w:rsidRDefault="00930347" w:rsidP="0093034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Observations</w:t>
            </w:r>
          </w:p>
        </w:tc>
        <w:tc>
          <w:tcPr>
            <w:tcW w:w="4043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74FABD" w14:textId="77777777" w:rsidR="00930347" w:rsidRPr="00930347" w:rsidRDefault="00930347" w:rsidP="0093034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81</w:t>
            </w:r>
          </w:p>
        </w:tc>
        <w:tc>
          <w:tcPr>
            <w:tcW w:w="4349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C3EA0C" w14:textId="77777777" w:rsidR="00930347" w:rsidRPr="00930347" w:rsidRDefault="00930347" w:rsidP="0093034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81</w:t>
            </w:r>
          </w:p>
        </w:tc>
        <w:tc>
          <w:tcPr>
            <w:tcW w:w="3938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68979" w14:textId="77777777" w:rsidR="00930347" w:rsidRPr="00930347" w:rsidRDefault="00930347" w:rsidP="0093034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81</w:t>
            </w:r>
          </w:p>
        </w:tc>
      </w:tr>
      <w:tr w:rsidR="00930347" w:rsidRPr="00930347" w14:paraId="7AD625E5" w14:textId="77777777" w:rsidTr="00930347">
        <w:trPr>
          <w:trHeight w:val="1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3ACBF" w14:textId="77777777" w:rsidR="00930347" w:rsidRPr="00930347" w:rsidRDefault="00930347" w:rsidP="0093034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Marginal R</w:t>
            </w:r>
            <w:r w:rsidRPr="00930347">
              <w:rPr>
                <w:rFonts w:eastAsia="Times New Roman" w:cs="Times New Roman"/>
                <w:color w:val="000000"/>
                <w:kern w:val="0"/>
                <w:sz w:val="22"/>
                <w:vertAlign w:val="superscript"/>
                <w14:ligatures w14:val="none"/>
              </w:rPr>
              <w:t>2</w:t>
            </w: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/ Conditional R</w:t>
            </w:r>
            <w:r w:rsidRPr="00930347">
              <w:rPr>
                <w:rFonts w:eastAsia="Times New Roman" w:cs="Times New Roman"/>
                <w:color w:val="000000"/>
                <w:kern w:val="0"/>
                <w:sz w:val="22"/>
                <w:vertAlign w:val="superscript"/>
                <w14:ligatures w14:val="none"/>
              </w:rPr>
              <w:t>2</w:t>
            </w:r>
          </w:p>
        </w:tc>
        <w:tc>
          <w:tcPr>
            <w:tcW w:w="40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6E976" w14:textId="77777777" w:rsidR="00930347" w:rsidRPr="00930347" w:rsidRDefault="00930347" w:rsidP="0093034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0.013 / 0.633</w:t>
            </w:r>
          </w:p>
        </w:tc>
        <w:tc>
          <w:tcPr>
            <w:tcW w:w="4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A7380C" w14:textId="77777777" w:rsidR="00930347" w:rsidRPr="00930347" w:rsidRDefault="00930347" w:rsidP="0093034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0.009 / 0.251</w:t>
            </w:r>
          </w:p>
        </w:tc>
        <w:tc>
          <w:tcPr>
            <w:tcW w:w="3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DF894" w14:textId="77777777" w:rsidR="00930347" w:rsidRPr="00930347" w:rsidRDefault="00930347" w:rsidP="0093034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30347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0.170 / 0.434</w:t>
            </w:r>
          </w:p>
        </w:tc>
      </w:tr>
    </w:tbl>
    <w:p w14:paraId="5E901EAC" w14:textId="77777777" w:rsidR="00930347" w:rsidRPr="00574881" w:rsidRDefault="00930347" w:rsidP="00930347">
      <w:pPr>
        <w:rPr>
          <w:lang w:val="en-SG"/>
        </w:rPr>
      </w:pPr>
      <w:r w:rsidRPr="003F5F15">
        <w:rPr>
          <w:highlight w:val="yellow"/>
          <w:lang w:val="en-SG"/>
        </w:rPr>
        <w:t>Highlighted effects</w:t>
      </w:r>
      <w:r>
        <w:rPr>
          <w:lang w:val="en-SG"/>
        </w:rPr>
        <w:t xml:space="preserve"> are significant at </w:t>
      </w:r>
      <w:r w:rsidRPr="003F5F15">
        <w:rPr>
          <w:i/>
          <w:iCs/>
          <w:lang w:val="en-SG"/>
        </w:rPr>
        <w:t>p</w:t>
      </w:r>
      <w:r>
        <w:rPr>
          <w:lang w:val="en-SG"/>
        </w:rPr>
        <w:t xml:space="preserve"> &lt; .05.</w:t>
      </w:r>
    </w:p>
    <w:p w14:paraId="163DB052" w14:textId="77777777" w:rsidR="00930347" w:rsidRPr="00930347" w:rsidRDefault="00930347" w:rsidP="00930347">
      <w:pPr>
        <w:rPr>
          <w:lang w:val="en-SG"/>
        </w:rPr>
      </w:pPr>
    </w:p>
    <w:p w14:paraId="78E90711" w14:textId="3D88F6A5" w:rsidR="00574881" w:rsidRDefault="00574881" w:rsidP="00FF7FFE">
      <w:pPr>
        <w:pStyle w:val="Heading2"/>
        <w:rPr>
          <w:lang w:val="en-SG"/>
        </w:rPr>
      </w:pPr>
      <w:r>
        <w:rPr>
          <w:lang w:val="en-SG"/>
        </w:rPr>
        <w:lastRenderedPageBreak/>
        <w:t>Contrasts</w:t>
      </w:r>
      <w:r w:rsidR="003F5F15">
        <w:rPr>
          <w:lang w:val="en-SG"/>
        </w:rPr>
        <w:t xml:space="preserve"> with Bonferroni Correction</w:t>
      </w:r>
    </w:p>
    <w:tbl>
      <w:tblPr>
        <w:tblW w:w="13988" w:type="dxa"/>
        <w:tblLook w:val="04A0" w:firstRow="1" w:lastRow="0" w:firstColumn="1" w:lastColumn="0" w:noHBand="0" w:noVBand="1"/>
      </w:tblPr>
      <w:tblGrid>
        <w:gridCol w:w="3348"/>
        <w:gridCol w:w="2128"/>
        <w:gridCol w:w="2128"/>
        <w:gridCol w:w="2128"/>
        <w:gridCol w:w="2128"/>
        <w:gridCol w:w="2128"/>
      </w:tblGrid>
      <w:tr w:rsidR="00574881" w:rsidRPr="00574881" w14:paraId="672EAECD" w14:textId="77777777" w:rsidTr="00B358CE">
        <w:trPr>
          <w:trHeight w:val="291"/>
        </w:trPr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7CE0A1" w14:textId="64B628DA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3F5F15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  <w:t>C</w:t>
            </w:r>
            <w:r w:rsidRPr="0057488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  <w:t>ontrast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23576" w14:textId="286EE40E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3F5F15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  <w:t>E</w:t>
            </w:r>
            <w:r w:rsidRPr="0057488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  <w:t>stimate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9D9D2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57488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  <w:t>SE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5FA9F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</w:pPr>
            <w:proofErr w:type="spellStart"/>
            <w:r w:rsidRPr="0057488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  <w:t>df</w:t>
            </w:r>
            <w:proofErr w:type="spellEnd"/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1C7B7C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</w:pPr>
            <w:proofErr w:type="spellStart"/>
            <w:proofErr w:type="gramStart"/>
            <w:r w:rsidRPr="0057488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  <w:t>t.ratio</w:t>
            </w:r>
            <w:proofErr w:type="spellEnd"/>
            <w:proofErr w:type="gramEnd"/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B9EFBB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</w:pPr>
            <w:proofErr w:type="spellStart"/>
            <w:r w:rsidRPr="00574881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val="en-SG"/>
                <w14:ligatures w14:val="none"/>
              </w:rPr>
              <w:t>p.value</w:t>
            </w:r>
            <w:proofErr w:type="spellEnd"/>
          </w:p>
        </w:tc>
      </w:tr>
      <w:tr w:rsidR="00574881" w:rsidRPr="00574881" w14:paraId="48B124B9" w14:textId="77777777" w:rsidTr="00B358CE">
        <w:trPr>
          <w:trHeight w:val="291"/>
        </w:trPr>
        <w:tc>
          <w:tcPr>
            <w:tcW w:w="33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CE76" w14:textId="6BA5E75E" w:rsidR="00574881" w:rsidRPr="00574881" w:rsidRDefault="00574881" w:rsidP="00574881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</w:pPr>
            <w:r w:rsidRPr="003F5F15"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  <w:t>Value Sensitivity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2C21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CEB8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55CB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0444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9565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0"/>
                <w:lang w:val="en-SG"/>
                <w14:ligatures w14:val="none"/>
              </w:rPr>
            </w:pPr>
          </w:p>
        </w:tc>
      </w:tr>
      <w:tr w:rsidR="00C27E51" w:rsidRPr="00574881" w14:paraId="2A7B29FF" w14:textId="77777777" w:rsidTr="00574881">
        <w:trPr>
          <w:trHeight w:val="291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AAFAA" w14:textId="525DC117" w:rsidR="00C27E51" w:rsidRPr="00574881" w:rsidRDefault="00C27E51" w:rsidP="00C27E5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Baseline - 51h TSD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DA29" w14:textId="3C5340FE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0.01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B22BA" w14:textId="1F67E685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0.05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E626" w14:textId="46CE7F17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52.95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42ED" w14:textId="25D6BDBD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0.23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7982" w14:textId="3F9CA68C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1.000</w:t>
            </w:r>
          </w:p>
        </w:tc>
      </w:tr>
      <w:tr w:rsidR="00C27E51" w:rsidRPr="00574881" w14:paraId="253364B7" w14:textId="77777777" w:rsidTr="003F5F15">
        <w:trPr>
          <w:trHeight w:val="291"/>
        </w:trPr>
        <w:tc>
          <w:tcPr>
            <w:tcW w:w="33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6F733" w14:textId="53EF0D24" w:rsidR="00C27E51" w:rsidRPr="001202DF" w:rsidRDefault="00C27E51" w:rsidP="00C27E5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Baseline - 75h TSD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3804" w14:textId="3F3FE229" w:rsidR="00C27E51" w:rsidRPr="001202DF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0.26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DF26" w14:textId="32DFC051" w:rsidR="00C27E51" w:rsidRPr="001202DF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0.05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8BA6" w14:textId="08BF870E" w:rsidR="00C27E51" w:rsidRPr="001202DF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52.95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26C9" w14:textId="1FB4028A" w:rsidR="00C27E51" w:rsidRPr="001202DF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4.81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D1CC" w14:textId="1B86E7FC" w:rsidR="00C27E51" w:rsidRPr="001202DF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1202DF">
              <w:rPr>
                <w:rFonts w:ascii="Aptos Narrow" w:hAnsi="Aptos Narrow"/>
                <w:color w:val="000000"/>
                <w:sz w:val="22"/>
                <w:highlight w:val="yellow"/>
              </w:rPr>
              <w:t>&lt;.001</w:t>
            </w:r>
          </w:p>
        </w:tc>
      </w:tr>
      <w:tr w:rsidR="00C27E51" w:rsidRPr="00574881" w14:paraId="2CB68345" w14:textId="77777777" w:rsidTr="003F5F15">
        <w:trPr>
          <w:trHeight w:val="291"/>
        </w:trPr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AB7FA5" w14:textId="34122EFB" w:rsidR="00C27E51" w:rsidRPr="001202DF" w:rsidRDefault="00C27E51" w:rsidP="00C27E5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51h TSD - 75h TSD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CBB81" w14:textId="18C22271" w:rsidR="00C27E51" w:rsidRPr="001202DF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0.24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2002E" w14:textId="7FE73123" w:rsidR="00C27E51" w:rsidRPr="001202DF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0.05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8DC705" w14:textId="5163805C" w:rsidR="00C27E51" w:rsidRPr="001202DF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50.82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18CA49" w14:textId="4300453F" w:rsidR="00C27E51" w:rsidRPr="001202DF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4.49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50039" w14:textId="348FF385" w:rsidR="00C27E51" w:rsidRPr="001202DF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1202DF">
              <w:rPr>
                <w:rFonts w:ascii="Aptos Narrow" w:hAnsi="Aptos Narrow"/>
                <w:color w:val="000000"/>
                <w:sz w:val="22"/>
                <w:highlight w:val="yellow"/>
              </w:rPr>
              <w:t>&lt;.001</w:t>
            </w:r>
          </w:p>
        </w:tc>
      </w:tr>
      <w:tr w:rsidR="00574881" w:rsidRPr="00574881" w14:paraId="2F3C24FA" w14:textId="77777777" w:rsidTr="003F5F15">
        <w:trPr>
          <w:trHeight w:val="291"/>
        </w:trPr>
        <w:tc>
          <w:tcPr>
            <w:tcW w:w="33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AB81" w14:textId="6F2B0478" w:rsidR="00574881" w:rsidRPr="00574881" w:rsidRDefault="003F5F15" w:rsidP="00574881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  <w:t>Decay Rate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71F7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058B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863B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4C16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F336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0"/>
                <w:lang w:val="en-SG"/>
                <w14:ligatures w14:val="none"/>
              </w:rPr>
            </w:pPr>
          </w:p>
        </w:tc>
      </w:tr>
      <w:tr w:rsidR="00C27E51" w:rsidRPr="00574881" w14:paraId="792A93C1" w14:textId="77777777" w:rsidTr="00574881">
        <w:trPr>
          <w:trHeight w:val="291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53CD" w14:textId="72E46B90" w:rsidR="00C27E51" w:rsidRPr="00574881" w:rsidRDefault="00C27E51" w:rsidP="00C27E5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Baseline - 51h TSD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B62A" w14:textId="46A05975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-0.05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492A" w14:textId="352D926D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0.06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BD47" w14:textId="1A665057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53.18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31B8" w14:textId="3B0CF715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-0.73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5375" w14:textId="6A23F8A8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1.000</w:t>
            </w:r>
          </w:p>
        </w:tc>
      </w:tr>
      <w:tr w:rsidR="00C27E51" w:rsidRPr="00574881" w14:paraId="42A5E86A" w14:textId="77777777" w:rsidTr="003F5F15">
        <w:trPr>
          <w:trHeight w:val="291"/>
        </w:trPr>
        <w:tc>
          <w:tcPr>
            <w:tcW w:w="33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54A9" w14:textId="088DBC8E" w:rsidR="00C27E51" w:rsidRPr="00574881" w:rsidRDefault="00C27E51" w:rsidP="00C27E5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Baseline - 75h TSD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D9D8" w14:textId="1F371413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0.04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1674" w14:textId="59FB8356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0.06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11AB" w14:textId="5954F38A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53.18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A96F" w14:textId="1BA3142E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0.62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D8C5" w14:textId="37533C0C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1.000</w:t>
            </w:r>
          </w:p>
        </w:tc>
      </w:tr>
      <w:tr w:rsidR="00C27E51" w:rsidRPr="00574881" w14:paraId="69EA467B" w14:textId="77777777" w:rsidTr="003F5F15">
        <w:trPr>
          <w:trHeight w:val="291"/>
        </w:trPr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20518" w14:textId="5F48E6D5" w:rsidR="00C27E51" w:rsidRPr="00574881" w:rsidRDefault="00C27E51" w:rsidP="00C27E5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51h TSD - 75h TSD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1A5AB6" w14:textId="5C481583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0.09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6CEAA" w14:textId="23A0C775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0.07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2FB5F" w14:textId="18DD486D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51.14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2140C" w14:textId="5FEE768A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1.32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7F476" w14:textId="2BC7C6D3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0.581</w:t>
            </w:r>
          </w:p>
        </w:tc>
      </w:tr>
      <w:tr w:rsidR="00574881" w:rsidRPr="00574881" w14:paraId="028210CE" w14:textId="77777777" w:rsidTr="003F5F15">
        <w:trPr>
          <w:trHeight w:val="291"/>
        </w:trPr>
        <w:tc>
          <w:tcPr>
            <w:tcW w:w="33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EC0F0" w14:textId="0FE75D52" w:rsidR="00574881" w:rsidRPr="00574881" w:rsidRDefault="003F5F15" w:rsidP="00574881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  <w:t>Exploration Bonus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C925F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48E4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0867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C2C64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AB0F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0"/>
                <w:lang w:val="en-SG"/>
                <w14:ligatures w14:val="none"/>
              </w:rPr>
            </w:pPr>
          </w:p>
        </w:tc>
      </w:tr>
      <w:tr w:rsidR="00C27E51" w:rsidRPr="00574881" w14:paraId="2A9AED49" w14:textId="77777777" w:rsidTr="00574881">
        <w:trPr>
          <w:trHeight w:val="291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B64B5" w14:textId="1CC520A5" w:rsidR="00C27E51" w:rsidRPr="00574881" w:rsidRDefault="00C27E51" w:rsidP="00C27E5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Baseline - 51h TSD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6499" w14:textId="08549080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-0.30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2131" w14:textId="192CFDA4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0.23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25F4" w14:textId="4297C8B5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51.70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AA41" w14:textId="79DA3A36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-1.30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4454" w14:textId="2A236658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0.594</w:t>
            </w:r>
          </w:p>
        </w:tc>
      </w:tr>
      <w:tr w:rsidR="00C27E51" w:rsidRPr="00574881" w14:paraId="7760C363" w14:textId="77777777" w:rsidTr="003F5F15">
        <w:trPr>
          <w:trHeight w:val="291"/>
        </w:trPr>
        <w:tc>
          <w:tcPr>
            <w:tcW w:w="33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C7CA" w14:textId="22692F0A" w:rsidR="00C27E51" w:rsidRPr="00574881" w:rsidRDefault="00C27E51" w:rsidP="00C27E5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Baseline - 75h TSD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41B0" w14:textId="490E8698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-0.34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C459" w14:textId="4E2DBBCA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0.23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41C8" w14:textId="084829CA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51.70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5905" w14:textId="3B025603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-1.48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D39B" w14:textId="2B1A01B5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0.433</w:t>
            </w:r>
          </w:p>
        </w:tc>
      </w:tr>
      <w:tr w:rsidR="00C27E51" w:rsidRPr="00574881" w14:paraId="685C8F10" w14:textId="77777777" w:rsidTr="003F5F15">
        <w:trPr>
          <w:trHeight w:val="291"/>
        </w:trPr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4A440" w14:textId="220DADB6" w:rsidR="00C27E51" w:rsidRPr="00574881" w:rsidRDefault="00C27E51" w:rsidP="00C27E5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51h TSD - 75h TSD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E0BAF" w14:textId="5211AC00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-0.04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6309A6" w14:textId="26C4A377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0.23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75ED4F" w14:textId="3804CA99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50.17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1DDEE4" w14:textId="0088318D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-0.18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FCBFF2" w14:textId="1C382562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1.000</w:t>
            </w:r>
          </w:p>
        </w:tc>
      </w:tr>
      <w:tr w:rsidR="00574881" w:rsidRPr="00574881" w14:paraId="3F74508D" w14:textId="77777777" w:rsidTr="003F5F15">
        <w:trPr>
          <w:trHeight w:val="291"/>
        </w:trPr>
        <w:tc>
          <w:tcPr>
            <w:tcW w:w="33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4516" w14:textId="3E77D1B8" w:rsidR="00574881" w:rsidRPr="00574881" w:rsidRDefault="003F5F15" w:rsidP="00574881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  <w:t>Exploration Update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2287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5E19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C2BF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CECF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C899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0"/>
                <w:lang w:val="en-SG"/>
                <w14:ligatures w14:val="none"/>
              </w:rPr>
            </w:pPr>
          </w:p>
        </w:tc>
      </w:tr>
      <w:tr w:rsidR="00C27E51" w:rsidRPr="00574881" w14:paraId="38463051" w14:textId="77777777" w:rsidTr="00574881">
        <w:trPr>
          <w:trHeight w:val="291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0930" w14:textId="64E49D8E" w:rsidR="00C27E51" w:rsidRPr="00574881" w:rsidRDefault="00C27E51" w:rsidP="00C27E5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Baseline - 51h TSD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59B7" w14:textId="2C3B6D77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-0.04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B53F" w14:textId="6FB29352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0.05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FDB6" w14:textId="6A5F58BE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52.87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286D" w14:textId="30893FE9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-0.78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BA5C" w14:textId="30FED906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1.000</w:t>
            </w:r>
          </w:p>
        </w:tc>
      </w:tr>
      <w:tr w:rsidR="00C27E51" w:rsidRPr="00574881" w14:paraId="1CCB3598" w14:textId="77777777" w:rsidTr="003F5F15">
        <w:trPr>
          <w:trHeight w:val="291"/>
        </w:trPr>
        <w:tc>
          <w:tcPr>
            <w:tcW w:w="33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8658B" w14:textId="7F7B9862" w:rsidR="00C27E51" w:rsidRPr="00574881" w:rsidRDefault="00C27E51" w:rsidP="00C27E5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Baseline - 75h TSD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88B1" w14:textId="5014B48B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-0.04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F099" w14:textId="6DDBC18E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0.05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18FE" w14:textId="08E8E550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52.87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820A" w14:textId="66F86A62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-0.88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BB8E" w14:textId="3BD88C67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1.000</w:t>
            </w:r>
          </w:p>
        </w:tc>
      </w:tr>
      <w:tr w:rsidR="00C27E51" w:rsidRPr="00574881" w14:paraId="79106BA8" w14:textId="77777777" w:rsidTr="003F5F15">
        <w:trPr>
          <w:trHeight w:val="291"/>
        </w:trPr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3B733" w14:textId="614B8E01" w:rsidR="00C27E51" w:rsidRPr="00574881" w:rsidRDefault="00C27E51" w:rsidP="00C27E5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51h TSD - 75h TSD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7F518" w14:textId="7C85A895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0.00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28432" w14:textId="7FB356CC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0.05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629EA" w14:textId="452A874A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50.74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42AEE1" w14:textId="6F7543C3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-0.09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BD96A" w14:textId="7D8F215B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1.000</w:t>
            </w:r>
          </w:p>
        </w:tc>
      </w:tr>
      <w:tr w:rsidR="00574881" w:rsidRPr="00574881" w14:paraId="1F400F4B" w14:textId="77777777" w:rsidTr="003F5F15">
        <w:trPr>
          <w:trHeight w:val="291"/>
        </w:trPr>
        <w:tc>
          <w:tcPr>
            <w:tcW w:w="33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F60F" w14:textId="151C4FF2" w:rsidR="00574881" w:rsidRPr="00574881" w:rsidRDefault="003F5F15" w:rsidP="00574881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 w:val="22"/>
                <w:lang w:val="en-SG"/>
                <w14:ligatures w14:val="none"/>
              </w:rPr>
              <w:t>Consistency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51D4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E438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06A5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BAAA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0"/>
                <w:lang w:val="en-SG"/>
                <w14:ligatures w14:val="none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D39E" w14:textId="77777777" w:rsidR="00574881" w:rsidRPr="00574881" w:rsidRDefault="00574881" w:rsidP="0057488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0"/>
                <w:lang w:val="en-SG"/>
                <w14:ligatures w14:val="none"/>
              </w:rPr>
            </w:pPr>
          </w:p>
        </w:tc>
      </w:tr>
      <w:tr w:rsidR="00C27E51" w:rsidRPr="00574881" w14:paraId="03AED22C" w14:textId="77777777" w:rsidTr="00574881">
        <w:trPr>
          <w:trHeight w:val="291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813E" w14:textId="47935E75" w:rsidR="00C27E51" w:rsidRPr="001202DF" w:rsidRDefault="00C27E51" w:rsidP="00C27E5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Baseline - 51h TSD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0EEE" w14:textId="1965A2A9" w:rsidR="00C27E51" w:rsidRPr="001202DF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0.27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670D" w14:textId="755C9044" w:rsidR="00C27E51" w:rsidRPr="001202DF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0.08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261A" w14:textId="4DE1AB3D" w:rsidR="00C27E51" w:rsidRPr="001202DF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52.70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9F1F" w14:textId="0AF5E8A5" w:rsidR="00C27E51" w:rsidRPr="001202DF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3.25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1C69" w14:textId="4D72E7C3" w:rsidR="00C27E51" w:rsidRPr="001202DF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1202DF">
              <w:rPr>
                <w:rFonts w:ascii="Aptos Narrow" w:hAnsi="Aptos Narrow"/>
                <w:color w:val="000000"/>
                <w:sz w:val="22"/>
                <w:highlight w:val="yellow"/>
              </w:rPr>
              <w:t>.006</w:t>
            </w:r>
          </w:p>
        </w:tc>
      </w:tr>
      <w:tr w:rsidR="00C27E51" w:rsidRPr="00574881" w14:paraId="42BDD2D3" w14:textId="77777777" w:rsidTr="003F5F15">
        <w:trPr>
          <w:trHeight w:val="291"/>
        </w:trPr>
        <w:tc>
          <w:tcPr>
            <w:tcW w:w="33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965B" w14:textId="42E2F6B4" w:rsidR="00C27E51" w:rsidRPr="001202DF" w:rsidRDefault="00C27E51" w:rsidP="00C27E5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Baseline - 75h TSD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1FFC" w14:textId="7D15941B" w:rsidR="00C27E51" w:rsidRPr="001202DF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0.39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FB36" w14:textId="07B79ACA" w:rsidR="00C27E51" w:rsidRPr="001202DF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0.08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1969" w14:textId="5D17A438" w:rsidR="00C27E51" w:rsidRPr="001202DF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52.70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C656" w14:textId="059C8D75" w:rsidR="00C27E51" w:rsidRPr="001202DF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4.71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8804" w14:textId="4DF86621" w:rsidR="00C27E51" w:rsidRPr="001202DF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highlight w:val="yellow"/>
                <w:lang w:val="en-SG"/>
                <w14:ligatures w14:val="none"/>
              </w:rPr>
            </w:pPr>
            <w:r w:rsidRPr="001202DF">
              <w:rPr>
                <w:rFonts w:ascii="Aptos Narrow" w:hAnsi="Aptos Narrow"/>
                <w:color w:val="000000"/>
                <w:sz w:val="22"/>
                <w:highlight w:val="yellow"/>
              </w:rPr>
              <w:t>&lt;.001</w:t>
            </w:r>
          </w:p>
        </w:tc>
      </w:tr>
      <w:tr w:rsidR="00C27E51" w:rsidRPr="00574881" w14:paraId="70C3FB3F" w14:textId="77777777" w:rsidTr="003F5F15">
        <w:trPr>
          <w:trHeight w:val="291"/>
        </w:trPr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DCC89" w14:textId="2343B837" w:rsidR="00C27E51" w:rsidRPr="00574881" w:rsidRDefault="00C27E51" w:rsidP="00C27E5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51h TSD - 75h TSD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C5C1D" w14:textId="09742647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0.12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6B527" w14:textId="6E292BD7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0.08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0733C" w14:textId="291001A3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50.60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18503" w14:textId="4B85F4DF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1.44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8911E" w14:textId="15410A8D" w:rsidR="00C27E51" w:rsidRPr="00574881" w:rsidRDefault="00C27E51" w:rsidP="00C27E5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:lang w:val="en-SG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0.465</w:t>
            </w:r>
          </w:p>
        </w:tc>
      </w:tr>
    </w:tbl>
    <w:p w14:paraId="0462EEA7" w14:textId="77777777" w:rsidR="00574881" w:rsidRDefault="00574881" w:rsidP="00574881">
      <w:pPr>
        <w:rPr>
          <w:lang w:val="en-SG"/>
        </w:rPr>
      </w:pPr>
    </w:p>
    <w:p w14:paraId="57BBB101" w14:textId="7CFA5250" w:rsidR="006540D6" w:rsidRDefault="003F5F15" w:rsidP="00574881">
      <w:pPr>
        <w:rPr>
          <w:lang w:val="en-SG"/>
        </w:rPr>
      </w:pPr>
      <w:r w:rsidRPr="003F5F15">
        <w:rPr>
          <w:highlight w:val="yellow"/>
          <w:lang w:val="en-SG"/>
        </w:rPr>
        <w:t>Highlighted contrasts</w:t>
      </w:r>
      <w:r>
        <w:rPr>
          <w:lang w:val="en-SG"/>
        </w:rPr>
        <w:t xml:space="preserve"> are significant at </w:t>
      </w:r>
      <w:r w:rsidRPr="003F5F15">
        <w:rPr>
          <w:i/>
          <w:iCs/>
          <w:lang w:val="en-SG"/>
        </w:rPr>
        <w:t>p</w:t>
      </w:r>
      <w:r>
        <w:rPr>
          <w:lang w:val="en-SG"/>
        </w:rPr>
        <w:t xml:space="preserve"> &lt; .05.</w:t>
      </w:r>
    </w:p>
    <w:p w14:paraId="2A34BCED" w14:textId="77777777" w:rsidR="006540D6" w:rsidRDefault="006540D6">
      <w:pPr>
        <w:rPr>
          <w:lang w:val="en-SG"/>
        </w:rPr>
      </w:pPr>
      <w:r>
        <w:rPr>
          <w:lang w:val="en-SG"/>
        </w:rPr>
        <w:br w:type="page"/>
      </w:r>
    </w:p>
    <w:p w14:paraId="30CAF837" w14:textId="7FA0EA06" w:rsidR="006540D6" w:rsidRDefault="006540D6" w:rsidP="006540D6">
      <w:pPr>
        <w:pStyle w:val="Heading3"/>
        <w:rPr>
          <w:lang w:val="en-SG"/>
        </w:rPr>
      </w:pPr>
      <w:r>
        <w:rPr>
          <w:lang w:val="en-SG"/>
        </w:rPr>
        <w:lastRenderedPageBreak/>
        <w:t xml:space="preserve">Figure: Distribution of </w:t>
      </w:r>
      <w:r w:rsidR="001202DF">
        <w:rPr>
          <w:lang w:val="en-SG"/>
        </w:rPr>
        <w:t>VSE</w:t>
      </w:r>
      <w:r>
        <w:rPr>
          <w:lang w:val="en-SG"/>
        </w:rPr>
        <w:t xml:space="preserve"> Parameter Values</w:t>
      </w:r>
    </w:p>
    <w:p w14:paraId="46130EB4" w14:textId="5414252F" w:rsidR="005B73CB" w:rsidRPr="005B73CB" w:rsidRDefault="005B73CB" w:rsidP="005B73CB">
      <w:pPr>
        <w:rPr>
          <w:lang w:val="en-SG"/>
        </w:rPr>
      </w:pPr>
      <w:r>
        <w:rPr>
          <w:noProof/>
        </w:rPr>
        <w:drawing>
          <wp:inline distT="0" distB="0" distL="0" distR="0" wp14:anchorId="2C7728A1" wp14:editId="78605180">
            <wp:extent cx="8863330" cy="4478020"/>
            <wp:effectExtent l="0" t="0" r="0" b="0"/>
            <wp:docPr id="15961029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03575" w14:textId="31810EA3" w:rsidR="006540D6" w:rsidRDefault="006540D6" w:rsidP="006540D6">
      <w:pPr>
        <w:rPr>
          <w:b/>
          <w:bCs/>
          <w:lang w:val="en-SG"/>
        </w:rPr>
      </w:pPr>
      <w:r w:rsidRPr="006540D6">
        <w:rPr>
          <w:b/>
          <w:bCs/>
          <w:lang w:val="en-SG"/>
        </w:rPr>
        <w:t xml:space="preserve">Note: </w:t>
      </w:r>
      <w:r w:rsidRPr="006540D6">
        <w:rPr>
          <w:b/>
          <w:bCs/>
          <w:i/>
          <w:iCs/>
          <w:lang w:val="en-SG"/>
        </w:rPr>
        <w:t xml:space="preserve">p </w:t>
      </w:r>
      <w:r w:rsidRPr="006540D6">
        <w:rPr>
          <w:b/>
          <w:bCs/>
          <w:lang w:val="en-SG"/>
        </w:rPr>
        <w:t>values obtained from contrasts</w:t>
      </w:r>
      <w:r w:rsidR="00ED76FA">
        <w:rPr>
          <w:b/>
          <w:bCs/>
          <w:lang w:val="en-SG"/>
        </w:rPr>
        <w:t xml:space="preserve"> with Bonferroni correction.</w:t>
      </w:r>
    </w:p>
    <w:p w14:paraId="3F3792F4" w14:textId="7813B75F" w:rsidR="005E4A98" w:rsidRDefault="005E4A98">
      <w:pPr>
        <w:rPr>
          <w:b/>
          <w:bCs/>
          <w:lang w:val="en-SG"/>
        </w:rPr>
      </w:pPr>
    </w:p>
    <w:sectPr w:rsidR="005E4A98" w:rsidSect="00357036">
      <w:foot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20BD6" w14:textId="77777777" w:rsidR="00692E63" w:rsidRDefault="00692E63" w:rsidP="00851D39">
      <w:pPr>
        <w:spacing w:after="0" w:line="240" w:lineRule="auto"/>
      </w:pPr>
      <w:r>
        <w:separator/>
      </w:r>
    </w:p>
  </w:endnote>
  <w:endnote w:type="continuationSeparator" w:id="0">
    <w:p w14:paraId="7824DA46" w14:textId="77777777" w:rsidR="00692E63" w:rsidRDefault="00692E63" w:rsidP="00851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83410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646140" w14:textId="3F1494ED" w:rsidR="00851D39" w:rsidRDefault="00851D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75B0D3" w14:textId="77777777" w:rsidR="00851D39" w:rsidRDefault="00851D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1B396" w14:textId="77777777" w:rsidR="00692E63" w:rsidRDefault="00692E63" w:rsidP="00851D39">
      <w:pPr>
        <w:spacing w:after="0" w:line="240" w:lineRule="auto"/>
      </w:pPr>
      <w:r>
        <w:separator/>
      </w:r>
    </w:p>
  </w:footnote>
  <w:footnote w:type="continuationSeparator" w:id="0">
    <w:p w14:paraId="341AC807" w14:textId="77777777" w:rsidR="00692E63" w:rsidRDefault="00692E63" w:rsidP="00851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114F3"/>
    <w:multiLevelType w:val="hybridMultilevel"/>
    <w:tmpl w:val="A530AB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E7FB8"/>
    <w:multiLevelType w:val="hybridMultilevel"/>
    <w:tmpl w:val="0F64BE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F39CF"/>
    <w:multiLevelType w:val="hybridMultilevel"/>
    <w:tmpl w:val="BD585C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35065"/>
    <w:multiLevelType w:val="hybridMultilevel"/>
    <w:tmpl w:val="D2DE30D6"/>
    <w:lvl w:ilvl="0" w:tplc="931896B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041A8"/>
    <w:multiLevelType w:val="hybridMultilevel"/>
    <w:tmpl w:val="192E3B80"/>
    <w:lvl w:ilvl="0" w:tplc="931896B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67980"/>
    <w:multiLevelType w:val="hybridMultilevel"/>
    <w:tmpl w:val="E3749DDE"/>
    <w:lvl w:ilvl="0" w:tplc="D8C8EE1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388258">
    <w:abstractNumId w:val="2"/>
  </w:num>
  <w:num w:numId="2" w16cid:durableId="1928881813">
    <w:abstractNumId w:val="1"/>
  </w:num>
  <w:num w:numId="3" w16cid:durableId="1394349422">
    <w:abstractNumId w:val="3"/>
  </w:num>
  <w:num w:numId="4" w16cid:durableId="986320519">
    <w:abstractNumId w:val="0"/>
  </w:num>
  <w:num w:numId="5" w16cid:durableId="878129834">
    <w:abstractNumId w:val="4"/>
  </w:num>
  <w:num w:numId="6" w16cid:durableId="2053378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36"/>
    <w:rsid w:val="00116481"/>
    <w:rsid w:val="001202DF"/>
    <w:rsid w:val="00157037"/>
    <w:rsid w:val="00357036"/>
    <w:rsid w:val="003D28BB"/>
    <w:rsid w:val="003F29DB"/>
    <w:rsid w:val="003F3BF5"/>
    <w:rsid w:val="003F5F15"/>
    <w:rsid w:val="004409C1"/>
    <w:rsid w:val="004F048D"/>
    <w:rsid w:val="00574881"/>
    <w:rsid w:val="00581DC5"/>
    <w:rsid w:val="005A107F"/>
    <w:rsid w:val="005B6898"/>
    <w:rsid w:val="005B73CB"/>
    <w:rsid w:val="005E10DC"/>
    <w:rsid w:val="005E4A98"/>
    <w:rsid w:val="006540D6"/>
    <w:rsid w:val="00676A7A"/>
    <w:rsid w:val="0069147B"/>
    <w:rsid w:val="00692E63"/>
    <w:rsid w:val="00726870"/>
    <w:rsid w:val="00726F49"/>
    <w:rsid w:val="00823C9A"/>
    <w:rsid w:val="00851D39"/>
    <w:rsid w:val="00857EE7"/>
    <w:rsid w:val="009011FF"/>
    <w:rsid w:val="00930347"/>
    <w:rsid w:val="00990DB6"/>
    <w:rsid w:val="00A552B2"/>
    <w:rsid w:val="00A64D1E"/>
    <w:rsid w:val="00B17674"/>
    <w:rsid w:val="00B358CE"/>
    <w:rsid w:val="00B71EBF"/>
    <w:rsid w:val="00B81C33"/>
    <w:rsid w:val="00BA1171"/>
    <w:rsid w:val="00BF3E52"/>
    <w:rsid w:val="00C27E51"/>
    <w:rsid w:val="00C616A0"/>
    <w:rsid w:val="00D04696"/>
    <w:rsid w:val="00D5632D"/>
    <w:rsid w:val="00D84023"/>
    <w:rsid w:val="00E46419"/>
    <w:rsid w:val="00E84534"/>
    <w:rsid w:val="00E87212"/>
    <w:rsid w:val="00ED174C"/>
    <w:rsid w:val="00ED76FA"/>
    <w:rsid w:val="00F14476"/>
    <w:rsid w:val="00F7326E"/>
    <w:rsid w:val="00F86FCB"/>
    <w:rsid w:val="00FB2B95"/>
    <w:rsid w:val="00FD4C0F"/>
    <w:rsid w:val="00FD6605"/>
    <w:rsid w:val="00FF35DF"/>
    <w:rsid w:val="00FF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AEAA"/>
  <w15:chartTrackingRefBased/>
  <w15:docId w15:val="{3EFCE799-9C89-4084-83A4-8F59C62A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A7A"/>
    <w:rPr>
      <w:rFonts w:ascii="Times New Roman" w:hAnsi="Times New Roman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03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F49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F49"/>
    <w:pPr>
      <w:keepNext/>
      <w:keepLines/>
      <w:spacing w:before="160" w:after="80"/>
      <w:outlineLvl w:val="2"/>
    </w:pPr>
    <w:rPr>
      <w:rFonts w:eastAsiaTheme="majorEastAsia" w:cstheme="majorBidi"/>
      <w:b/>
      <w:i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036"/>
    <w:rPr>
      <w:rFonts w:ascii="Times New Roman" w:eastAsiaTheme="majorEastAsia" w:hAnsi="Times New Roman" w:cstheme="majorBidi"/>
      <w:b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726F49"/>
    <w:rPr>
      <w:rFonts w:ascii="Times New Roman" w:eastAsiaTheme="majorEastAsia" w:hAnsi="Times New Roman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726F49"/>
    <w:rPr>
      <w:rFonts w:ascii="Times New Roman" w:eastAsiaTheme="majorEastAsia" w:hAnsi="Times New Roman" w:cstheme="majorBidi"/>
      <w:b/>
      <w:i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036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036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036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036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036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036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357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036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036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357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036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357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036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35703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D4C0F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D4C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C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1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1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D39"/>
    <w:rPr>
      <w:rFonts w:ascii="Times New Roman" w:hAnsi="Times New Roman"/>
      <w:sz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851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D39"/>
    <w:rPr>
      <w:rFonts w:ascii="Times New Roman" w:hAnsi="Times New Roman"/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los.org/ploscompbiol/article?id=10.1371/journal.pcbi.100698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pubmed.ncbi.nlm.nih.gov/2534753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pmc/articles/PMC3847555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2C9C2-1D80-4E3E-8968-FAB4807E9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3123</TotalTime>
  <Pages>1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Jeryl Lim</dc:creator>
  <cp:keywords/>
  <dc:description/>
  <cp:lastModifiedBy>Jeryl Lim</cp:lastModifiedBy>
  <cp:revision>26</cp:revision>
  <dcterms:created xsi:type="dcterms:W3CDTF">2024-08-30T12:58:00Z</dcterms:created>
  <dcterms:modified xsi:type="dcterms:W3CDTF">2024-09-09T03:20:00Z</dcterms:modified>
</cp:coreProperties>
</file>