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F43CD" w14:textId="04770A22" w:rsidR="00FF7B33" w:rsidRPr="00951C77" w:rsidRDefault="00FF7B33" w:rsidP="00951C77">
      <w:pPr>
        <w:pStyle w:val="a3"/>
      </w:pPr>
      <w:r w:rsidRPr="00951C77">
        <w:t>Joyner Document Format</w:t>
      </w:r>
      <w:r w:rsidR="00723246" w:rsidRPr="00951C77">
        <w:t xml:space="preserve"> </w:t>
      </w:r>
      <w:r w:rsidR="001609D3">
        <w:t>v</w:t>
      </w:r>
      <w:r w:rsidR="00723246" w:rsidRPr="00951C77">
        <w:t>2.</w:t>
      </w:r>
      <w:r w:rsidR="0054029E">
        <w:t>2</w:t>
      </w:r>
      <w:r w:rsidR="00D501FF">
        <w:t>:</w:t>
      </w:r>
      <w:r w:rsidRPr="00951C77">
        <w:br/>
      </w:r>
      <w:r w:rsidR="00CC25B3">
        <w:t>For Use in CS6460, CS6750, and CS7637</w:t>
      </w:r>
    </w:p>
    <w:p w14:paraId="5F871ED8" w14:textId="24FEC7B7" w:rsidR="00FF7B33" w:rsidRPr="00FF7B33" w:rsidRDefault="00141B95" w:rsidP="00126D77">
      <w:pPr>
        <w:pStyle w:val="a4"/>
      </w:pPr>
      <w:r>
        <w:t>Author Name</w:t>
      </w:r>
      <w:r w:rsidR="00FF7B33">
        <w:br/>
      </w:r>
      <w:r>
        <w:t>username</w:t>
      </w:r>
      <w:r w:rsidR="00FF7B33" w:rsidRPr="00FF7B33">
        <w:t>@</w:t>
      </w:r>
      <w:r w:rsidR="00FD25E7">
        <w:t>gatech.edu</w:t>
      </w:r>
    </w:p>
    <w:p w14:paraId="2186EF48" w14:textId="78C90DB5" w:rsidR="00784B78" w:rsidRPr="0054029E" w:rsidRDefault="001C52FB" w:rsidP="0054029E">
      <w:pPr>
        <w:pStyle w:val="Abstract"/>
      </w:pPr>
      <w:r w:rsidRPr="0054029E">
        <w:rPr>
          <w:b/>
          <w:bCs/>
          <w:i/>
          <w:iCs/>
        </w:rPr>
        <w:t>Abstract</w:t>
      </w:r>
      <w:r w:rsidR="002E20C6" w:rsidRPr="0054029E">
        <w:rPr>
          <w:b/>
          <w:bCs/>
          <w:i/>
          <w:iCs/>
        </w:rPr>
        <w:t>—</w:t>
      </w:r>
      <w:r w:rsidR="0054029E" w:rsidRPr="0054029E">
        <w:rPr>
          <w:rFonts w:eastAsiaTheme="minorHAnsi"/>
        </w:rPr>
        <w:t xml:space="preserve">Welcome to Joyner Document Format (JDF) v2.2! JDF is primarily intended to standardize page lengths while ensuring readability. Note that you are required to use JDF for all written assignments, </w:t>
      </w:r>
    </w:p>
    <w:p w14:paraId="77C7DD8E" w14:textId="50EC2C62" w:rsidR="00D5034D" w:rsidRPr="009B7A17" w:rsidRDefault="00E22BDE" w:rsidP="00B4491E">
      <w:pPr>
        <w:pStyle w:val="1"/>
      </w:pPr>
      <w:r>
        <w:t>introduction</w:t>
      </w:r>
    </w:p>
    <w:p w14:paraId="541F03C9" w14:textId="72BC1C90" w:rsidR="00366B2D" w:rsidRDefault="00CC25B3" w:rsidP="00CC25B3">
      <w:r w:rsidRPr="00082DC0">
        <w:t xml:space="preserve">All text </w:t>
      </w:r>
      <w:r>
        <w:t xml:space="preserve">in </w:t>
      </w:r>
      <w:r w:rsidRPr="00CC25B3">
        <w:rPr>
          <w:rStyle w:val="CAPS"/>
        </w:rPr>
        <w:t>JDF</w:t>
      </w:r>
      <w:r>
        <w:t xml:space="preserve"> </w:t>
      </w:r>
      <w:r w:rsidRPr="00082DC0">
        <w:t>should be</w:t>
      </w:r>
      <w:r>
        <w:t xml:space="preserve"> set</w:t>
      </w:r>
      <w:r w:rsidRPr="00082DC0">
        <w:t xml:space="preserve"> in the </w:t>
      </w:r>
      <w:r>
        <w:t>Palatino typeface</w:t>
      </w:r>
      <w:r w:rsidRPr="00082DC0">
        <w:t xml:space="preserve">. </w:t>
      </w:r>
      <w:r>
        <w:t>It is available practically everywhere</w:t>
      </w:r>
      <w:r w:rsidR="009D4DAC">
        <w:t xml:space="preserve"> as a system font</w:t>
      </w:r>
      <w:r w:rsidR="00C31BDB">
        <w:t>:</w:t>
      </w:r>
      <w:r>
        <w:t xml:space="preserve"> Microsoft </w:t>
      </w:r>
      <w:r w:rsidR="002F7302">
        <w:t>ships</w:t>
      </w:r>
      <w:r>
        <w:t xml:space="preserve"> a version called </w:t>
      </w:r>
      <w:r w:rsidRPr="005351A8">
        <w:rPr>
          <w:i/>
        </w:rPr>
        <w:t>Palatino Linotype,</w:t>
      </w:r>
      <w:r>
        <w:t xml:space="preserve"> and Apple </w:t>
      </w:r>
      <w:r w:rsidR="002F7302">
        <w:t>uses a</w:t>
      </w:r>
      <w:r>
        <w:t xml:space="preserve"> version simply called </w:t>
      </w:r>
      <w:r w:rsidRPr="005351A8">
        <w:rPr>
          <w:i/>
        </w:rPr>
        <w:t>Palatino.</w:t>
      </w:r>
      <w:r>
        <w:t xml:space="preserve"> Those without either can look for “Book Antiqua” </w:t>
      </w:r>
      <w:r w:rsidR="001E56D1">
        <w:t>i</w:t>
      </w:r>
      <w:r>
        <w:t xml:space="preserve">n their </w:t>
      </w:r>
      <w:r w:rsidR="001E56D1">
        <w:t>fonts list</w:t>
      </w:r>
      <w:r>
        <w:t xml:space="preserve"> or download</w:t>
      </w:r>
      <w:r w:rsidR="003C529A" w:rsidRPr="003C529A">
        <w:rPr>
          <w:spacing w:val="-14"/>
        </w:rPr>
        <w:t xml:space="preserve"> </w:t>
      </w:r>
      <w:hyperlink r:id="rId8" w:history="1">
        <w:r w:rsidR="003C529A" w:rsidRPr="003C529A">
          <w:rPr>
            <w:rStyle w:val="a5"/>
            <w:spacing w:val="-14"/>
          </w:rPr>
          <w:t>T</w:t>
        </w:r>
        <w:r w:rsidR="003C529A" w:rsidRPr="003C529A">
          <w:rPr>
            <w:rStyle w:val="a5"/>
            <w:spacing w:val="-7"/>
            <w:position w:val="-5"/>
          </w:rPr>
          <w:t>E</w:t>
        </w:r>
        <w:r w:rsidR="003C529A" w:rsidRPr="003C529A">
          <w:rPr>
            <w:rStyle w:val="a5"/>
            <w:spacing w:val="-7"/>
          </w:rPr>
          <w:t>X</w:t>
        </w:r>
        <w:r w:rsidRPr="003C529A">
          <w:rPr>
            <w:rStyle w:val="a5"/>
          </w:rPr>
          <w:t xml:space="preserve"> Gyre Pagella</w:t>
        </w:r>
      </w:hyperlink>
      <w:r>
        <w:t xml:space="preserve"> from </w:t>
      </w:r>
      <w:r w:rsidRPr="00CC25B3">
        <w:rPr>
          <w:rStyle w:val="CAPS"/>
        </w:rPr>
        <w:t>CTAN</w:t>
      </w:r>
      <w:r>
        <w:t xml:space="preserve">. </w:t>
      </w:r>
      <w:r w:rsidR="00C31BDB">
        <w:t>They</w:t>
      </w:r>
      <w:r>
        <w:t xml:space="preserve"> </w:t>
      </w:r>
      <w:r w:rsidR="00C31BDB">
        <w:t xml:space="preserve">all </w:t>
      </w:r>
      <w:r>
        <w:t>come in regular and bold weights</w:t>
      </w:r>
      <w:r w:rsidR="009D4DAC">
        <w:t xml:space="preserve"> with matching italics</w:t>
      </w:r>
      <w:r>
        <w:t>.</w:t>
      </w:r>
      <w:r w:rsidR="00366B2D">
        <w:t xml:space="preserve"> </w:t>
      </w:r>
    </w:p>
    <w:p w14:paraId="7269C6F7" w14:textId="3DB4F766" w:rsidR="00FB6E06" w:rsidRDefault="00E22BDE" w:rsidP="00FB6E06">
      <w:pPr>
        <w:pStyle w:val="1"/>
      </w:pPr>
      <w:r>
        <w:t>experiments</w:t>
      </w:r>
    </w:p>
    <w:p w14:paraId="7C9A8490" w14:textId="238FF4A3" w:rsidR="00FB6E06" w:rsidRDefault="00E22BDE" w:rsidP="00FB6E06">
      <w:r>
        <w:t>The experiments consist of two sections</w:t>
      </w:r>
      <w:r w:rsidR="003403B9">
        <w:t>. First experiment assumed that user will not go bankrupt while the second experiment was designed in such a way that the game will stop once user has no money left.</w:t>
      </w:r>
    </w:p>
    <w:p w14:paraId="7D5FA26B" w14:textId="49AC49AF" w:rsidR="00FB6E06" w:rsidRDefault="003403B9" w:rsidP="00FB6E06">
      <w:pPr>
        <w:pStyle w:val="2"/>
      </w:pPr>
      <w:proofErr w:type="spellStart"/>
      <w:r>
        <w:t>Exeriment</w:t>
      </w:r>
      <w:proofErr w:type="spellEnd"/>
      <w:r>
        <w:t xml:space="preserve"> 1</w:t>
      </w:r>
    </w:p>
    <w:p w14:paraId="14DDCFAA" w14:textId="6082108C" w:rsidR="003403B9" w:rsidRDefault="003403B9" w:rsidP="00FB6E06">
      <w:r>
        <w:t>Describe about the experiment</w:t>
      </w:r>
    </w:p>
    <w:p w14:paraId="21BC0E7C" w14:textId="73A3762A" w:rsidR="003403B9" w:rsidRDefault="003403B9" w:rsidP="003403B9">
      <w:pPr>
        <w:pStyle w:val="3"/>
      </w:pPr>
      <w:r>
        <w:t>Question 1</w:t>
      </w:r>
    </w:p>
    <w:p w14:paraId="089D5F83" w14:textId="1865CC61" w:rsidR="004C3D61" w:rsidRDefault="004C3D61" w:rsidP="00FB6E06">
      <w:r>
        <w:t>To compute the probability of winning $80 after 1000 sequential bets, Figure 1 simulation shows that all three episodes would render $80 even before 1000 spins. In fact, all three episodes converged to $80 at 174 spins.</w:t>
      </w:r>
    </w:p>
    <w:p w14:paraId="05163848" w14:textId="1E054E04" w:rsidR="004C3D61" w:rsidRDefault="004C3D61" w:rsidP="004C3D61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lastRenderedPageBreak/>
        <w:drawing>
          <wp:inline distT="0" distB="0" distL="0" distR="0" wp14:anchorId="4C8EB356" wp14:editId="19A93BF1">
            <wp:extent cx="4238368" cy="2119184"/>
            <wp:effectExtent l="0" t="0" r="3810" b="1905"/>
            <wp:docPr id="1080951061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51061" name="Picture 1" descr="A graph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90" cy="21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284D" w14:textId="77777777" w:rsidR="004C3D61" w:rsidRDefault="004C3D61" w:rsidP="004C3D61">
      <w:pPr>
        <w:pStyle w:val="FigureCaption"/>
        <w:ind w:firstLine="0"/>
      </w:pPr>
      <w:r>
        <w:t xml:space="preserve">Make sure your flowcharts are more useful than this one. Source: </w:t>
      </w:r>
      <w:hyperlink r:id="rId10" w:history="1">
        <w:r w:rsidRPr="00CB3D03">
          <w:rPr>
            <w:rStyle w:val="a5"/>
            <w:spacing w:val="11"/>
            <w14:numForm w14:val="lining"/>
          </w:rPr>
          <w:t>XKCD</w:t>
        </w:r>
      </w:hyperlink>
      <w:r>
        <w:t>.</w:t>
      </w:r>
    </w:p>
    <w:p w14:paraId="38B0A30E" w14:textId="77777777" w:rsidR="003403B9" w:rsidRDefault="003403B9" w:rsidP="00FB6E06"/>
    <w:p w14:paraId="0FEA9CBB" w14:textId="454E3EF2" w:rsidR="00FB6E06" w:rsidRDefault="004C3D61" w:rsidP="00FB6E06">
      <w:proofErr w:type="gramStart"/>
      <w:r>
        <w:t xml:space="preserve">All </w:t>
      </w:r>
      <w:r w:rsidR="00942D6B">
        <w:t>of</w:t>
      </w:r>
      <w:proofErr w:type="gramEnd"/>
      <w:r w:rsidR="00942D6B">
        <w:t xml:space="preserve"> </w:t>
      </w:r>
      <w:proofErr w:type="gramStart"/>
      <w:r w:rsidR="00942D6B">
        <w:t>three episode</w:t>
      </w:r>
      <w:proofErr w:type="gramEnd"/>
      <w:r w:rsidR="00942D6B">
        <w:t xml:space="preserve"> results are $80 after 1000 spins. </w:t>
      </w:r>
      <w:proofErr w:type="gramStart"/>
      <w:r w:rsidR="00942D6B">
        <w:t>Thus</w:t>
      </w:r>
      <w:proofErr w:type="gramEnd"/>
      <w:r w:rsidR="00942D6B">
        <w:t xml:space="preserve"> probability of winning $80 after 1000 </w:t>
      </w:r>
      <w:proofErr w:type="spellStart"/>
      <w:r w:rsidR="00942D6B">
        <w:t>sequentials</w:t>
      </w:r>
      <w:proofErr w:type="spellEnd"/>
      <w:r w:rsidR="00942D6B">
        <w:t xml:space="preserve"> </w:t>
      </w:r>
      <w:proofErr w:type="gramStart"/>
      <w:r w:rsidR="00942D6B">
        <w:t>are</w:t>
      </w:r>
      <w:proofErr w:type="gramEnd"/>
      <w:r w:rsidR="00942D6B">
        <w:t xml:space="preserve"> 100% if we use the model 1</w:t>
      </w:r>
    </w:p>
    <w:p w14:paraId="05365E16" w14:textId="6AFBADB0" w:rsidR="00942D6B" w:rsidRDefault="00942D6B" w:rsidP="00942D6B">
      <w:pPr>
        <w:pStyle w:val="3"/>
      </w:pPr>
      <w:r>
        <w:t>Question 2</w:t>
      </w:r>
    </w:p>
    <w:p w14:paraId="3B59F5C5" w14:textId="271457B1" w:rsidR="00942D6B" w:rsidRDefault="00942D6B" w:rsidP="00FB6E06">
      <w:r>
        <w:t xml:space="preserve">Expected value of experiment is $80. Expected value of experiments can be calculated using the function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</m:oMath>
      <w:r>
        <w:t xml:space="preserve"> . </w:t>
      </w:r>
      <w:r w:rsidR="00C50365">
        <w:t xml:space="preserve">If we compute </w:t>
      </w:r>
      <w:proofErr w:type="gramStart"/>
      <w:r w:rsidR="00C50365">
        <w:t>number</w:t>
      </w:r>
      <w:proofErr w:type="gramEnd"/>
      <w:r w:rsidR="00C50365">
        <w:t xml:space="preserve"> of winning </w:t>
      </w:r>
      <w:proofErr w:type="gramStart"/>
      <w:r w:rsidR="00C50365">
        <w:t>value</w:t>
      </w:r>
      <w:proofErr w:type="gramEnd"/>
      <w:r w:rsidR="00C50365">
        <w:t xml:space="preserve"> at 1001 </w:t>
      </w:r>
      <w:proofErr w:type="spellStart"/>
      <w:r w:rsidR="00C50365">
        <w:t>sequentials</w:t>
      </w:r>
      <w:proofErr w:type="spellEnd"/>
      <w:r w:rsidR="00C50365">
        <w:t>, all three of them are $80. Thus 100% * $80 will give us the expected value of $80.</w:t>
      </w:r>
    </w:p>
    <w:p w14:paraId="6C9926AE" w14:textId="65D1AFD1" w:rsidR="00270834" w:rsidRDefault="00270834" w:rsidP="00FB6E06"/>
    <w:p w14:paraId="00A4AC2F" w14:textId="7B360A2A" w:rsidR="00B2148C" w:rsidRDefault="00B2148C" w:rsidP="00B2148C">
      <w:pPr>
        <w:pStyle w:val="3"/>
      </w:pPr>
      <w:r>
        <w:t>Question 3</w:t>
      </w:r>
    </w:p>
    <w:p w14:paraId="453102C5" w14:textId="760F19EB" w:rsidR="00B2148C" w:rsidRDefault="00B2148C" w:rsidP="00B2148C">
      <w:r>
        <w:t xml:space="preserve">The </w:t>
      </w:r>
      <w:r w:rsidR="00D0671E">
        <w:t>standard deviation</w:t>
      </w:r>
      <w:r>
        <w:t xml:space="preserve"> represents the risk of the bets. </w:t>
      </w:r>
      <w:r w:rsidR="00D0671E">
        <w:t>High standard deviation means that values of at each episodes fluctuates widely. As shown in the table 1, high standard deviation is due to outlier value.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1300"/>
        <w:gridCol w:w="1400"/>
        <w:gridCol w:w="1480"/>
        <w:gridCol w:w="1300"/>
        <w:gridCol w:w="1300"/>
        <w:gridCol w:w="1300"/>
      </w:tblGrid>
      <w:tr w:rsidR="00D0671E" w:rsidRPr="00D0671E" w14:paraId="717DFAA2" w14:textId="77777777" w:rsidTr="002B6D59">
        <w:trPr>
          <w:trHeight w:val="320"/>
        </w:trPr>
        <w:tc>
          <w:tcPr>
            <w:tcW w:w="1300" w:type="dxa"/>
            <w:tcBorders>
              <w:top w:val="dotDash" w:sz="8" w:space="0" w:color="auto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4284" w14:textId="60EC0C45" w:rsidR="00D0671E" w:rsidRPr="00D0671E" w:rsidRDefault="00D0671E" w:rsidP="002B6D59">
            <w:pPr>
              <w:spacing w:line="280" w:lineRule="exact"/>
              <w:jc w:val="center"/>
              <w:rPr>
                <w:b/>
                <w:sz w:val="17"/>
              </w:rPr>
            </w:pPr>
            <w:r w:rsidRPr="002B6D59">
              <w:rPr>
                <w:sz w:val="17"/>
              </w:rPr>
              <w:t>Spin No.</w:t>
            </w:r>
          </w:p>
        </w:tc>
        <w:tc>
          <w:tcPr>
            <w:tcW w:w="1400" w:type="dxa"/>
            <w:tcBorders>
              <w:top w:val="dotDash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AC0E" w14:textId="77777777" w:rsidR="00D0671E" w:rsidRPr="00D0671E" w:rsidRDefault="00D0671E" w:rsidP="002B6D59">
            <w:pPr>
              <w:spacing w:line="280" w:lineRule="exact"/>
              <w:jc w:val="center"/>
              <w:rPr>
                <w:b/>
                <w:sz w:val="17"/>
              </w:rPr>
            </w:pPr>
            <w:r w:rsidRPr="00D0671E">
              <w:rPr>
                <w:b/>
                <w:sz w:val="17"/>
              </w:rPr>
              <w:t>std_dev</w:t>
            </w:r>
          </w:p>
        </w:tc>
        <w:tc>
          <w:tcPr>
            <w:tcW w:w="1480" w:type="dxa"/>
            <w:tcBorders>
              <w:top w:val="dotDash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505B" w14:textId="77777777" w:rsidR="00D0671E" w:rsidRPr="00D0671E" w:rsidRDefault="00D0671E" w:rsidP="002B6D59">
            <w:pPr>
              <w:spacing w:line="280" w:lineRule="exact"/>
              <w:jc w:val="center"/>
              <w:rPr>
                <w:b/>
                <w:sz w:val="17"/>
              </w:rPr>
            </w:pPr>
            <w:r w:rsidRPr="00D0671E">
              <w:rPr>
                <w:b/>
                <w:sz w:val="17"/>
              </w:rPr>
              <w:t>Mean</w:t>
            </w:r>
          </w:p>
        </w:tc>
        <w:tc>
          <w:tcPr>
            <w:tcW w:w="1300" w:type="dxa"/>
            <w:tcBorders>
              <w:top w:val="dotDash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8089" w14:textId="77777777" w:rsidR="00D0671E" w:rsidRPr="00D0671E" w:rsidRDefault="00D0671E" w:rsidP="002B6D59">
            <w:pPr>
              <w:spacing w:line="280" w:lineRule="exact"/>
              <w:jc w:val="center"/>
              <w:rPr>
                <w:b/>
                <w:sz w:val="17"/>
              </w:rPr>
            </w:pPr>
            <w:r w:rsidRPr="00D0671E">
              <w:rPr>
                <w:b/>
                <w:sz w:val="17"/>
              </w:rPr>
              <w:t>Episode1</w:t>
            </w:r>
          </w:p>
        </w:tc>
        <w:tc>
          <w:tcPr>
            <w:tcW w:w="1300" w:type="dxa"/>
            <w:tcBorders>
              <w:top w:val="dotDash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A90" w14:textId="77777777" w:rsidR="00D0671E" w:rsidRPr="00D0671E" w:rsidRDefault="00D0671E" w:rsidP="002B6D59">
            <w:pPr>
              <w:spacing w:line="280" w:lineRule="exact"/>
              <w:jc w:val="center"/>
              <w:rPr>
                <w:b/>
                <w:sz w:val="17"/>
              </w:rPr>
            </w:pPr>
            <w:r w:rsidRPr="00D0671E">
              <w:rPr>
                <w:b/>
                <w:sz w:val="17"/>
              </w:rPr>
              <w:t>Episode2</w:t>
            </w:r>
          </w:p>
        </w:tc>
        <w:tc>
          <w:tcPr>
            <w:tcW w:w="1300" w:type="dxa"/>
            <w:tcBorders>
              <w:top w:val="dotDash" w:sz="8" w:space="0" w:color="auto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center"/>
            <w:hideMark/>
          </w:tcPr>
          <w:p w14:paraId="4E38BB80" w14:textId="77777777" w:rsidR="00D0671E" w:rsidRPr="00D0671E" w:rsidRDefault="00D0671E" w:rsidP="002B6D59">
            <w:pPr>
              <w:spacing w:line="280" w:lineRule="exact"/>
              <w:jc w:val="center"/>
              <w:rPr>
                <w:b/>
                <w:sz w:val="17"/>
              </w:rPr>
            </w:pPr>
            <w:r w:rsidRPr="00D0671E">
              <w:rPr>
                <w:b/>
                <w:sz w:val="17"/>
              </w:rPr>
              <w:t>Episode3</w:t>
            </w:r>
          </w:p>
        </w:tc>
      </w:tr>
      <w:tr w:rsidR="00D0671E" w:rsidRPr="00D0671E" w14:paraId="7811730C" w14:textId="77777777" w:rsidTr="002B6D59">
        <w:trPr>
          <w:trHeight w:val="320"/>
        </w:trPr>
        <w:tc>
          <w:tcPr>
            <w:tcW w:w="1300" w:type="dxa"/>
            <w:tcBorders>
              <w:top w:val="nil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1097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2E60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242.37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D138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-108.33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41F6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5482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center"/>
            <w:hideMark/>
          </w:tcPr>
          <w:p w14:paraId="15DDC669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-451</w:t>
            </w:r>
          </w:p>
        </w:tc>
      </w:tr>
      <w:tr w:rsidR="00D0671E" w:rsidRPr="00D0671E" w14:paraId="31441C75" w14:textId="77777777" w:rsidTr="002B6D59">
        <w:trPr>
          <w:trHeight w:val="320"/>
        </w:trPr>
        <w:tc>
          <w:tcPr>
            <w:tcW w:w="1300" w:type="dxa"/>
            <w:tcBorders>
              <w:top w:val="nil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8972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BE72" w14:textId="77777777" w:rsidR="00D0671E" w:rsidRPr="00D0671E" w:rsidRDefault="00D0671E" w:rsidP="002B6D59">
            <w:pPr>
              <w:spacing w:after="0" w:line="240" w:lineRule="auto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8.65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E1B3" w14:textId="77777777" w:rsidR="00D0671E" w:rsidRPr="00D0671E" w:rsidRDefault="00D0671E" w:rsidP="002B6D59">
            <w:pPr>
              <w:spacing w:after="0" w:line="240" w:lineRule="auto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59.33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5209" w14:textId="77777777" w:rsidR="00D0671E" w:rsidRPr="00D0671E" w:rsidRDefault="00D0671E" w:rsidP="002B6D59">
            <w:pPr>
              <w:spacing w:after="0" w:line="240" w:lineRule="auto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2473" w14:textId="77777777" w:rsidR="00D0671E" w:rsidRPr="00D0671E" w:rsidRDefault="00D0671E" w:rsidP="002B6D59">
            <w:pPr>
              <w:spacing w:after="0" w:line="240" w:lineRule="auto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center"/>
            <w:hideMark/>
          </w:tcPr>
          <w:p w14:paraId="5A6008F2" w14:textId="77777777" w:rsidR="00D0671E" w:rsidRPr="00D0671E" w:rsidRDefault="00D0671E" w:rsidP="002B6D59">
            <w:pPr>
              <w:spacing w:after="0" w:line="240" w:lineRule="auto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61</w:t>
            </w:r>
          </w:p>
        </w:tc>
      </w:tr>
      <w:tr w:rsidR="00D0671E" w:rsidRPr="00D0671E" w14:paraId="0358E0F1" w14:textId="77777777" w:rsidTr="002B6D59">
        <w:trPr>
          <w:trHeight w:val="320"/>
        </w:trPr>
        <w:tc>
          <w:tcPr>
            <w:tcW w:w="1300" w:type="dxa"/>
            <w:tcBorders>
              <w:top w:val="nil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879A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E347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16.67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0DCF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55.00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9112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3556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center"/>
            <w:hideMark/>
          </w:tcPr>
          <w:p w14:paraId="36F8D6E5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62</w:t>
            </w:r>
          </w:p>
        </w:tc>
      </w:tr>
      <w:tr w:rsidR="00D0671E" w:rsidRPr="00D0671E" w14:paraId="3187CF5E" w14:textId="77777777" w:rsidTr="002B6D59">
        <w:trPr>
          <w:trHeight w:val="320"/>
        </w:trPr>
        <w:tc>
          <w:tcPr>
            <w:tcW w:w="1300" w:type="dxa"/>
            <w:tcBorders>
              <w:top w:val="nil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378D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BFF7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31.67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32DB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44.33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EA61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5784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center"/>
            <w:hideMark/>
          </w:tcPr>
          <w:p w14:paraId="413F3958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61</w:t>
            </w:r>
          </w:p>
        </w:tc>
      </w:tr>
      <w:tr w:rsidR="00D0671E" w:rsidRPr="00D0671E" w14:paraId="28FCFD65" w14:textId="77777777" w:rsidTr="00D0671E">
        <w:trPr>
          <w:trHeight w:val="320"/>
        </w:trPr>
        <w:tc>
          <w:tcPr>
            <w:tcW w:w="1300" w:type="dxa"/>
            <w:tcBorders>
              <w:top w:val="nil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204A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lastRenderedPageBreak/>
              <w:t>131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9A3E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61.55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EA75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22.67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4B3F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60F7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2391BC99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59</w:t>
            </w:r>
          </w:p>
        </w:tc>
      </w:tr>
      <w:tr w:rsidR="00D0671E" w:rsidRPr="00D0671E" w14:paraId="1DB081E0" w14:textId="77777777" w:rsidTr="00D0671E">
        <w:trPr>
          <w:trHeight w:val="320"/>
        </w:trPr>
        <w:tc>
          <w:tcPr>
            <w:tcW w:w="1300" w:type="dxa"/>
            <w:tcBorders>
              <w:top w:val="nil"/>
              <w:left w:val="dotDash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CDEE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ECD1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122.38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E119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-19.00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4763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697F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-192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19990062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63</w:t>
            </w:r>
          </w:p>
        </w:tc>
      </w:tr>
      <w:tr w:rsidR="00D0671E" w:rsidRPr="00D0671E" w14:paraId="78261970" w14:textId="77777777" w:rsidTr="00D0671E">
        <w:trPr>
          <w:trHeight w:val="340"/>
        </w:trPr>
        <w:tc>
          <w:tcPr>
            <w:tcW w:w="1300" w:type="dxa"/>
            <w:tcBorders>
              <w:top w:val="nil"/>
              <w:left w:val="dotDash" w:sz="8" w:space="0" w:color="auto"/>
              <w:bottom w:val="dotDash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32CA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133</w:t>
            </w:r>
          </w:p>
        </w:tc>
        <w:tc>
          <w:tcPr>
            <w:tcW w:w="1400" w:type="dxa"/>
            <w:tcBorders>
              <w:top w:val="nil"/>
              <w:left w:val="nil"/>
              <w:bottom w:val="dotDash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1CA4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243.29</w:t>
            </w:r>
          </w:p>
        </w:tc>
        <w:tc>
          <w:tcPr>
            <w:tcW w:w="1480" w:type="dxa"/>
            <w:tcBorders>
              <w:top w:val="nil"/>
              <w:left w:val="nil"/>
              <w:bottom w:val="dotDash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8E55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-104.00</w:t>
            </w:r>
          </w:p>
        </w:tc>
        <w:tc>
          <w:tcPr>
            <w:tcW w:w="1300" w:type="dxa"/>
            <w:tcBorders>
              <w:top w:val="nil"/>
              <w:left w:val="nil"/>
              <w:bottom w:val="dotDash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02AF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dotDash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C912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-448</w:t>
            </w:r>
          </w:p>
        </w:tc>
        <w:tc>
          <w:tcPr>
            <w:tcW w:w="1300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auto" w:fill="auto"/>
            <w:noWrap/>
            <w:vAlign w:val="bottom"/>
            <w:hideMark/>
          </w:tcPr>
          <w:p w14:paraId="664174AE" w14:textId="77777777" w:rsidR="00D0671E" w:rsidRPr="00D0671E" w:rsidRDefault="00D0671E" w:rsidP="002B6D59">
            <w:pPr>
              <w:spacing w:line="280" w:lineRule="exact"/>
              <w:jc w:val="center"/>
              <w:rPr>
                <w:sz w:val="17"/>
              </w:rPr>
            </w:pPr>
            <w:r w:rsidRPr="00D0671E">
              <w:rPr>
                <w:sz w:val="17"/>
              </w:rPr>
              <w:t>62</w:t>
            </w:r>
          </w:p>
        </w:tc>
      </w:tr>
    </w:tbl>
    <w:p w14:paraId="372C8DB6" w14:textId="77777777" w:rsidR="00D0671E" w:rsidRDefault="00D0671E" w:rsidP="00B2148C"/>
    <w:p w14:paraId="7F0CF04C" w14:textId="17E5B1F0" w:rsidR="0006010D" w:rsidRDefault="00D0671E" w:rsidP="00B2148C">
      <w:r>
        <w:t>After standard deviation</w:t>
      </w:r>
      <w:r w:rsidR="00313D2E">
        <w:t xml:space="preserve"> reaches</w:t>
      </w:r>
      <w:r>
        <w:t xml:space="preserve"> maximum value at spin 133, it gradually stabilizes</w:t>
      </w:r>
      <w:r w:rsidR="0006010D">
        <w:t xml:space="preserve"> as number of </w:t>
      </w:r>
      <w:r w:rsidR="00A56441">
        <w:t>spin</w:t>
      </w:r>
      <w:r w:rsidR="0006010D">
        <w:t xml:space="preserve"> increase</w:t>
      </w:r>
      <w:r w:rsidR="00EE2E77">
        <w:t xml:space="preserve">. Since the Martingale strategy is to double the bet after every loss and </w:t>
      </w:r>
      <w:proofErr w:type="gramStart"/>
      <w:r w:rsidR="00EE2E77">
        <w:t>probability</w:t>
      </w:r>
      <w:proofErr w:type="gramEnd"/>
      <w:r w:rsidR="00EE2E77">
        <w:t xml:space="preserve"> of winning is 18/38, </w:t>
      </w:r>
      <w:proofErr w:type="gramStart"/>
      <w:r w:rsidR="00672D95">
        <w:t>all of</w:t>
      </w:r>
      <w:proofErr w:type="gramEnd"/>
      <w:r w:rsidR="00672D95">
        <w:t xml:space="preserve"> the episodes eventually reach $80. In our case of martingale strategy</w:t>
      </w:r>
      <w:r w:rsidR="0006010D">
        <w:t xml:space="preserve"> </w:t>
      </w:r>
      <w:r w:rsidR="00672D95">
        <w:t xml:space="preserve">all episodes </w:t>
      </w:r>
      <w:r w:rsidR="0006010D">
        <w:t>reach $80 at spin 174, which means that standard deviation becomes 0.</w:t>
      </w:r>
    </w:p>
    <w:p w14:paraId="5622044C" w14:textId="39D3CDAF" w:rsidR="00D0671E" w:rsidRDefault="0006010D" w:rsidP="0006010D">
      <w:pPr>
        <w:spacing w:line="240" w:lineRule="auto"/>
        <w:jc w:val="center"/>
      </w:pP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 wp14:anchorId="0F1EA0CA" wp14:editId="17D82440">
            <wp:extent cx="3558746" cy="1779373"/>
            <wp:effectExtent l="0" t="0" r="0" b="0"/>
            <wp:docPr id="136890103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01030" name="Picture 1" descr="A graph of a graph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081" cy="17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54DD" w14:textId="0F7CFA4D" w:rsidR="00D0671E" w:rsidRPr="00B2148C" w:rsidRDefault="0006010D" w:rsidP="00B2148C">
      <w:pPr>
        <w:pStyle w:val="FigureCaption"/>
      </w:pPr>
      <w:r>
        <w:t xml:space="preserve">Make sure your flowcharts are more useful than this one. Source: </w:t>
      </w:r>
      <w:hyperlink r:id="rId12" w:history="1">
        <w:r w:rsidRPr="0006010D">
          <w:rPr>
            <w:rStyle w:val="a5"/>
            <w:spacing w:val="11"/>
            <w14:numForm w14:val="lining"/>
          </w:rPr>
          <w:t>XKCD</w:t>
        </w:r>
      </w:hyperlink>
      <w:r>
        <w:t>.</w:t>
      </w:r>
    </w:p>
    <w:p w14:paraId="3388DE36" w14:textId="775BF9E8" w:rsidR="00193F58" w:rsidRDefault="002B6D59" w:rsidP="00193F58">
      <w:pPr>
        <w:pStyle w:val="2"/>
      </w:pPr>
      <w:r>
        <w:t>Experiment 2</w:t>
      </w:r>
    </w:p>
    <w:p w14:paraId="6ECFB11B" w14:textId="6C3AFA47" w:rsidR="00E71DDC" w:rsidRDefault="002B6D59" w:rsidP="002B6D59">
      <w:r>
        <w:t xml:space="preserve">In experiment2, number of episodes we simulate increases to 1000. </w:t>
      </w:r>
      <w:proofErr w:type="gramStart"/>
      <w:r>
        <w:t>And also</w:t>
      </w:r>
      <w:proofErr w:type="gramEnd"/>
      <w:r>
        <w:t>, now there’s a bankroll. Each winning streak and losing streak will contribute to the bankroll. If bankroll reaches 0, simulation stops.</w:t>
      </w:r>
    </w:p>
    <w:p w14:paraId="616566E0" w14:textId="3D47710E" w:rsidR="002B6D59" w:rsidRDefault="002B6D59" w:rsidP="002B6D59">
      <w:pPr>
        <w:pStyle w:val="3"/>
      </w:pPr>
      <w:r>
        <w:t>Question 4</w:t>
      </w:r>
    </w:p>
    <w:p w14:paraId="0A289551" w14:textId="6F2AC0F0" w:rsidR="002B6D59" w:rsidRDefault="00372EA9" w:rsidP="002B6D59">
      <w:r>
        <w:t xml:space="preserve">Since we carry over the $80 dollar to the last spins, we will be able to calculate how many times we have won the game within 1000 spins for all the 1000 </w:t>
      </w:r>
      <w:proofErr w:type="spellStart"/>
      <w:r>
        <w:t>epiosdes</w:t>
      </w:r>
      <w:proofErr w:type="spellEnd"/>
      <w:r>
        <w:t xml:space="preserve">. Out of 1000 episodes, the simulator </w:t>
      </w:r>
      <w:proofErr w:type="gramStart"/>
      <w:r>
        <w:t>tell</w:t>
      </w:r>
      <w:proofErr w:type="gramEnd"/>
      <w:r>
        <w:t xml:space="preserve"> us that there are 359 cases where we have lost and 641 cases that the user has won the game. Thus, the probability of winning the bet is 64.1%.</w:t>
      </w:r>
    </w:p>
    <w:p w14:paraId="6F8C8B0F" w14:textId="3B505479" w:rsidR="00372EA9" w:rsidRDefault="00372EA9" w:rsidP="00372EA9">
      <w:pPr>
        <w:pStyle w:val="3"/>
      </w:pPr>
      <w:r>
        <w:lastRenderedPageBreak/>
        <w:t>Question 5</w:t>
      </w:r>
    </w:p>
    <w:p w14:paraId="1FB4426F" w14:textId="1F4792CE" w:rsidR="002B6D59" w:rsidRDefault="00BE3281" w:rsidP="002B6D59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We can calculate the expected value of the bet after 1000 spins using this function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</m:oMath>
      <w:r>
        <w:rPr>
          <w:rFonts w:eastAsiaTheme="minorEastAsia" w:hint="eastAsia"/>
          <w:lang w:eastAsia="ko-KR"/>
        </w:rPr>
        <w:t xml:space="preserve">. If we combine the probability with the reward value $80 * 64.1 % + -256 * </w:t>
      </w:r>
      <w:proofErr w:type="gramStart"/>
      <w:r>
        <w:rPr>
          <w:rFonts w:eastAsiaTheme="minorEastAsia" w:hint="eastAsia"/>
          <w:lang w:eastAsia="ko-KR"/>
        </w:rPr>
        <w:t xml:space="preserve">0.359 </w:t>
      </w:r>
      <w:r w:rsidR="00454AE7">
        <w:rPr>
          <w:rFonts w:eastAsiaTheme="minorEastAsia" w:hint="eastAsia"/>
          <w:lang w:eastAsia="ko-KR"/>
        </w:rPr>
        <w:t>,</w:t>
      </w:r>
      <w:proofErr w:type="gramEnd"/>
      <w:r w:rsidR="00454AE7">
        <w:rPr>
          <w:rFonts w:eastAsiaTheme="minorEastAsia" w:hint="eastAsia"/>
          <w:lang w:eastAsia="ko-KR"/>
        </w:rPr>
        <w:t xml:space="preserve"> then the expected value of this bet equals -40. 62..</w:t>
      </w:r>
    </w:p>
    <w:p w14:paraId="764C31C8" w14:textId="7B7F561C" w:rsidR="00454AE7" w:rsidRDefault="00454AE7" w:rsidP="00454AE7">
      <w:pPr>
        <w:pStyle w:val="3"/>
      </w:pPr>
      <w:r>
        <w:t xml:space="preserve">Question </w:t>
      </w:r>
      <w:r>
        <w:rPr>
          <w:rFonts w:eastAsiaTheme="minorEastAsia" w:hint="eastAsia"/>
          <w:lang w:eastAsia="ko-KR"/>
        </w:rPr>
        <w:t>6</w:t>
      </w:r>
    </w:p>
    <w:p w14:paraId="7A007B40" w14:textId="56FDB8BD" w:rsidR="00454AE7" w:rsidRDefault="00454AE7" w:rsidP="002B6D59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 xml:space="preserve">We can calculate the expected value of the bet after 1000 spins using this function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</m:oMath>
      <w:r>
        <w:rPr>
          <w:rFonts w:eastAsiaTheme="minorEastAsia" w:hint="eastAsia"/>
          <w:lang w:eastAsia="ko-KR"/>
        </w:rPr>
        <w:t xml:space="preserve">. If we combine the probability with the reward value $80 * 64.1 % + -256 * </w:t>
      </w:r>
      <w:proofErr w:type="gramStart"/>
      <w:r>
        <w:rPr>
          <w:rFonts w:eastAsiaTheme="minorEastAsia" w:hint="eastAsia"/>
          <w:lang w:eastAsia="ko-KR"/>
        </w:rPr>
        <w:t>0.359 ,</w:t>
      </w:r>
      <w:proofErr w:type="gramEnd"/>
      <w:r>
        <w:rPr>
          <w:rFonts w:eastAsiaTheme="minorEastAsia" w:hint="eastAsia"/>
          <w:lang w:eastAsia="ko-KR"/>
        </w:rPr>
        <w:t xml:space="preserve"> then the expected value of this bet equals -40. 62..</w:t>
      </w:r>
    </w:p>
    <w:p w14:paraId="34B09B8D" w14:textId="77777777" w:rsidR="00454AE7" w:rsidRPr="00BE3281" w:rsidRDefault="00454AE7" w:rsidP="002B6D59">
      <w:pPr>
        <w:rPr>
          <w:rFonts w:eastAsiaTheme="minorEastAsia" w:hint="eastAsia"/>
          <w:lang w:eastAsia="ko-KR"/>
        </w:rPr>
      </w:pPr>
    </w:p>
    <w:p w14:paraId="7B9562DC" w14:textId="77777777" w:rsidR="00960205" w:rsidRDefault="00960205" w:rsidP="00960205">
      <w:pPr>
        <w:pStyle w:val="2"/>
      </w:pPr>
      <w:r>
        <w:t>Additional elements</w:t>
      </w:r>
    </w:p>
    <w:p w14:paraId="61E690BB" w14:textId="45698CFA" w:rsidR="00F42F5D" w:rsidRDefault="00960205" w:rsidP="00CE0563">
      <w:r w:rsidRPr="00360939">
        <w:t xml:space="preserve">There are additional </w:t>
      </w:r>
      <w:r>
        <w:t>elements</w:t>
      </w:r>
      <w:r w:rsidRPr="00360939">
        <w:t xml:space="preserve"> you may </w:t>
      </w:r>
      <w:r>
        <w:t>want</w:t>
      </w:r>
      <w:r w:rsidRPr="00360939">
        <w:t xml:space="preserve"> to include in your paper</w:t>
      </w:r>
      <w:r>
        <w:t>, such as</w:t>
      </w:r>
      <w:r w:rsidRPr="00360939">
        <w:t xml:space="preserve"> in-line </w:t>
      </w:r>
      <w:r>
        <w:t xml:space="preserve">or </w:t>
      </w:r>
      <w:r w:rsidRPr="00360939">
        <w:t>block quotes, lists, and more.</w:t>
      </w:r>
      <w:r>
        <w:t xml:space="preserve"> </w:t>
      </w:r>
      <w:r w:rsidRPr="00360939">
        <w:t xml:space="preserve">For other content </w:t>
      </w:r>
      <w:r>
        <w:t xml:space="preserve">types </w:t>
      </w:r>
      <w:r w:rsidRPr="00360939">
        <w:t>not covered here, you have reasonable flexibility determining how it should be used in this format.</w:t>
      </w:r>
    </w:p>
    <w:p w14:paraId="0E2A8F73" w14:textId="68777A7D" w:rsidR="00E344D8" w:rsidRDefault="00661942" w:rsidP="0054029E">
      <w:pPr>
        <w:pStyle w:val="TableCaption"/>
      </w:pPr>
      <w:r w:rsidRPr="0054029E">
        <w:t>Mathematical</w:t>
      </w:r>
      <w:r>
        <w:t xml:space="preserve"> constants</w:t>
      </w:r>
      <w:r w:rsidR="00E344D8">
        <w:t>.</w:t>
      </w:r>
      <w:r>
        <w:t xml:space="preserve"> Notice how the approximations align at the decimal.</w:t>
      </w:r>
    </w:p>
    <w:tbl>
      <w:tblPr>
        <w:tblStyle w:val="JDF"/>
        <w:tblW w:w="7920" w:type="dxa"/>
        <w:tblLook w:val="04A0" w:firstRow="1" w:lastRow="0" w:firstColumn="1" w:lastColumn="0" w:noHBand="0" w:noVBand="1"/>
      </w:tblPr>
      <w:tblGrid>
        <w:gridCol w:w="1440"/>
        <w:gridCol w:w="1350"/>
        <w:gridCol w:w="1530"/>
        <w:gridCol w:w="3600"/>
      </w:tblGrid>
      <w:tr w:rsidR="00580D8A" w14:paraId="36933133" w14:textId="77777777" w:rsidTr="0030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7F40984" w14:textId="4B7BAA42" w:rsidR="00580D8A" w:rsidRDefault="00580D8A" w:rsidP="00580D8A">
            <w:pPr>
              <w:spacing w:line="280" w:lineRule="exact"/>
              <w:jc w:val="left"/>
            </w:pPr>
            <w:r>
              <w:t>Name</w:t>
            </w:r>
          </w:p>
        </w:tc>
        <w:tc>
          <w:tcPr>
            <w:tcW w:w="1350" w:type="dxa"/>
          </w:tcPr>
          <w:p w14:paraId="181E02BE" w14:textId="44200AC9" w:rsidR="00580D8A" w:rsidRDefault="00580D8A" w:rsidP="00580D8A">
            <w:pPr>
              <w:spacing w:line="280" w:lineRule="exact"/>
              <w:jc w:val="center"/>
            </w:pPr>
            <w:r>
              <w:t>Symbol</w:t>
            </w:r>
          </w:p>
        </w:tc>
        <w:tc>
          <w:tcPr>
            <w:tcW w:w="1530" w:type="dxa"/>
          </w:tcPr>
          <w:p w14:paraId="4503181A" w14:textId="36462ADA" w:rsidR="00580D8A" w:rsidRDefault="00580D8A" w:rsidP="00580D8A">
            <w:pPr>
              <w:tabs>
                <w:tab w:val="decimal" w:pos="270"/>
              </w:tabs>
              <w:spacing w:line="280" w:lineRule="exact"/>
              <w:jc w:val="left"/>
            </w:pPr>
            <w:r>
              <w:t>Approximation</w:t>
            </w:r>
          </w:p>
        </w:tc>
        <w:tc>
          <w:tcPr>
            <w:tcW w:w="3600" w:type="dxa"/>
            <w:tcMar>
              <w:right w:w="0" w:type="dxa"/>
            </w:tcMar>
          </w:tcPr>
          <w:p w14:paraId="525BFB2E" w14:textId="0559118E" w:rsidR="00580D8A" w:rsidRDefault="00580D8A" w:rsidP="00580D8A">
            <w:pPr>
              <w:spacing w:line="280" w:lineRule="exact"/>
              <w:jc w:val="left"/>
            </w:pPr>
            <w:r>
              <w:t>Description</w:t>
            </w:r>
          </w:p>
        </w:tc>
      </w:tr>
      <w:tr w:rsidR="00580D8A" w14:paraId="29B01CBA" w14:textId="77777777" w:rsidTr="003031BB">
        <w:trPr>
          <w:jc w:val="left"/>
        </w:trPr>
        <w:tc>
          <w:tcPr>
            <w:tcW w:w="1440" w:type="dxa"/>
          </w:tcPr>
          <w:p w14:paraId="25642C2F" w14:textId="77777777" w:rsidR="00580D8A" w:rsidRDefault="00580D8A" w:rsidP="00580D8A">
            <w:pPr>
              <w:spacing w:line="280" w:lineRule="exact"/>
              <w:jc w:val="left"/>
            </w:pPr>
            <w:r>
              <w:t>Golden ratio</w:t>
            </w:r>
          </w:p>
        </w:tc>
        <w:tc>
          <w:tcPr>
            <w:tcW w:w="1350" w:type="dxa"/>
          </w:tcPr>
          <w:p w14:paraId="0EFFDFA5" w14:textId="77777777" w:rsidR="00580D8A" w:rsidRPr="005256E3" w:rsidRDefault="00580D8A" w:rsidP="00580D8A">
            <w:pPr>
              <w:spacing w:line="280" w:lineRule="exact"/>
              <w:jc w:val="center"/>
              <w:rPr>
                <w:i/>
              </w:rPr>
            </w:pPr>
            <w:r w:rsidRPr="005256E3">
              <w:rPr>
                <w:i/>
              </w:rPr>
              <w:t>φ</w:t>
            </w:r>
          </w:p>
        </w:tc>
        <w:tc>
          <w:tcPr>
            <w:tcW w:w="1530" w:type="dxa"/>
          </w:tcPr>
          <w:p w14:paraId="4D3CB6B9" w14:textId="3CE6AE29" w:rsidR="00580D8A" w:rsidRDefault="00580D8A" w:rsidP="00580D8A">
            <w:pPr>
              <w:tabs>
                <w:tab w:val="decimal" w:pos="270"/>
              </w:tabs>
              <w:spacing w:line="280" w:lineRule="exact"/>
              <w:jc w:val="left"/>
            </w:pPr>
            <w:r w:rsidRPr="00BC6DDA">
              <w:rPr>
                <w:rStyle w:val="CAPS"/>
              </w:rPr>
              <w:t>1.618</w:t>
            </w:r>
          </w:p>
        </w:tc>
        <w:tc>
          <w:tcPr>
            <w:tcW w:w="3600" w:type="dxa"/>
            <w:tcMar>
              <w:right w:w="0" w:type="dxa"/>
            </w:tcMar>
          </w:tcPr>
          <w:p w14:paraId="093364E2" w14:textId="22C07B08" w:rsidR="00580D8A" w:rsidRDefault="00580D8A" w:rsidP="00580D8A">
            <w:pPr>
              <w:spacing w:line="280" w:lineRule="exact"/>
              <w:jc w:val="left"/>
            </w:pPr>
            <w:r>
              <w:t xml:space="preserve">Number such that </w:t>
            </w:r>
            <w:r w:rsidRPr="00BC6DDA">
              <w:t>the ratio of 1 to the number is equal to the ratio of its</w:t>
            </w:r>
            <w:r>
              <w:t xml:space="preserve"> </w:t>
            </w:r>
            <w:r w:rsidRPr="00BC6DDA">
              <w:t>reciprocal to 1</w:t>
            </w:r>
          </w:p>
        </w:tc>
      </w:tr>
      <w:tr w:rsidR="00580D8A" w14:paraId="1F8BBB87" w14:textId="77777777" w:rsidTr="003031BB">
        <w:trPr>
          <w:jc w:val="left"/>
        </w:trPr>
        <w:tc>
          <w:tcPr>
            <w:tcW w:w="1440" w:type="dxa"/>
          </w:tcPr>
          <w:p w14:paraId="008F8301" w14:textId="77777777" w:rsidR="00580D8A" w:rsidRDefault="00580D8A" w:rsidP="00580D8A">
            <w:pPr>
              <w:spacing w:line="280" w:lineRule="exact"/>
              <w:jc w:val="left"/>
            </w:pPr>
            <w:r>
              <w:t>Euler’s number</w:t>
            </w:r>
          </w:p>
        </w:tc>
        <w:tc>
          <w:tcPr>
            <w:tcW w:w="1350" w:type="dxa"/>
          </w:tcPr>
          <w:p w14:paraId="1CA17F74" w14:textId="77777777" w:rsidR="00580D8A" w:rsidRPr="005256E3" w:rsidRDefault="00580D8A" w:rsidP="00580D8A">
            <w:pPr>
              <w:spacing w:line="280" w:lineRule="exact"/>
              <w:jc w:val="center"/>
              <w:rPr>
                <w:i/>
              </w:rPr>
            </w:pPr>
            <w:r w:rsidRPr="005256E3">
              <w:rPr>
                <w:i/>
              </w:rPr>
              <w:t>e</w:t>
            </w:r>
          </w:p>
        </w:tc>
        <w:tc>
          <w:tcPr>
            <w:tcW w:w="1530" w:type="dxa"/>
          </w:tcPr>
          <w:p w14:paraId="4333422A" w14:textId="78B420E0" w:rsidR="00580D8A" w:rsidRDefault="00580D8A" w:rsidP="00580D8A">
            <w:pPr>
              <w:tabs>
                <w:tab w:val="decimal" w:pos="270"/>
              </w:tabs>
              <w:spacing w:line="280" w:lineRule="exact"/>
              <w:jc w:val="left"/>
            </w:pPr>
            <w:r w:rsidRPr="00BC6DDA">
              <w:rPr>
                <w:rStyle w:val="CAPS"/>
              </w:rPr>
              <w:t>2.71828</w:t>
            </w:r>
          </w:p>
        </w:tc>
        <w:tc>
          <w:tcPr>
            <w:tcW w:w="3600" w:type="dxa"/>
            <w:tcMar>
              <w:right w:w="0" w:type="dxa"/>
            </w:tcMar>
          </w:tcPr>
          <w:p w14:paraId="7AA3408F" w14:textId="2D3AC8BA" w:rsidR="00580D8A" w:rsidRDefault="00580D8A" w:rsidP="00580D8A">
            <w:pPr>
              <w:spacing w:line="280" w:lineRule="exact"/>
              <w:jc w:val="left"/>
            </w:pPr>
            <w:r>
              <w:t>Exponential growth constant</w:t>
            </w:r>
          </w:p>
        </w:tc>
      </w:tr>
      <w:tr w:rsidR="00580D8A" w14:paraId="248204AF" w14:textId="77777777" w:rsidTr="003031BB">
        <w:trPr>
          <w:jc w:val="left"/>
        </w:trPr>
        <w:tc>
          <w:tcPr>
            <w:tcW w:w="1440" w:type="dxa"/>
          </w:tcPr>
          <w:p w14:paraId="47D33410" w14:textId="02340D80" w:rsidR="00580D8A" w:rsidRDefault="00580D8A" w:rsidP="00580D8A">
            <w:pPr>
              <w:spacing w:line="280" w:lineRule="exact"/>
              <w:jc w:val="left"/>
            </w:pPr>
            <w:r>
              <w:t>Archimedes’ constant</w:t>
            </w:r>
          </w:p>
        </w:tc>
        <w:tc>
          <w:tcPr>
            <w:tcW w:w="1350" w:type="dxa"/>
          </w:tcPr>
          <w:p w14:paraId="0C812F0B" w14:textId="7EA2E68C" w:rsidR="00580D8A" w:rsidRDefault="00580D8A" w:rsidP="00580D8A">
            <w:pPr>
              <w:spacing w:line="280" w:lineRule="exact"/>
              <w:jc w:val="center"/>
            </w:pPr>
            <w:r>
              <w:t>π</w:t>
            </w:r>
          </w:p>
        </w:tc>
        <w:tc>
          <w:tcPr>
            <w:tcW w:w="1530" w:type="dxa"/>
          </w:tcPr>
          <w:p w14:paraId="21BB10E9" w14:textId="315E243E" w:rsidR="00580D8A" w:rsidRDefault="00580D8A" w:rsidP="00580D8A">
            <w:pPr>
              <w:tabs>
                <w:tab w:val="decimal" w:pos="270"/>
              </w:tabs>
              <w:spacing w:line="280" w:lineRule="exact"/>
              <w:jc w:val="left"/>
            </w:pPr>
            <w:r w:rsidRPr="00BC6DDA">
              <w:rPr>
                <w:rStyle w:val="CAPS"/>
              </w:rPr>
              <w:t>3.14</w:t>
            </w:r>
          </w:p>
        </w:tc>
        <w:tc>
          <w:tcPr>
            <w:tcW w:w="3600" w:type="dxa"/>
            <w:tcMar>
              <w:right w:w="0" w:type="dxa"/>
            </w:tcMar>
          </w:tcPr>
          <w:p w14:paraId="52F67BAE" w14:textId="0CECDB4C" w:rsidR="00580D8A" w:rsidRDefault="00580D8A" w:rsidP="00580D8A">
            <w:pPr>
              <w:spacing w:line="280" w:lineRule="exact"/>
              <w:jc w:val="left"/>
            </w:pPr>
            <w:r>
              <w:t>The r</w:t>
            </w:r>
            <w:r w:rsidRPr="005256E3">
              <w:t>atio between circumference and diameter of a circle</w:t>
            </w:r>
          </w:p>
        </w:tc>
      </w:tr>
      <w:tr w:rsidR="00580D8A" w14:paraId="31C208FC" w14:textId="77777777" w:rsidTr="003031BB">
        <w:trPr>
          <w:jc w:val="left"/>
        </w:trPr>
        <w:tc>
          <w:tcPr>
            <w:tcW w:w="1440" w:type="dxa"/>
          </w:tcPr>
          <w:p w14:paraId="48FB35F1" w14:textId="497064C6" w:rsidR="00580D8A" w:rsidRDefault="00580D8A" w:rsidP="00960205">
            <w:pPr>
              <w:spacing w:after="340" w:line="280" w:lineRule="exact"/>
              <w:jc w:val="left"/>
            </w:pPr>
            <w:r>
              <w:t>One hundred</w:t>
            </w:r>
          </w:p>
        </w:tc>
        <w:tc>
          <w:tcPr>
            <w:tcW w:w="1350" w:type="dxa"/>
          </w:tcPr>
          <w:p w14:paraId="685133BE" w14:textId="5B9D1AEE" w:rsidR="00580D8A" w:rsidRDefault="00580D8A" w:rsidP="00960205">
            <w:pPr>
              <w:spacing w:after="340" w:line="280" w:lineRule="exact"/>
              <w:jc w:val="center"/>
            </w:pPr>
            <w:r>
              <w:t>A</w:t>
            </w:r>
            <w:r w:rsidRPr="008729F9">
              <w:rPr>
                <w:vertAlign w:val="superscript"/>
              </w:rPr>
              <w:t>+</w:t>
            </w:r>
          </w:p>
        </w:tc>
        <w:tc>
          <w:tcPr>
            <w:tcW w:w="1530" w:type="dxa"/>
          </w:tcPr>
          <w:p w14:paraId="1719438D" w14:textId="03A12389" w:rsidR="00580D8A" w:rsidRDefault="00580D8A" w:rsidP="00960205">
            <w:pPr>
              <w:tabs>
                <w:tab w:val="decimal" w:pos="270"/>
              </w:tabs>
              <w:spacing w:after="340" w:line="280" w:lineRule="exact"/>
              <w:jc w:val="left"/>
            </w:pPr>
            <w:r>
              <w:rPr>
                <w:rStyle w:val="CAPS"/>
              </w:rPr>
              <w:t>100.00</w:t>
            </w:r>
          </w:p>
        </w:tc>
        <w:tc>
          <w:tcPr>
            <w:tcW w:w="3600" w:type="dxa"/>
            <w:tcMar>
              <w:right w:w="0" w:type="dxa"/>
            </w:tcMar>
          </w:tcPr>
          <w:p w14:paraId="0E3AEE06" w14:textId="20848619" w:rsidR="00580D8A" w:rsidRDefault="00580D8A" w:rsidP="00960205">
            <w:pPr>
              <w:spacing w:after="340" w:line="280" w:lineRule="exact"/>
              <w:jc w:val="left"/>
            </w:pPr>
            <w:r>
              <w:t>The grade we hope you’ll all earn in this class</w:t>
            </w:r>
          </w:p>
        </w:tc>
      </w:tr>
    </w:tbl>
    <w:p w14:paraId="504C2C06" w14:textId="7C5701FB" w:rsidR="00193F58" w:rsidRDefault="00193F58" w:rsidP="00193F58">
      <w:pPr>
        <w:pStyle w:val="3"/>
      </w:pPr>
      <w:r>
        <w:t>Quotes</w:t>
      </w:r>
    </w:p>
    <w:p w14:paraId="6BCA7945" w14:textId="7D3C2F8A" w:rsidR="00360939" w:rsidRPr="00360939" w:rsidRDefault="00360939" w:rsidP="00360939">
      <w:r w:rsidRPr="00360939">
        <w:t xml:space="preserve">If you would like to quote an outside source, you may do so </w:t>
      </w:r>
      <w:r w:rsidR="00A553C4">
        <w:t>in</w:t>
      </w:r>
      <w:r w:rsidRPr="00360939">
        <w:t xml:space="preserve"> quotation marks followed by </w:t>
      </w:r>
      <w:r>
        <w:t>a</w:t>
      </w:r>
      <w:r w:rsidRPr="00360939">
        <w:t xml:space="preserve"> citation. If </w:t>
      </w:r>
      <w:r w:rsidR="009023D1">
        <w:t>a</w:t>
      </w:r>
      <w:r w:rsidRPr="00360939">
        <w:t xml:space="preserve"> quote is fewer than three lines, you may </w:t>
      </w:r>
      <w:r w:rsidR="009023D1">
        <w:t>write</w:t>
      </w:r>
      <w:r w:rsidRPr="00360939">
        <w:t xml:space="preserve"> it in</w:t>
      </w:r>
      <w:r>
        <w:t>-</w:t>
      </w:r>
      <w:r w:rsidRPr="00360939">
        <w:t>line. It is acceptable to replace pronouns with their target</w:t>
      </w:r>
      <w:r w:rsidR="00BC324F">
        <w:t xml:space="preserve"> in brackets</w:t>
      </w:r>
      <w:r>
        <w:t xml:space="preserve"> </w:t>
      </w:r>
      <w:r w:rsidRPr="00360939">
        <w:t xml:space="preserve">for clarity. For example, “Heavy use of peer grading would compromise [the school’s] </w:t>
      </w:r>
      <w:r w:rsidRPr="00360939">
        <w:lastRenderedPageBreak/>
        <w:t>reputation” (Joyner</w:t>
      </w:r>
      <w:r>
        <w:t>,</w:t>
      </w:r>
      <w:r w:rsidRPr="00360939">
        <w:t xml:space="preserve"> 2016). If a quote </w:t>
      </w:r>
      <w:r w:rsidR="009023D1">
        <w:t>exceeds</w:t>
      </w:r>
      <w:r w:rsidRPr="00360939">
        <w:t xml:space="preserve"> three lines, you should set it as its own paragraph with </w:t>
      </w:r>
      <w:r w:rsidR="00A34D9A">
        <w:t>0.5</w:t>
      </w:r>
      <w:r w:rsidR="00A34D9A" w:rsidRPr="0058014E">
        <w:t>″</w:t>
      </w:r>
      <w:r w:rsidR="00A34D9A" w:rsidRPr="00CC25B3">
        <w:t xml:space="preserve"> </w:t>
      </w:r>
      <w:r w:rsidR="009023D1">
        <w:t xml:space="preserve">side </w:t>
      </w:r>
      <w:r w:rsidRPr="00360939">
        <w:t>margins</w:t>
      </w:r>
      <w:r w:rsidR="009023D1">
        <w:t>,</w:t>
      </w:r>
      <w:r w:rsidR="00071F4D">
        <w:t xml:space="preserve"> using the </w:t>
      </w:r>
      <w:r w:rsidR="00071F4D">
        <w:rPr>
          <w:i/>
        </w:rPr>
        <w:t xml:space="preserve">Blockquote </w:t>
      </w:r>
      <w:r w:rsidR="00071F4D">
        <w:t>paragraph style</w:t>
      </w:r>
      <w:r w:rsidRPr="00360939">
        <w:t>.</w:t>
      </w:r>
    </w:p>
    <w:p w14:paraId="30F3FCEF" w14:textId="2730F8FA" w:rsidR="00360939" w:rsidRDefault="00360939" w:rsidP="000E2391">
      <w:pPr>
        <w:pStyle w:val="Blockquote"/>
        <w:ind w:hanging="90"/>
      </w:pPr>
      <w:r w:rsidRPr="00360939">
        <w:t>“Whether or not the grades generated by peers are reliably similar to grades generated by experts is only one factor worth considering, however. Student perception is also an important factor.</w:t>
      </w:r>
      <w:r w:rsidR="00FA5220">
        <w:t xml:space="preserve"> […]</w:t>
      </w:r>
      <w:r w:rsidRPr="00360939">
        <w:t xml:space="preserve"> </w:t>
      </w:r>
      <w:r w:rsidR="00FA5220">
        <w:t>R</w:t>
      </w:r>
      <w:r w:rsidRPr="00360939">
        <w:t xml:space="preserve">eliance on peer grading is one of the top drivers of high </w:t>
      </w:r>
      <w:r w:rsidRPr="00071F4D">
        <w:rPr>
          <w:rStyle w:val="CAPS"/>
        </w:rPr>
        <w:t>MOOC</w:t>
      </w:r>
      <w:r w:rsidRPr="00360939">
        <w:t xml:space="preserve"> dropout rates. This problem may be addressed by reintroducing some expert grading where possible</w:t>
      </w:r>
      <w:r>
        <w:t>.</w:t>
      </w:r>
      <w:r w:rsidRPr="00360939">
        <w:t>” (Joyner</w:t>
      </w:r>
      <w:r>
        <w:t>,</w:t>
      </w:r>
      <w:r w:rsidRPr="00360939">
        <w:t xml:space="preserve"> 2016)</w:t>
      </w:r>
    </w:p>
    <w:p w14:paraId="15EF7312" w14:textId="095DF505" w:rsidR="00193F58" w:rsidRDefault="00193F58" w:rsidP="00193F58">
      <w:pPr>
        <w:pStyle w:val="3"/>
      </w:pPr>
      <w:r>
        <w:t>Lists</w:t>
      </w:r>
    </w:p>
    <w:p w14:paraId="42270928" w14:textId="47BF1912" w:rsidR="00F70249" w:rsidRDefault="007154B3" w:rsidP="00F70249">
      <w:r w:rsidRPr="007154B3">
        <w:t xml:space="preserve">Bulleted and numbered lists </w:t>
      </w:r>
      <w:r w:rsidR="00722529">
        <w:t>are</w:t>
      </w:r>
      <w:r w:rsidRPr="007154B3">
        <w:t xml:space="preserve"> indented </w:t>
      </w:r>
      <w:r w:rsidR="00722529">
        <w:t>0.</w:t>
      </w:r>
      <w:r w:rsidR="00450874">
        <w:t>2</w:t>
      </w:r>
      <w:r w:rsidR="00722529">
        <w:t>5</w:t>
      </w:r>
      <w:r w:rsidR="00722529" w:rsidRPr="0058014E">
        <w:t>″</w:t>
      </w:r>
      <w:r w:rsidRPr="007154B3">
        <w:t xml:space="preserve"> from the left margin, with the bullet or number </w:t>
      </w:r>
      <w:r w:rsidR="00722529">
        <w:t>hanging by 0.25</w:t>
      </w:r>
      <w:r w:rsidR="00722529" w:rsidRPr="0058014E">
        <w:t>″</w:t>
      </w:r>
      <w:r w:rsidRPr="007154B3">
        <w:t xml:space="preserve"> (</w:t>
      </w:r>
      <w:r w:rsidR="00450874">
        <w:t>i.e., flush with the left margin</w:t>
      </w:r>
      <w:r w:rsidRPr="007154B3">
        <w:t>).</w:t>
      </w:r>
      <w:r w:rsidR="00F70249" w:rsidRPr="00F70249">
        <w:t xml:space="preserve"> </w:t>
      </w:r>
    </w:p>
    <w:p w14:paraId="09319FE2" w14:textId="5A0EEAB3" w:rsidR="00960205" w:rsidRDefault="00960205" w:rsidP="00960205">
      <w:pPr>
        <w:pStyle w:val="BulletedList"/>
      </w:pPr>
      <w:r>
        <w:t>Like this</w:t>
      </w:r>
    </w:p>
    <w:p w14:paraId="094EC666" w14:textId="244D5AF4" w:rsidR="00960205" w:rsidRDefault="00960205" w:rsidP="00960205">
      <w:pPr>
        <w:pStyle w:val="BulletedList"/>
      </w:pPr>
      <w:r>
        <w:t>And this</w:t>
      </w:r>
    </w:p>
    <w:p w14:paraId="46A6F96A" w14:textId="1E1917ED" w:rsidR="00960205" w:rsidRDefault="00960205" w:rsidP="00960205">
      <w:pPr>
        <w:pStyle w:val="BulletedList"/>
      </w:pPr>
      <w:r>
        <w:t xml:space="preserve">And </w:t>
      </w:r>
      <w:proofErr w:type="gramStart"/>
      <w:r>
        <w:t>also</w:t>
      </w:r>
      <w:proofErr w:type="gramEnd"/>
      <w:r>
        <w:t xml:space="preserve"> this</w:t>
      </w:r>
    </w:p>
    <w:p w14:paraId="5D20C745" w14:textId="77777777" w:rsidR="00417F0E" w:rsidRDefault="00417F0E" w:rsidP="00417F0E">
      <w:pPr>
        <w:pStyle w:val="1"/>
      </w:pPr>
      <w:r>
        <w:t>Procedural elements</w:t>
      </w:r>
    </w:p>
    <w:p w14:paraId="15050DA4" w14:textId="77777777" w:rsidR="00417F0E" w:rsidRPr="00F70249" w:rsidRDefault="00417F0E" w:rsidP="00417F0E">
      <w:pPr>
        <w:pStyle w:val="2"/>
      </w:pPr>
      <w:r w:rsidRPr="00F70249">
        <w:t>In-</w:t>
      </w:r>
      <w:r>
        <w:t>l</w:t>
      </w:r>
      <w:r w:rsidRPr="00F70249">
        <w:t xml:space="preserve">ine </w:t>
      </w:r>
      <w:r>
        <w:t>c</w:t>
      </w:r>
      <w:r w:rsidRPr="00F70249">
        <w:t>itation</w:t>
      </w:r>
      <w:r>
        <w:t>s</w:t>
      </w:r>
    </w:p>
    <w:p w14:paraId="7DE91973" w14:textId="5B5DA956" w:rsidR="00417F0E" w:rsidRPr="00F70249" w:rsidRDefault="00417F0E" w:rsidP="00417F0E">
      <w:r>
        <w:t>A</w:t>
      </w:r>
      <w:r w:rsidRPr="00F70249">
        <w:t>rticles or sources to which you refer should be cited in-line with the authors’ names and the year of publication</w:t>
      </w:r>
      <w:r w:rsidR="00E344D8">
        <w:t>.</w:t>
      </w:r>
      <w:r w:rsidR="00E344D8">
        <w:rPr>
          <w:rStyle w:val="a8"/>
        </w:rPr>
        <w:footnoteReference w:id="2"/>
      </w:r>
      <w:r w:rsidRPr="00F70249">
        <w:t xml:space="preserve"> The citation should be placed close in the text to the actual claim, not merely at the end of the paragraph. For example: students in the </w:t>
      </w:r>
      <w:r w:rsidRPr="00F80D8F">
        <w:rPr>
          <w:rStyle w:val="CAPS"/>
        </w:rPr>
        <w:t>OMSCS</w:t>
      </w:r>
      <w:r w:rsidRPr="00F70249">
        <w:t xml:space="preserve"> program are older and more likely to be employed than students in the on-campus program (Joyner</w:t>
      </w:r>
      <w:r>
        <w:t>,</w:t>
      </w:r>
      <w:r w:rsidRPr="00F70249">
        <w:t xml:space="preserve"> 2017). In the event of multiple authors, list them. For example: research finds sentiment analysis of the text of </w:t>
      </w:r>
      <w:r w:rsidRPr="00F80D8F">
        <w:rPr>
          <w:rStyle w:val="CAPS"/>
        </w:rPr>
        <w:t>OMSCS</w:t>
      </w:r>
      <w:r w:rsidRPr="00F70249">
        <w:t xml:space="preserve"> reviews corresponds to student-assigned ratings of the course (Newman </w:t>
      </w:r>
      <w:r w:rsidRPr="00E344D8">
        <w:rPr>
          <w:i/>
        </w:rPr>
        <w:t>&amp;</w:t>
      </w:r>
      <w:r w:rsidRPr="00E344D8">
        <w:t xml:space="preserve"> </w:t>
      </w:r>
      <w:r w:rsidRPr="00F70249">
        <w:t>Joyner</w:t>
      </w:r>
      <w:r>
        <w:t>,</w:t>
      </w:r>
      <w:r w:rsidRPr="00F70249">
        <w:t xml:space="preserve"> 2018). You may also cite multiple studies together. For example: several studies have found students in the online version of an undergraduate </w:t>
      </w:r>
      <w:r w:rsidRPr="00F80D8F">
        <w:rPr>
          <w:rStyle w:val="CAPS"/>
        </w:rPr>
        <w:t>CS1</w:t>
      </w:r>
      <w:r w:rsidRPr="00F70249">
        <w:t xml:space="preserve"> class performed equally with students in a traditional version (Joyner</w:t>
      </w:r>
      <w:r>
        <w:t>,</w:t>
      </w:r>
      <w:r w:rsidRPr="00F70249">
        <w:t xml:space="preserve"> 2018a; Joyner</w:t>
      </w:r>
      <w:r>
        <w:t>,</w:t>
      </w:r>
      <w:r w:rsidRPr="00F70249">
        <w:t xml:space="preserve"> 2018b). If you would like to refer to an author in text, you may also do so by including the year (in parentheses) after the author’s name in</w:t>
      </w:r>
      <w:r>
        <w:t xml:space="preserve"> the</w:t>
      </w:r>
      <w:r w:rsidRPr="00F70249">
        <w:t xml:space="preserve"> text. If a publication has more than 4 authors, you may list the first author followed by </w:t>
      </w:r>
      <w:r>
        <w:t>‘</w:t>
      </w:r>
      <w:r w:rsidRPr="00F70249">
        <w:t>et al</w:t>
      </w:r>
      <w:r>
        <w:t>.’</w:t>
      </w:r>
      <w:r w:rsidRPr="00F70249">
        <w:t xml:space="preserve"> </w:t>
      </w:r>
      <w:r w:rsidRPr="00F70249">
        <w:lastRenderedPageBreak/>
        <w:t>For example: Joyner et al. (2016) claim that a round of peer review prior to grading may improve graders’ efficiency and the quality of feedback given. This applies to parenthetical citations as well, e.g. (Joyner et al.</w:t>
      </w:r>
      <w:r>
        <w:t>,</w:t>
      </w:r>
      <w:r w:rsidRPr="00F70249">
        <w:t xml:space="preserve"> 2016).</w:t>
      </w:r>
    </w:p>
    <w:p w14:paraId="72825EEA" w14:textId="77777777" w:rsidR="00417F0E" w:rsidRPr="00F70249" w:rsidRDefault="00417F0E" w:rsidP="00417F0E">
      <w:pPr>
        <w:pStyle w:val="2"/>
      </w:pPr>
      <w:r w:rsidRPr="00F70249">
        <w:t xml:space="preserve">Reference </w:t>
      </w:r>
      <w:r>
        <w:t>l</w:t>
      </w:r>
      <w:r w:rsidRPr="00F70249">
        <w:t>ist</w:t>
      </w:r>
      <w:r>
        <w:t>s</w:t>
      </w:r>
    </w:p>
    <w:p w14:paraId="5D1EE529" w14:textId="7E80F2C8" w:rsidR="000115A8" w:rsidRDefault="00417F0E" w:rsidP="00314FD6">
      <w:r w:rsidRPr="00F70249">
        <w:t>References should be placed at the end of the paper in a dedicated section. Reference lists should be numbered and organized alphabetically by first author’s last name. If multiple papers have the same author(s) and year, you may append a letter to the end of the year to allow differentiated in-line text (e.g. Joyner</w:t>
      </w:r>
      <w:r>
        <w:t>,</w:t>
      </w:r>
      <w:r w:rsidRPr="00F70249">
        <w:t xml:space="preserve"> 2018a and Joyner</w:t>
      </w:r>
      <w:r>
        <w:t>,</w:t>
      </w:r>
      <w:r w:rsidRPr="00F70249">
        <w:t xml:space="preserve"> 2018b in the section above). If multiple papers have the same author(s), list them in chronological order starting with the older paper. Only works that are cited in-line should be included in the reference </w:t>
      </w:r>
      <w:r>
        <w:t>list</w:t>
      </w:r>
      <w:r w:rsidRPr="00F70249">
        <w:t>.</w:t>
      </w:r>
      <w:r w:rsidR="00E344D8">
        <w:t xml:space="preserve"> The reference list does not count against the length requirements.</w:t>
      </w:r>
      <w:r w:rsidR="00314FD6">
        <w:t xml:space="preserve"> </w:t>
      </w:r>
    </w:p>
    <w:p w14:paraId="4222DD02" w14:textId="75BB8423" w:rsidR="00D308CA" w:rsidRDefault="00D308CA" w:rsidP="00D308CA">
      <w:pPr>
        <w:pStyle w:val="1"/>
      </w:pPr>
      <w:r>
        <w:t>References</w:t>
      </w:r>
    </w:p>
    <w:p w14:paraId="01770159" w14:textId="77777777" w:rsidR="00327186" w:rsidRPr="00327186" w:rsidRDefault="00327186" w:rsidP="00450874">
      <w:pPr>
        <w:pStyle w:val="NumberedList"/>
      </w:pPr>
      <w:r w:rsidRPr="00327186">
        <w:t xml:space="preserve">Joyner, D. A., Ashby, W., Irish, L., Lam, Y., Langston, J., Lupiani, I., Lustig, M., </w:t>
      </w:r>
      <w:proofErr w:type="spellStart"/>
      <w:r w:rsidRPr="00327186">
        <w:t>Pettoruto</w:t>
      </w:r>
      <w:proofErr w:type="spellEnd"/>
      <w:r w:rsidRPr="00327186">
        <w:t xml:space="preserve">, P., Sheahen, D., Smiley, A., Bruckman, A., &amp; Goel, A. (2016). Graders as Meta-Reviewers: Simultaneously Scaling and Improving Expert Evaluation for Large Online Classrooms. In </w:t>
      </w:r>
      <w:r w:rsidRPr="00327186">
        <w:rPr>
          <w:i/>
          <w:iCs/>
        </w:rPr>
        <w:t>Proceedings of the Third Annual ACM Conference on Learning at Scale</w:t>
      </w:r>
      <w:r w:rsidRPr="00327186">
        <w:t>. Edinburgh, Scotland.</w:t>
      </w:r>
    </w:p>
    <w:p w14:paraId="4D7B6648" w14:textId="77777777" w:rsidR="00327186" w:rsidRPr="00327186" w:rsidRDefault="00327186" w:rsidP="00450874">
      <w:pPr>
        <w:pStyle w:val="NumberedList"/>
      </w:pPr>
      <w:r w:rsidRPr="00327186">
        <w:t xml:space="preserve">Joyner, D. A. (2017). Scaling Expert Feedback: Two Case Studies. In </w:t>
      </w:r>
      <w:r w:rsidRPr="00327186">
        <w:rPr>
          <w:i/>
          <w:iCs/>
        </w:rPr>
        <w:t>Proceedings of the Fourth Annual ACM Conference on Learning at Scale</w:t>
      </w:r>
      <w:r w:rsidRPr="00327186">
        <w:t>. Cambridge, Massachusetts.</w:t>
      </w:r>
    </w:p>
    <w:p w14:paraId="120FC5C8" w14:textId="77777777" w:rsidR="00327186" w:rsidRPr="00327186" w:rsidRDefault="00327186" w:rsidP="00450874">
      <w:pPr>
        <w:pStyle w:val="NumberedList"/>
      </w:pPr>
      <w:r w:rsidRPr="00327186">
        <w:t xml:space="preserve">Joyner, D. A. (2018a). Intelligent Evaluation and Feedback in Support of a Credit-Bearing MOOC. In </w:t>
      </w:r>
      <w:r w:rsidRPr="00327186">
        <w:rPr>
          <w:i/>
          <w:iCs/>
        </w:rPr>
        <w:t>Proceedings of the 19th International Conference on Artificial Intelligence in Education</w:t>
      </w:r>
      <w:r w:rsidRPr="00327186">
        <w:t>. London, United Kingdom. Springer.</w:t>
      </w:r>
    </w:p>
    <w:p w14:paraId="02233EA2" w14:textId="77777777" w:rsidR="00327186" w:rsidRPr="00327186" w:rsidRDefault="00327186" w:rsidP="00450874">
      <w:pPr>
        <w:pStyle w:val="NumberedList"/>
      </w:pPr>
      <w:r w:rsidRPr="00327186">
        <w:t xml:space="preserve">Joyner, D. A. (2018b). Toward CS1 at Scale: Building and Testing a MOOC-for-Credit Candidate. In </w:t>
      </w:r>
      <w:r w:rsidRPr="00327186">
        <w:rPr>
          <w:i/>
          <w:iCs/>
        </w:rPr>
        <w:t>Proceedings of the Fifth Annual ACM Conference on Learning at Scale</w:t>
      </w:r>
      <w:r w:rsidRPr="00327186">
        <w:t>. London, United Kingdom. ACM Press.</w:t>
      </w:r>
    </w:p>
    <w:p w14:paraId="35C92AAD" w14:textId="2490E512" w:rsidR="00327186" w:rsidRPr="00327186" w:rsidRDefault="00327186" w:rsidP="00450874">
      <w:pPr>
        <w:pStyle w:val="NumberedList"/>
      </w:pPr>
      <w:r w:rsidRPr="00327186">
        <w:t xml:space="preserve">Newman, H. &amp; </w:t>
      </w:r>
      <w:r w:rsidRPr="00450874">
        <w:t>Joyner</w:t>
      </w:r>
      <w:r w:rsidRPr="00327186">
        <w:t xml:space="preserve">, D. A. (2018). Sentiment Analysis of Student Evaluations of Teaching. In </w:t>
      </w:r>
      <w:r w:rsidRPr="00327186">
        <w:rPr>
          <w:i/>
          <w:iCs/>
        </w:rPr>
        <w:t>Proceedings of the 19th International Conference on Artificial Intelligence in Education</w:t>
      </w:r>
      <w:r w:rsidRPr="00327186">
        <w:t>. London, United Kingdom. Springer</w:t>
      </w:r>
      <w:r w:rsidR="00244DA3">
        <w:t>.</w:t>
      </w:r>
    </w:p>
    <w:p w14:paraId="38AB3AA4" w14:textId="5E932BCC" w:rsidR="00D308CA" w:rsidRDefault="00D308CA" w:rsidP="00D308CA">
      <w:pPr>
        <w:pStyle w:val="1"/>
      </w:pPr>
      <w:r>
        <w:lastRenderedPageBreak/>
        <w:t>Appendices</w:t>
      </w:r>
    </w:p>
    <w:p w14:paraId="6D215009" w14:textId="167506C2" w:rsidR="00D308CA" w:rsidRDefault="00D51D2E" w:rsidP="00D308CA">
      <w:r w:rsidRPr="00D51D2E">
        <w:t>You may optionally move certain information to appendices at the end of your paper</w:t>
      </w:r>
      <w:r>
        <w:t xml:space="preserve">, </w:t>
      </w:r>
      <w:r w:rsidR="00D308CA" w:rsidRPr="00D308CA">
        <w:t xml:space="preserve">after the reference list. If you have multiple appendices, you should </w:t>
      </w:r>
      <w:r w:rsidR="00D308CA">
        <w:t xml:space="preserve">create a </w:t>
      </w:r>
      <w:r w:rsidR="00D308CA" w:rsidRPr="00D308CA">
        <w:t xml:space="preserve">section </w:t>
      </w:r>
      <w:r w:rsidR="00D308CA">
        <w:t xml:space="preserve">with a </w:t>
      </w:r>
      <w:r w:rsidR="00D308CA" w:rsidRPr="00D308CA">
        <w:rPr>
          <w:i/>
        </w:rPr>
        <w:t>Heading 1</w:t>
      </w:r>
      <w:r w:rsidR="00D308CA">
        <w:t xml:space="preserve"> of</w:t>
      </w:r>
      <w:r w:rsidR="00D308CA" w:rsidRPr="00D308CA">
        <w:t xml:space="preserve"> </w:t>
      </w:r>
      <w:r w:rsidR="00D308CA">
        <w:t>“</w:t>
      </w:r>
      <w:r w:rsidR="00D308CA" w:rsidRPr="00D308CA">
        <w:t>Appendices</w:t>
      </w:r>
      <w:r w:rsidR="009747B0">
        <w:t>.</w:t>
      </w:r>
      <w:r w:rsidR="00D308CA">
        <w:t>”</w:t>
      </w:r>
      <w:r w:rsidR="00D308CA" w:rsidRPr="00D308CA">
        <w:t xml:space="preserve"> </w:t>
      </w:r>
      <w:r w:rsidR="009747B0">
        <w:t>E</w:t>
      </w:r>
      <w:r w:rsidR="00D308CA" w:rsidRPr="00D308CA">
        <w:t xml:space="preserve">ach </w:t>
      </w:r>
      <w:r w:rsidR="00D308CA">
        <w:t>a</w:t>
      </w:r>
      <w:r w:rsidR="00D308CA" w:rsidRPr="00D308CA">
        <w:t xml:space="preserve">ppendix </w:t>
      </w:r>
      <w:r w:rsidR="00D308CA">
        <w:t xml:space="preserve">should begin with a descriptive </w:t>
      </w:r>
      <w:r w:rsidR="00D308CA">
        <w:rPr>
          <w:i/>
        </w:rPr>
        <w:t>Heading 2</w:t>
      </w:r>
      <w:r w:rsidR="009747B0">
        <w:rPr>
          <w:i/>
        </w:rPr>
        <w:t>;</w:t>
      </w:r>
      <w:r w:rsidR="009747B0">
        <w:t xml:space="preserve"> a</w:t>
      </w:r>
      <w:r w:rsidR="00D308CA">
        <w:t xml:space="preserve">ppendices can </w:t>
      </w:r>
      <w:r w:rsidR="009747B0">
        <w:t xml:space="preserve">thus </w:t>
      </w:r>
      <w:r w:rsidR="00D308CA">
        <w:t xml:space="preserve">be </w:t>
      </w:r>
      <w:r w:rsidR="009747B0">
        <w:t>referenced</w:t>
      </w:r>
      <w:r w:rsidR="00D308CA">
        <w:t xml:space="preserve"> in the </w:t>
      </w:r>
      <w:r w:rsidR="007D6D53">
        <w:t xml:space="preserve">body </w:t>
      </w:r>
      <w:r w:rsidR="00D308CA">
        <w:t xml:space="preserve">text </w:t>
      </w:r>
      <w:r w:rsidR="007D6D53">
        <w:t>using</w:t>
      </w:r>
      <w:r w:rsidR="00D308CA">
        <w:t xml:space="preserve"> their </w:t>
      </w:r>
      <w:r w:rsidR="00DD2A23">
        <w:t>heading</w:t>
      </w:r>
      <w:r w:rsidR="00D308CA">
        <w:t xml:space="preserve"> number and </w:t>
      </w:r>
      <w:r w:rsidR="00DD2A23">
        <w:t>description</w:t>
      </w:r>
      <w:r w:rsidR="00D308CA">
        <w:t xml:space="preserve">, e.g. “Appendix 5.1: </w:t>
      </w:r>
      <w:r w:rsidR="004027C6">
        <w:t>Survey</w:t>
      </w:r>
      <w:r w:rsidR="00D308CA">
        <w:t xml:space="preserve"> </w:t>
      </w:r>
      <w:r w:rsidR="004027C6">
        <w:t>responses</w:t>
      </w:r>
      <w:r w:rsidR="00D308CA">
        <w:t xml:space="preserve">.” </w:t>
      </w:r>
      <w:r w:rsidR="00D308CA" w:rsidRPr="00D308CA">
        <w:t xml:space="preserve">If you have only one appendix, you </w:t>
      </w:r>
      <w:r w:rsidR="009747B0">
        <w:t>can</w:t>
      </w:r>
      <w:r w:rsidR="00D308CA" w:rsidRPr="00D308CA">
        <w:t xml:space="preserve"> label it </w:t>
      </w:r>
      <w:r w:rsidR="00DD2A23">
        <w:t>with the word “Appendix” followed by a descriptive title, e.g.,</w:t>
      </w:r>
      <w:r w:rsidR="00D308CA" w:rsidRPr="00D308CA">
        <w:t xml:space="preserve"> “Appendix: </w:t>
      </w:r>
      <w:r w:rsidR="00314FD6">
        <w:t>Survey responses</w:t>
      </w:r>
      <w:r w:rsidR="009747B0">
        <w:t>.</w:t>
      </w:r>
      <w:r w:rsidR="00D308CA" w:rsidRPr="00D308CA">
        <w:t>”</w:t>
      </w:r>
    </w:p>
    <w:p w14:paraId="76B7F458" w14:textId="05FCD2C1" w:rsidR="00314FD6" w:rsidRPr="00D308CA" w:rsidRDefault="00314FD6" w:rsidP="00D308CA">
      <w:r>
        <w:t>These a</w:t>
      </w:r>
      <w:r w:rsidRPr="00D308CA">
        <w:t xml:space="preserve">ppendices do not count against the page limit, but </w:t>
      </w:r>
      <w:r w:rsidR="00D51D2E">
        <w:t>they</w:t>
      </w:r>
      <w:r w:rsidRPr="00D308CA">
        <w:t xml:space="preserve"> should not contain any information </w:t>
      </w:r>
      <w:r w:rsidRPr="00D308CA">
        <w:rPr>
          <w:i/>
        </w:rPr>
        <w:t>required</w:t>
      </w:r>
      <w:r w:rsidRPr="00D308CA">
        <w:t xml:space="preserve"> to answer the question</w:t>
      </w:r>
      <w:r w:rsidR="00C747D7">
        <w:t xml:space="preserve"> in full</w:t>
      </w:r>
      <w:r w:rsidRPr="00D308CA">
        <w:t>. The body text should be sufficient to answer the question, and the appendices should be included only for you to reference or to give</w:t>
      </w:r>
      <w:r>
        <w:t xml:space="preserve"> additional</w:t>
      </w:r>
      <w:r w:rsidRPr="00D308CA">
        <w:t xml:space="preserve"> context. </w:t>
      </w:r>
      <w:r>
        <w:t xml:space="preserve">If you decide to move content to an appendix, be sure to </w:t>
      </w:r>
      <w:r w:rsidR="00271FF2">
        <w:t>summarize</w:t>
      </w:r>
      <w:r w:rsidR="00D17872">
        <w:t xml:space="preserve"> the content</w:t>
      </w:r>
      <w:r w:rsidR="00271FF2">
        <w:t xml:space="preserve"> and </w:t>
      </w:r>
      <w:r>
        <w:t xml:space="preserve">note it in relevant </w:t>
      </w:r>
      <w:r w:rsidR="00D75CFB">
        <w:t>place</w:t>
      </w:r>
      <w:r>
        <w:t xml:space="preserve"> </w:t>
      </w:r>
      <w:r w:rsidR="00D75CFB">
        <w:t>in</w:t>
      </w:r>
      <w:r>
        <w:t xml:space="preserve"> the body text, e.g., “The raw data can be viewed in </w:t>
      </w:r>
      <w:r w:rsidRPr="00417F0E">
        <w:rPr>
          <w:i/>
        </w:rPr>
        <w:t xml:space="preserve">Appendix 5.1: </w:t>
      </w:r>
      <w:r>
        <w:rPr>
          <w:i/>
        </w:rPr>
        <w:t>Survey</w:t>
      </w:r>
      <w:r w:rsidRPr="00417F0E">
        <w:rPr>
          <w:i/>
        </w:rPr>
        <w:t xml:space="preserve"> </w:t>
      </w:r>
      <w:r>
        <w:rPr>
          <w:i/>
        </w:rPr>
        <w:t>responses</w:t>
      </w:r>
      <w:r w:rsidRPr="00417F0E">
        <w:rPr>
          <w:i/>
        </w:rPr>
        <w:t>.</w:t>
      </w:r>
      <w:r>
        <w:t>”</w:t>
      </w:r>
    </w:p>
    <w:sectPr w:rsidR="00314FD6" w:rsidRPr="00D308CA" w:rsidSect="00641A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B7046" w14:textId="77777777" w:rsidR="00783377" w:rsidRDefault="00783377" w:rsidP="00126D77">
      <w:r>
        <w:separator/>
      </w:r>
    </w:p>
  </w:endnote>
  <w:endnote w:type="continuationSeparator" w:id="0">
    <w:p w14:paraId="150599F3" w14:textId="77777777" w:rsidR="00783377" w:rsidRDefault="00783377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-920950108"/>
      <w:docPartObj>
        <w:docPartGallery w:val="Page Numbers (Bottom of Page)"/>
        <w:docPartUnique/>
      </w:docPartObj>
    </w:sdtPr>
    <w:sdtContent>
      <w:p w14:paraId="3353AA7A" w14:textId="7B4D6E50" w:rsidR="00641ADD" w:rsidRDefault="00641ADD" w:rsidP="00C923D2">
        <w:pPr>
          <w:pStyle w:val="aa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1340ADAE" w14:textId="77777777" w:rsidR="00641ADD" w:rsidRDefault="00641A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-271936286"/>
      <w:docPartObj>
        <w:docPartGallery w:val="Page Numbers (Bottom of Page)"/>
        <w:docPartUnique/>
      </w:docPartObj>
    </w:sdtPr>
    <w:sdtContent>
      <w:p w14:paraId="1EE4DBC6" w14:textId="02C70B0F" w:rsidR="00641ADD" w:rsidRDefault="00641ADD" w:rsidP="00C923D2">
        <w:pPr>
          <w:pStyle w:val="aa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2D8B6AE" w14:textId="77777777" w:rsidR="00641ADD" w:rsidRDefault="00641A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99D6" w14:textId="77777777" w:rsidR="00BC324F" w:rsidRDefault="00BC324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5B3A7" w14:textId="77777777" w:rsidR="00783377" w:rsidRDefault="00783377" w:rsidP="0060186D">
      <w:pPr>
        <w:spacing w:after="0" w:line="110" w:lineRule="exact"/>
      </w:pPr>
    </w:p>
  </w:footnote>
  <w:footnote w:type="continuationSeparator" w:id="0">
    <w:p w14:paraId="37E5613A" w14:textId="77777777" w:rsidR="00783377" w:rsidRPr="00BB7AEF" w:rsidRDefault="00783377" w:rsidP="00BB7AEF">
      <w:pPr>
        <w:spacing w:after="0" w:line="20" w:lineRule="exact"/>
        <w:rPr>
          <w:sz w:val="2"/>
        </w:rPr>
      </w:pPr>
    </w:p>
  </w:footnote>
  <w:footnote w:type="continuationNotice" w:id="1">
    <w:p w14:paraId="3E9CAE2C" w14:textId="77777777" w:rsidR="00783377" w:rsidRPr="00AE67B5" w:rsidRDefault="00783377" w:rsidP="00AE67B5">
      <w:pPr>
        <w:spacing w:after="0" w:line="20" w:lineRule="exact"/>
        <w:rPr>
          <w:sz w:val="2"/>
        </w:rPr>
      </w:pPr>
    </w:p>
  </w:footnote>
  <w:footnote w:id="2">
    <w:p w14:paraId="21106F1A" w14:textId="4F630898" w:rsidR="00E344D8" w:rsidRPr="00FA5220" w:rsidRDefault="00E344D8" w:rsidP="00450874">
      <w:pPr>
        <w:pStyle w:val="Footnote"/>
      </w:pPr>
      <w:r w:rsidRPr="00E344D8">
        <w:rPr>
          <w:rStyle w:val="a8"/>
          <w:vertAlign w:val="baseline"/>
        </w:rPr>
        <w:footnoteRef/>
      </w:r>
      <w:r w:rsidRPr="00E344D8">
        <w:t xml:space="preserve"> </w:t>
      </w:r>
      <w:r w:rsidR="00A2511C">
        <w:t xml:space="preserve">In-line citations are </w:t>
      </w:r>
      <w:r w:rsidR="00A2511C" w:rsidRPr="00450874">
        <w:t>preferred</w:t>
      </w:r>
      <w:r w:rsidR="00A2511C">
        <w:t xml:space="preserve"> over footnotes, and w</w:t>
      </w:r>
      <w:r w:rsidRPr="00E344D8">
        <w:t xml:space="preserve">e </w:t>
      </w:r>
      <w:r w:rsidR="00A2511C">
        <w:t>favor</w:t>
      </w:r>
      <w:r w:rsidRPr="00E344D8">
        <w:t xml:space="preserve"> APA citation format for both in-line citations and reference lists</w:t>
      </w:r>
      <w:r w:rsidR="00A2511C">
        <w:t>.</w:t>
      </w:r>
      <w:r w:rsidRPr="00E344D8">
        <w:t xml:space="preserve"> </w:t>
      </w:r>
      <w:r w:rsidR="00A2511C">
        <w:t>R</w:t>
      </w:r>
      <w:r w:rsidRPr="00E344D8">
        <w:t xml:space="preserve">efer to the </w:t>
      </w:r>
      <w:hyperlink r:id="rId1" w:history="1">
        <w:r w:rsidRPr="00E344D8">
          <w:rPr>
            <w:rStyle w:val="a5"/>
          </w:rPr>
          <w:t>Purdue Online Writing Lab</w:t>
        </w:r>
      </w:hyperlink>
      <w:r w:rsidRPr="00E344D8">
        <w:t xml:space="preserve">, or </w:t>
      </w:r>
      <w:r w:rsidR="007A4B7C">
        <w:t>follow the above examples</w:t>
      </w:r>
      <w:r w:rsidRPr="00E344D8">
        <w:t>.</w:t>
      </w:r>
      <w:r w:rsidR="00FA5220">
        <w:t xml:space="preserve"> You should use the </w:t>
      </w:r>
      <w:r w:rsidR="00FA5220">
        <w:rPr>
          <w:i/>
        </w:rPr>
        <w:t>Footnote</w:t>
      </w:r>
      <w:r w:rsidR="00FA5220">
        <w:t xml:space="preserve"> paragraph style, with 8.5 point text and 14 point line spacing.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-2010985600"/>
      <w:docPartObj>
        <w:docPartGallery w:val="Page Numbers (Top of Page)"/>
        <w:docPartUnique/>
      </w:docPartObj>
    </w:sdtPr>
    <w:sdtContent>
      <w:p w14:paraId="317A6B06" w14:textId="05D7D4F4" w:rsidR="0002420C" w:rsidRDefault="0002420C" w:rsidP="00B34283">
        <w:pPr>
          <w:pStyle w:val="a9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7A83BD6D" w14:textId="78C850AC" w:rsidR="006D3558" w:rsidRDefault="006D3558" w:rsidP="0002420C">
    <w:pPr>
      <w:pStyle w:val="a9"/>
      <w:ind w:right="360"/>
      <w:rPr>
        <w:rStyle w:val="ae"/>
      </w:rPr>
    </w:pPr>
  </w:p>
  <w:p w14:paraId="4DC7869B" w14:textId="77777777" w:rsidR="006D3558" w:rsidRDefault="006D3558" w:rsidP="00126D7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36B99" w14:textId="77777777" w:rsidR="006D3558" w:rsidRDefault="006D3558" w:rsidP="0002420C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CFAEE" w14:textId="77777777" w:rsidR="00BC324F" w:rsidRDefault="00BC324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0CB54F4"/>
    <w:multiLevelType w:val="multilevel"/>
    <w:tmpl w:val="76EE22EA"/>
    <w:styleLink w:val="CurrentList1"/>
    <w:lvl w:ilvl="0">
      <w:start w:val="1"/>
      <w:numFmt w:val="decimal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72837"/>
    <w:multiLevelType w:val="multilevel"/>
    <w:tmpl w:val="8460E436"/>
    <w:lvl w:ilvl="0">
      <w:start w:val="1"/>
      <w:numFmt w:val="decimal"/>
      <w:pStyle w:val="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9E507DF"/>
    <w:multiLevelType w:val="hybridMultilevel"/>
    <w:tmpl w:val="7332E9B4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0577871">
    <w:abstractNumId w:val="5"/>
  </w:num>
  <w:num w:numId="2" w16cid:durableId="1675497028">
    <w:abstractNumId w:val="31"/>
  </w:num>
  <w:num w:numId="3" w16cid:durableId="198128181">
    <w:abstractNumId w:val="26"/>
  </w:num>
  <w:num w:numId="4" w16cid:durableId="17834535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5904546">
    <w:abstractNumId w:val="35"/>
  </w:num>
  <w:num w:numId="6" w16cid:durableId="333067791">
    <w:abstractNumId w:val="15"/>
  </w:num>
  <w:num w:numId="7" w16cid:durableId="1647706323">
    <w:abstractNumId w:val="33"/>
  </w:num>
  <w:num w:numId="8" w16cid:durableId="574364399">
    <w:abstractNumId w:val="7"/>
  </w:num>
  <w:num w:numId="9" w16cid:durableId="736442838">
    <w:abstractNumId w:val="34"/>
  </w:num>
  <w:num w:numId="10" w16cid:durableId="1075711217">
    <w:abstractNumId w:val="14"/>
  </w:num>
  <w:num w:numId="11" w16cid:durableId="2034913914">
    <w:abstractNumId w:val="10"/>
  </w:num>
  <w:num w:numId="12" w16cid:durableId="1216426269">
    <w:abstractNumId w:val="27"/>
  </w:num>
  <w:num w:numId="13" w16cid:durableId="187109633">
    <w:abstractNumId w:val="13"/>
  </w:num>
  <w:num w:numId="14" w16cid:durableId="1336765421">
    <w:abstractNumId w:val="30"/>
  </w:num>
  <w:num w:numId="15" w16cid:durableId="1632397140">
    <w:abstractNumId w:val="37"/>
  </w:num>
  <w:num w:numId="16" w16cid:durableId="1931503849">
    <w:abstractNumId w:val="35"/>
    <w:lvlOverride w:ilvl="0">
      <w:startOverride w:val="1"/>
    </w:lvlOverride>
  </w:num>
  <w:num w:numId="17" w16cid:durableId="1626739888">
    <w:abstractNumId w:val="35"/>
    <w:lvlOverride w:ilvl="0">
      <w:startOverride w:val="1"/>
    </w:lvlOverride>
  </w:num>
  <w:num w:numId="18" w16cid:durableId="1181553747">
    <w:abstractNumId w:val="35"/>
    <w:lvlOverride w:ilvl="0">
      <w:startOverride w:val="1"/>
    </w:lvlOverride>
  </w:num>
  <w:num w:numId="19" w16cid:durableId="1897162564">
    <w:abstractNumId w:val="35"/>
    <w:lvlOverride w:ilvl="0">
      <w:startOverride w:val="1"/>
    </w:lvlOverride>
  </w:num>
  <w:num w:numId="20" w16cid:durableId="1862819990">
    <w:abstractNumId w:val="35"/>
    <w:lvlOverride w:ilvl="0">
      <w:startOverride w:val="1"/>
    </w:lvlOverride>
  </w:num>
  <w:num w:numId="21" w16cid:durableId="1919905099">
    <w:abstractNumId w:val="35"/>
    <w:lvlOverride w:ilvl="0">
      <w:startOverride w:val="1"/>
    </w:lvlOverride>
  </w:num>
  <w:num w:numId="22" w16cid:durableId="49113363">
    <w:abstractNumId w:val="0"/>
  </w:num>
  <w:num w:numId="23" w16cid:durableId="1740010261">
    <w:abstractNumId w:val="28"/>
  </w:num>
  <w:num w:numId="24" w16cid:durableId="466241618">
    <w:abstractNumId w:val="28"/>
    <w:lvlOverride w:ilvl="0">
      <w:startOverride w:val="1"/>
    </w:lvlOverride>
  </w:num>
  <w:num w:numId="25" w16cid:durableId="814183826">
    <w:abstractNumId w:val="36"/>
  </w:num>
  <w:num w:numId="26" w16cid:durableId="250478988">
    <w:abstractNumId w:val="6"/>
  </w:num>
  <w:num w:numId="27" w16cid:durableId="336736854">
    <w:abstractNumId w:val="18"/>
  </w:num>
  <w:num w:numId="28" w16cid:durableId="1989090359">
    <w:abstractNumId w:val="19"/>
  </w:num>
  <w:num w:numId="29" w16cid:durableId="1509363449">
    <w:abstractNumId w:val="4"/>
  </w:num>
  <w:num w:numId="30" w16cid:durableId="83112246">
    <w:abstractNumId w:val="2"/>
  </w:num>
  <w:num w:numId="31" w16cid:durableId="1582714030">
    <w:abstractNumId w:val="12"/>
  </w:num>
  <w:num w:numId="32" w16cid:durableId="2094008981">
    <w:abstractNumId w:val="16"/>
  </w:num>
  <w:num w:numId="33" w16cid:durableId="1442722793">
    <w:abstractNumId w:val="1"/>
  </w:num>
  <w:num w:numId="34" w16cid:durableId="2008363457">
    <w:abstractNumId w:val="17"/>
  </w:num>
  <w:num w:numId="35" w16cid:durableId="1818568059">
    <w:abstractNumId w:val="21"/>
  </w:num>
  <w:num w:numId="36" w16cid:durableId="1422607781">
    <w:abstractNumId w:val="9"/>
  </w:num>
  <w:num w:numId="37" w16cid:durableId="865143347">
    <w:abstractNumId w:val="29"/>
  </w:num>
  <w:num w:numId="38" w16cid:durableId="1716811499">
    <w:abstractNumId w:val="24"/>
  </w:num>
  <w:num w:numId="39" w16cid:durableId="1334602124">
    <w:abstractNumId w:val="23"/>
  </w:num>
  <w:num w:numId="40" w16cid:durableId="876352859">
    <w:abstractNumId w:val="20"/>
  </w:num>
  <w:num w:numId="41" w16cid:durableId="1347437169">
    <w:abstractNumId w:val="11"/>
  </w:num>
  <w:num w:numId="42" w16cid:durableId="1905531647">
    <w:abstractNumId w:val="25"/>
  </w:num>
  <w:num w:numId="43" w16cid:durableId="931625897">
    <w:abstractNumId w:val="38"/>
  </w:num>
  <w:num w:numId="44" w16cid:durableId="1081609668">
    <w:abstractNumId w:val="22"/>
  </w:num>
  <w:num w:numId="45" w16cid:durableId="1678575741">
    <w:abstractNumId w:val="39"/>
  </w:num>
  <w:num w:numId="46" w16cid:durableId="205260509">
    <w:abstractNumId w:val="32"/>
  </w:num>
  <w:num w:numId="47" w16cid:durableId="631860778">
    <w:abstractNumId w:val="3"/>
  </w:num>
  <w:num w:numId="48" w16cid:durableId="1221593488">
    <w:abstractNumId w:val="22"/>
  </w:num>
  <w:num w:numId="49" w16cid:durableId="1983776917">
    <w:abstractNumId w:val="22"/>
    <w:lvlOverride w:ilvl="0">
      <w:startOverride w:val="1"/>
    </w:lvlOverride>
  </w:num>
  <w:num w:numId="50" w16cid:durableId="1452436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10D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A25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977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6D59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5036"/>
    <w:rsid w:val="003061EB"/>
    <w:rsid w:val="0031149D"/>
    <w:rsid w:val="003125D2"/>
    <w:rsid w:val="00312B37"/>
    <w:rsid w:val="00313D2E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3B9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2EA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C6F6E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4AE7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3D61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08C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2D95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377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41BF5"/>
    <w:rsid w:val="00942D6B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6441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1AEF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48C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3281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0365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671E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2BDE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2E77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1">
    <w:name w:val="heading 1"/>
    <w:basedOn w:val="a"/>
    <w:next w:val="a"/>
    <w:link w:val="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5">
    <w:name w:val="heading 5"/>
    <w:basedOn w:val="a"/>
    <w:next w:val="a"/>
    <w:link w:val="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6">
    <w:name w:val="heading 6"/>
    <w:basedOn w:val="a"/>
    <w:next w:val="a"/>
    <w:link w:val="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Char">
    <w:name w:val="제목 Char"/>
    <w:basedOn w:val="a0"/>
    <w:link w:val="a3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a4">
    <w:name w:val="Subtitle"/>
    <w:basedOn w:val="a"/>
    <w:next w:val="a"/>
    <w:link w:val="Char0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Char0">
    <w:name w:val="부제 Char"/>
    <w:basedOn w:val="a0"/>
    <w:link w:val="a4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3C529A"/>
    <w:rPr>
      <w:color w:val="0563C1" w:themeColor="hyperlink"/>
      <w:u w:val="none"/>
    </w:rPr>
  </w:style>
  <w:style w:type="character" w:styleId="a6">
    <w:name w:val="Unresolved Mention"/>
    <w:basedOn w:val="a0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a"/>
    <w:link w:val="AbstractChar"/>
    <w:qFormat/>
    <w:rsid w:val="00F82FF9"/>
    <w:pPr>
      <w:ind w:left="720" w:right="720"/>
    </w:pPr>
  </w:style>
  <w:style w:type="character" w:customStyle="1" w:styleId="1Char">
    <w:name w:val="제목 1 Char"/>
    <w:basedOn w:val="a0"/>
    <w:link w:val="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a0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a1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a0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a7">
    <w:name w:val="footnote text"/>
    <w:basedOn w:val="a"/>
    <w:link w:val="Char1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a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Char1">
    <w:name w:val="각주 텍스트 Char"/>
    <w:basedOn w:val="a0"/>
    <w:link w:val="a7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2Char">
    <w:name w:val="제목 2 Char"/>
    <w:basedOn w:val="a0"/>
    <w:link w:val="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Char1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3Char">
    <w:name w:val="제목 3 Char"/>
    <w:basedOn w:val="a0"/>
    <w:link w:val="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4Char">
    <w:name w:val="제목 4 Char"/>
    <w:basedOn w:val="a0"/>
    <w:link w:val="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5Char">
    <w:name w:val="제목 5 Char"/>
    <w:basedOn w:val="a0"/>
    <w:link w:val="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9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aa">
    <w:name w:val="footer"/>
    <w:basedOn w:val="a"/>
    <w:link w:val="Char3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a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a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ab">
    <w:name w:val="Table Grid"/>
    <w:basedOn w:val="a1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a0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ac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a0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a0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ac">
    <w:name w:val="List Paragraph"/>
    <w:basedOn w:val="a"/>
    <w:uiPriority w:val="34"/>
    <w:rsid w:val="00B65552"/>
    <w:pPr>
      <w:ind w:left="720"/>
      <w:contextualSpacing/>
    </w:pPr>
  </w:style>
  <w:style w:type="paragraph" w:styleId="ad">
    <w:name w:val="Balloon Text"/>
    <w:basedOn w:val="a"/>
    <w:link w:val="Char4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a"/>
    <w:qFormat/>
    <w:rsid w:val="00547E40"/>
    <w:pPr>
      <w:ind w:left="720" w:right="720"/>
    </w:pPr>
  </w:style>
  <w:style w:type="character" w:styleId="ae">
    <w:name w:val="page number"/>
    <w:basedOn w:val="a0"/>
    <w:uiPriority w:val="99"/>
    <w:semiHidden/>
    <w:unhideWhenUsed/>
    <w:rsid w:val="006D3558"/>
  </w:style>
  <w:style w:type="paragraph" w:styleId="af">
    <w:name w:val="Normal (Web)"/>
    <w:basedOn w:val="a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a0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8"/>
      </w:numPr>
      <w:tabs>
        <w:tab w:val="left" w:pos="2250"/>
        <w:tab w:val="left" w:pos="2275"/>
        <w:tab w:val="left" w:pos="2304"/>
        <w:tab w:val="left" w:pos="2333"/>
        <w:tab w:val="left" w:pos="2362"/>
      </w:tabs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character" w:styleId="af0">
    <w:name w:val="Placeholder Text"/>
    <w:basedOn w:val="a0"/>
    <w:uiPriority w:val="99"/>
    <w:semiHidden/>
    <w:rsid w:val="00942D6B"/>
    <w:rPr>
      <w:color w:val="666666"/>
    </w:rPr>
  </w:style>
  <w:style w:type="numbering" w:customStyle="1" w:styleId="CurrentList1">
    <w:name w:val="Current List1"/>
    <w:uiPriority w:val="99"/>
    <w:rsid w:val="0006010D"/>
    <w:pPr>
      <w:numPr>
        <w:numId w:val="50"/>
      </w:numPr>
    </w:pPr>
  </w:style>
  <w:style w:type="character" w:styleId="af1">
    <w:name w:val="FollowedHyperlink"/>
    <w:basedOn w:val="a0"/>
    <w:uiPriority w:val="99"/>
    <w:semiHidden/>
    <w:unhideWhenUsed/>
    <w:rsid w:val="002B6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tan.org/tex-archive/fonts/tex-gyre/opentyp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kcd.com/1195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xkcd.com/1195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wl.purdue.edu/owl/research_and_citation/apa_style/apa_formatting_and_style_guide/in_text_citations_the_basic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458</TotalTime>
  <Pages>7</Pages>
  <Words>1457</Words>
  <Characters>8311</Characters>
  <Application>Microsoft Office Word</Application>
  <DocSecurity>0</DocSecurity>
  <Lines>69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재환 임</cp:lastModifiedBy>
  <cp:revision>35</cp:revision>
  <cp:lastPrinted>2019-05-10T20:56:00Z</cp:lastPrinted>
  <dcterms:created xsi:type="dcterms:W3CDTF">2019-05-10T20:56:00Z</dcterms:created>
  <dcterms:modified xsi:type="dcterms:W3CDTF">2025-05-23T03:35:00Z</dcterms:modified>
</cp:coreProperties>
</file>